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header9.xml" ContentType="application/vnd.openxmlformats-officedocument.wordprocessingml.header+xml"/>
  <Override PartName="/customXml/itemProps1.xml" ContentType="application/vnd.openxmlformats-officedocument.customXmlProperties+xml"/>
  <Override PartName="/word/document.xml" ContentType="application/vnd.openxmlformats-officedocument.wordprocessingml.document.main+xml"/>
  <Override PartName="/word/footer9.xml" ContentType="application/vnd.openxmlformats-officedocument.wordprocessingml.footer+xml"/>
  <Override PartName="/word/styles.xml" ContentType="application/vnd.openxmlformats-officedocument.wordprocessingml.styles+xml"/>
  <Override PartName="/word/header2.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er1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3.xml" ContentType="application/vnd.openxmlformats-officedocument.wordprocessingml.header+xml"/>
  <Override PartName="/docProps/core.xml" ContentType="application/vnd.openxmlformats-package.core-properties+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footer2.xml" ContentType="application/vnd.openxmlformats-officedocument.wordprocessingml.footer+xml"/>
  <Override PartName="/word/header11.xml" ContentType="application/vnd.openxmlformats-officedocument.wordprocessingml.header+xml"/>
  <Override PartName="/word/footer1.xml" ContentType="application/vnd.openxmlformats-officedocument.wordprocessingml.footer+xml"/>
  <Override PartName="/docProps/app.xml" ContentType="application/vnd.openxmlformats-officedocument.extended-properties+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10.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1294"/>
        <w:pBdr/>
        <w:spacing/>
        <w:ind/>
        <w:rPr/>
      </w:pPr>
      <w:r>
        <w:t xml:space="preserve">THE ATLAS OF BEING AND BECOMING</w:t>
      </w:r>
      <w:r/>
    </w:p>
    <w:p>
      <w:pPr>
        <w:pStyle w:val="1151"/>
        <w:pBdr/>
        <w:spacing/>
        <w:ind/>
        <w:rPr>
          <w:sz w:val="32"/>
          <w:szCs w:val="32"/>
        </w:rPr>
      </w:pPr>
      <w:r>
        <w:rPr>
          <w:sz w:val="32"/>
          <w:szCs w:val="32"/>
        </w:rPr>
        <w:t xml:space="preserve">Publication Architecture,</w:t>
        <w:br/>
        <w:t xml:space="preserve">Coverage Map &amp; Detailed Table of Contents</w:t>
        <w:br/>
        <w:t xml:space="preserve">Specification</w:t>
      </w:r>
      <w:r>
        <w:rPr>
          <w:sz w:val="32"/>
          <w:szCs w:val="32"/>
        </w:rPr>
      </w:r>
      <w:r>
        <w:rPr>
          <w:sz w:val="32"/>
          <w:szCs w:val="32"/>
        </w:rPr>
      </w:r>
    </w:p>
    <w:p>
      <w:pPr>
        <w:pStyle w:val="1153"/>
        <w:pBdr/>
        <w:spacing/>
        <w:ind/>
        <w:rPr/>
      </w:pPr>
      <w:r>
        <w:t xml:space="preserve">Decision-grade editorial architecture for source-sensitive comparative metaphysical-existential research</w:t>
      </w:r>
      <w:r/>
    </w:p>
    <w:p>
      <w:pPr>
        <w:pStyle w:val="1300"/>
        <w:keepNext w:val="true"/>
        <w:keepLines w:val="true"/>
        <w:pBdr/>
        <w:spacing w:after="40" w:before="40"/>
        <w:ind/>
        <w:rPr/>
      </w:pPr>
      <w:r>
        <w:rPr>
          <w:b/>
          <w:color w:val="000000"/>
        </w:rPr>
        <w:t xml:space="preserve">Copyright and License</w:t>
      </w:r>
      <w:r/>
    </w:p>
    <w:p>
      <w:pPr>
        <w:pStyle w:val="1300"/>
        <w:keepNext w:val="true"/>
        <w:keepLines w:val="true"/>
        <w:pBdr/>
        <w:spacing w:after="40" w:before="0"/>
        <w:ind/>
        <w:rPr/>
      </w:pPr>
      <w:r>
        <w:t xml:space="preserve">© 2026 Marius Tanase.</w:t>
      </w:r>
      <w:r/>
    </w:p>
    <w:p>
      <w:pPr>
        <w:pStyle w:val="1300"/>
        <w:keepNext w:val="true"/>
        <w:keepLines w:val="true"/>
        <w:pBdr/>
        <w:spacing w:after="40" w:before="0"/>
        <w:ind/>
        <w:rPr/>
      </w:pPr>
      <w:r>
        <w:t xml:space="preserve">This specification is licensed under the Creative Commons Attribution 4.0 International License (CC BY 4.0).</w:t>
      </w:r>
      <w:r/>
    </w:p>
    <w:p>
      <w:pPr>
        <w:pStyle w:val="1300"/>
        <w:keepNext w:val="true"/>
        <w:keepLines w:val="true"/>
        <w:pBdr/>
        <w:spacing w:after="40" w:before="0"/>
        <w:ind/>
        <w:rPr/>
      </w:pPr>
      <w:r/>
      <w:hyperlink r:id="rId32" w:tooltip="https://creativecommons.org/licenses/by/4.0/" w:history="1">
        <w:r>
          <w:rPr>
            <w:color w:val="214e70"/>
            <w:u w:val="single"/>
          </w:rPr>
          <w:t xml:space="preserve">https://creativecommons.org/licenses/by/4.0/</w:t>
        </w:r>
      </w:hyperlink>
      <w:r/>
      <w:r/>
    </w:p>
    <w:p>
      <w:pPr>
        <w:pStyle w:val="1300"/>
        <w:keepLines w:val="true"/>
        <w:pBdr/>
        <w:spacing w:after="120" w:before="0"/>
        <w:ind/>
        <w:rPr/>
      </w:pPr>
      <w:r>
        <w:t xml:space="preserve">If you find this specification useful, </w:t>
      </w:r>
      <w:r>
        <w:rPr>
          <w:b w:val="0"/>
        </w:rPr>
        <w:t xml:space="preserve">consider supporting its creator’s work with a voluntary contribution at</w:t>
      </w:r>
      <w:r>
        <w:t xml:space="preserve"> </w:t>
      </w:r>
      <w:hyperlink r:id="rId33" w:tooltip="https://www.mariustanase.org/support/" w:history="1">
        <w:r>
          <w:rPr>
            <w:color w:val="214e70"/>
            <w:u w:val="single"/>
          </w:rPr>
          <w:t xml:space="preserve">www.mariustanase.org/support/</w:t>
        </w:r>
      </w:hyperlink>
      <w:r>
        <w:t xml:space="preserve">. </w:t>
      </w:r>
      <w:r/>
      <w:r>
        <w:t xml:space="preserve">To explore more projects, access </w:t>
      </w:r>
      <w:hyperlink r:id="rId39" w:tooltip="https://www.mariustanase.org/resources/" w:history="1">
        <w:r>
          <w:rPr>
            <w:color w:val="214e70"/>
            <w:u w:val="single"/>
          </w:rPr>
          <w:t xml:space="preserve">https://www.mariustanase.org/resources/</w:t>
        </w:r>
      </w:hyperlink>
      <w:r>
        <w:t xml:space="preserve">. </w:t>
      </w:r>
      <w:r>
        <w:t xml:space="preserve">No contribution is required to use the specification under CC BY 4.0.</w:t>
      </w:r>
      <w:r/>
      <w:r/>
      <w:r/>
    </w:p>
    <w:p>
      <w:pPr>
        <w:pStyle w:val="1184"/>
        <w:keepNext w:val="true"/>
        <w:keepLines w:val="true"/>
        <w:pBdr/>
        <w:spacing/>
        <w:ind/>
        <w:rPr/>
      </w:pPr>
      <w:r>
        <w:t xml:space="preserve">Governing — Document control</w:t>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3263"/>
        <w:gridCol w:w="6743"/>
      </w:tblGrid>
      <w:tr>
        <w:trPr>
          <w:cantSplit/>
          <w:tblHeader/>
        </w:trPr>
        <w:tc>
          <w:tcPr>
            <w:shd w:val="clear" w:color="auto" w:fill="1f5a73"/>
            <w:tcBorders/>
            <w:tcMar>
              <w:left w:w="70" w:type="dxa"/>
              <w:top w:w="60" w:type="dxa"/>
              <w:right w:w="70" w:type="dxa"/>
              <w:bottom w:w="60" w:type="dxa"/>
            </w:tcMar>
            <w:tcW w:w="3263" w:type="dxa"/>
            <w:vAlign w:val="top"/>
          </w:tcPr>
          <w:p>
            <w:pPr>
              <w:pStyle w:val="1298"/>
              <w:pBdr/>
              <w:spacing/>
              <w:ind/>
              <w:rPr/>
            </w:pPr>
            <w:r>
              <w:t xml:space="preserve">Document field</w:t>
            </w:r>
            <w:r/>
          </w:p>
        </w:tc>
        <w:tc>
          <w:tcPr>
            <w:shd w:val="clear" w:color="auto" w:fill="1f5a73"/>
            <w:tcBorders/>
            <w:tcMar>
              <w:left w:w="70" w:type="dxa"/>
              <w:top w:w="60" w:type="dxa"/>
              <w:right w:w="70" w:type="dxa"/>
              <w:bottom w:w="60" w:type="dxa"/>
            </w:tcMar>
            <w:tcW w:w="6743" w:type="dxa"/>
            <w:vAlign w:val="top"/>
          </w:tcPr>
          <w:p>
            <w:pPr>
              <w:pStyle w:val="1298"/>
              <w:pBdr/>
              <w:spacing/>
              <w:ind/>
              <w:rPr/>
            </w:pPr>
            <w:r>
              <w:t xml:space="preserve">Current value</w:t>
            </w:r>
            <w:r/>
          </w:p>
        </w:tc>
      </w:tr>
      <w:tr>
        <w:trPr>
          <w:cantSplit/>
        </w:trPr>
        <w:tc>
          <w:tcPr>
            <w:tcBorders/>
            <w:tcMar>
              <w:left w:w="70" w:type="dxa"/>
              <w:top w:w="60" w:type="dxa"/>
              <w:right w:w="70" w:type="dxa"/>
              <w:bottom w:w="60" w:type="dxa"/>
            </w:tcMar>
            <w:tcW w:w="3263" w:type="dxa"/>
            <w:vAlign w:val="top"/>
          </w:tcPr>
          <w:p>
            <w:pPr>
              <w:pStyle w:val="1296"/>
              <w:pBdr/>
              <w:spacing/>
              <w:ind/>
              <w:rPr/>
            </w:pPr>
            <w:r>
              <w:t xml:space="preserve">Adopted baseline date</w:t>
            </w:r>
            <w:r/>
          </w:p>
        </w:tc>
        <w:tc>
          <w:tcPr>
            <w:tcBorders/>
            <w:tcMar>
              <w:left w:w="70" w:type="dxa"/>
              <w:top w:w="60" w:type="dxa"/>
              <w:right w:w="70" w:type="dxa"/>
              <w:bottom w:w="60" w:type="dxa"/>
            </w:tcMar>
            <w:tcW w:w="6743" w:type="dxa"/>
            <w:vAlign w:val="top"/>
          </w:tcPr>
          <w:p>
            <w:pPr>
              <w:pStyle w:val="1296"/>
              <w:pBdr/>
              <w:spacing/>
              <w:ind/>
              <w:rPr/>
            </w:pPr>
            <w:r>
              <w:t xml:space="preserve">6 August 2026</w:t>
            </w:r>
            <w:r/>
          </w:p>
        </w:tc>
      </w:tr>
      <w:tr>
        <w:trPr>
          <w:cantSplit/>
        </w:trPr>
        <w:tc>
          <w:tcPr>
            <w:tcBorders/>
            <w:tcMar>
              <w:left w:w="70" w:type="dxa"/>
              <w:top w:w="60" w:type="dxa"/>
              <w:right w:w="70" w:type="dxa"/>
              <w:bottom w:w="60" w:type="dxa"/>
            </w:tcMar>
            <w:tcW w:w="3263" w:type="dxa"/>
            <w:vAlign w:val="top"/>
          </w:tcPr>
          <w:p>
            <w:pPr>
              <w:pStyle w:val="1296"/>
              <w:pBdr/>
              <w:spacing/>
              <w:ind/>
              <w:rPr/>
            </w:pPr>
            <w:r>
              <w:t xml:space="preserve">Specification version / edition date</w:t>
            </w:r>
            <w:r/>
          </w:p>
        </w:tc>
        <w:tc>
          <w:tcPr>
            <w:tcBorders/>
            <w:tcMar>
              <w:left w:w="70" w:type="dxa"/>
              <w:top w:w="60" w:type="dxa"/>
              <w:right w:w="70" w:type="dxa"/>
              <w:bottom w:w="60" w:type="dxa"/>
            </w:tcMar>
            <w:tcW w:w="6743" w:type="dxa"/>
            <w:vAlign w:val="top"/>
          </w:tcPr>
          <w:p>
            <w:pPr>
              <w:pStyle w:val="1296"/>
              <w:pBdr/>
              <w:spacing/>
              <w:ind/>
              <w:rPr/>
            </w:pPr>
            <w:r>
              <w:t xml:space="preserve">PA-2026-10-15 / 15 October 2026</w:t>
            </w:r>
            <w:r/>
          </w:p>
        </w:tc>
      </w:tr>
      <w:tr>
        <w:trPr>
          <w:cantSplit/>
        </w:trPr>
        <w:tc>
          <w:tcPr>
            <w:tcBorders/>
            <w:tcMar>
              <w:left w:w="70" w:type="dxa"/>
              <w:top w:w="60" w:type="dxa"/>
              <w:right w:w="70" w:type="dxa"/>
              <w:bottom w:w="60" w:type="dxa"/>
            </w:tcMar>
            <w:tcW w:w="3263" w:type="dxa"/>
            <w:vAlign w:val="top"/>
          </w:tcPr>
          <w:p>
            <w:pPr>
              <w:pStyle w:val="1296"/>
              <w:pBdr/>
              <w:spacing/>
              <w:ind/>
              <w:rPr/>
            </w:pPr>
            <w:r>
              <w:t xml:space="preserve">Effective date rule</w:t>
            </w:r>
            <w:r/>
          </w:p>
        </w:tc>
        <w:tc>
          <w:tcPr>
            <w:tcBorders/>
            <w:tcMar>
              <w:left w:w="70" w:type="dxa"/>
              <w:top w:w="60" w:type="dxa"/>
              <w:right w:w="70" w:type="dxa"/>
              <w:bottom w:w="60" w:type="dxa"/>
            </w:tcMar>
            <w:tcW w:w="6743" w:type="dxa"/>
            <w:vAlign w:val="top"/>
          </w:tcPr>
          <w:p>
            <w:pPr>
              <w:pStyle w:val="1296"/>
              <w:pBdr/>
              <w:spacing/>
              <w:ind/>
              <w:rPr/>
            </w:pPr>
            <w:r>
              <w:t xml:space="preserve">The recorded adoption decision establishes the effective date for this specification version.</w:t>
            </w:r>
            <w:r/>
          </w:p>
        </w:tc>
      </w:tr>
      <w:tr>
        <w:trPr>
          <w:cantSplit/>
        </w:trPr>
        <w:tc>
          <w:tcPr>
            <w:tcBorders/>
            <w:tcMar>
              <w:left w:w="70" w:type="dxa"/>
              <w:top w:w="60" w:type="dxa"/>
              <w:right w:w="70" w:type="dxa"/>
              <w:bottom w:w="60" w:type="dxa"/>
            </w:tcMar>
            <w:tcW w:w="3263" w:type="dxa"/>
            <w:vAlign w:val="top"/>
          </w:tcPr>
          <w:p>
            <w:pPr>
              <w:pStyle w:val="1296"/>
              <w:pBdr/>
              <w:spacing/>
              <w:ind/>
              <w:rPr/>
            </w:pPr>
            <w:r>
              <w:t xml:space="preserve">External publication and novelty basis</w:t>
            </w:r>
            <w:r/>
          </w:p>
        </w:tc>
        <w:tc>
          <w:tcPr>
            <w:tcBorders/>
            <w:tcMar>
              <w:left w:w="70" w:type="dxa"/>
              <w:top w:w="60" w:type="dxa"/>
              <w:right w:w="70" w:type="dxa"/>
              <w:bottom w:w="60" w:type="dxa"/>
            </w:tcMar>
            <w:tcW w:w="6743" w:type="dxa"/>
            <w:vAlign w:val="top"/>
          </w:tcPr>
          <w:p>
            <w:pPr>
              <w:pStyle w:val="1296"/>
              <w:pBdr/>
              <w:spacing/>
              <w:ind/>
              <w:rPr/>
            </w:pPr>
            <w:r>
              <w:t xml:space="preserve">Dated through 19 August 2026; Annex D</w:t>
            </w:r>
            <w:r/>
          </w:p>
        </w:tc>
      </w:tr>
      <w:tr>
        <w:trPr>
          <w:cantSplit/>
        </w:trPr>
        <w:tc>
          <w:tcPr>
            <w:tcBorders/>
            <w:tcMar>
              <w:left w:w="70" w:type="dxa"/>
              <w:top w:w="60" w:type="dxa"/>
              <w:right w:w="70" w:type="dxa"/>
              <w:bottom w:w="60" w:type="dxa"/>
            </w:tcMar>
            <w:tcW w:w="3263" w:type="dxa"/>
            <w:vAlign w:val="top"/>
          </w:tcPr>
          <w:p>
            <w:pPr>
              <w:pStyle w:val="1296"/>
              <w:pBdr/>
              <w:spacing/>
              <w:ind/>
              <w:rPr/>
            </w:pPr>
            <w:r>
              <w:t xml:space="preserve">Paired governing research authority</w:t>
            </w:r>
            <w:r/>
          </w:p>
        </w:tc>
        <w:tc>
          <w:tcPr>
            <w:tcBorders/>
            <w:tcMar>
              <w:left w:w="70" w:type="dxa"/>
              <w:top w:w="60" w:type="dxa"/>
              <w:right w:w="70" w:type="dxa"/>
              <w:bottom w:w="60" w:type="dxa"/>
            </w:tcMar>
            <w:tcW w:w="6743" w:type="dxa"/>
            <w:vAlign w:val="top"/>
          </w:tcPr>
          <w:p>
            <w:pPr>
              <w:pStyle w:val="1296"/>
              <w:pBdr/>
              <w:spacing/>
              <w:ind/>
              <w:rPr/>
            </w:pPr>
            <w:r>
              <w:t xml:space="preserve">The Atlas of Being and Becoming — Research, Evidence &amp; Validation Specification</w:t>
            </w:r>
            <w:r/>
          </w:p>
        </w:tc>
      </w:tr>
    </w:tbl>
    <w:p>
      <w:pPr>
        <w:pStyle w:val="1300"/>
        <w:pBdr/>
        <w:spacing/>
        <w:ind/>
        <w:rPr/>
      </w:pPr>
      <w:r>
        <w:t xml:space="preserve">The edition date identifies document preparation, not adoption. The reference-basis date describes the stated review, the snapshot date </w:t>
      </w:r>
      <w:r>
        <w:t xml:space="preserve">the operational state summarized, and a GateRun date an actual recorded run. A later reference check neither constitutes a GateRun nor changes a historical verdict. Adoption and version decisions are governed by Part III §14 and Research Specification §13.</w:t>
      </w:r>
      <w:r/>
    </w:p>
    <w:p>
      <w:pPr>
        <w:pStyle w:val="1300"/>
        <w:pBdr/>
        <w:spacing/>
        <w:ind/>
        <w:rPr/>
      </w:pPr>
      <w:r/>
      <w:r/>
    </w:p>
    <w:tbl>
      <w:tblPr>
        <w:jc w:val="center"/>
        <w:tblW w:w="0" w:type="auto"/>
        <w:tblBorders>
          <w:top w:val="single" w:color="1f5a73" w:sz="8" w:space="0"/>
          <w:left w:val="single" w:color="1f5a73" w:sz="8" w:space="0"/>
          <w:bottom w:val="single" w:color="1f5a73" w:sz="8" w:space="0"/>
          <w:right w:val="single" w:color="1f5a73" w:sz="8" w:space="0"/>
          <w:insideH w:val="single" w:color="1f5a73" w:sz="8" w:space="0"/>
          <w:insideV w:val="single" w:color="1f5a73" w:sz="8" w:space="0"/>
        </w:tblBorders>
        <w:tblLayout w:type="fixed"/>
        <w:tblLook w:val="04A0" w:firstRow="1" w:lastRow="0" w:firstColumn="1" w:lastColumn="0" w:noHBand="0" w:noVBand="1"/>
      </w:tblPr>
      <w:tblGrid>
        <w:gridCol w:w="10006"/>
      </w:tblGrid>
      <w:tr>
        <w:trPr>
          <w:cantSplit/>
          <w:tblHeader/>
        </w:trPr>
        <w:tc>
          <w:tcPr>
            <w:shd w:val="clear" w:color="auto" w:fill="1f5a73"/>
            <w:tcBorders/>
            <w:tcMar>
              <w:left w:w="70" w:type="dxa"/>
              <w:top w:w="60" w:type="dxa"/>
              <w:right w:w="70" w:type="dxa"/>
              <w:bottom w:w="60" w:type="dxa"/>
            </w:tcMar>
            <w:tcW w:w="9936" w:type="dxa"/>
            <w:vAlign w:val="top"/>
          </w:tcPr>
          <w:p>
            <w:pPr>
              <w:pStyle w:val="1301"/>
              <w:pBdr/>
              <w:spacing/>
              <w:ind/>
              <w:rPr/>
            </w:pPr>
            <w:r>
              <w:t xml:space="preserve">Governing — Current editorial authority</w:t>
            </w:r>
            <w:r/>
          </w:p>
        </w:tc>
      </w:tr>
      <w:tr>
        <w:trPr>
          <w:cantSplit/>
        </w:trPr>
        <w:tc>
          <w:tcPr>
            <w:shd w:val="clear" w:color="auto" w:fill="eaf2f6"/>
            <w:tcBorders/>
            <w:tcMar>
              <w:left w:w="70" w:type="dxa"/>
              <w:top w:w="60" w:type="dxa"/>
              <w:right w:w="70" w:type="dxa"/>
              <w:bottom w:w="60" w:type="dxa"/>
            </w:tcMar>
            <w:tcW w:w="10006" w:type="dxa"/>
            <w:vAlign w:val="top"/>
          </w:tcPr>
          <w:p>
            <w:pPr>
              <w:pStyle w:val="1302"/>
              <w:pBdr/>
              <w:spacing/>
              <w:ind/>
              <w:rPr/>
            </w:pPr>
            <w:r>
              <w:t xml:space="preserve">This specification governs the publication corpus, chapter architecture, coverage priorities, reader journey, print/digital allo</w:t>
            </w:r>
            <w:r>
              <w:t xml:space="preserve">cation, manuscript scale, production sequence and publication-facing dependencies. Research Specification governs shared method, evidence, comparison, provenance, representation, validation, synthesis, traceability, public-claim and release meanings. The s</w:t>
            </w:r>
            <w:r>
              <w:t xml:space="preserve">pecifications define the project’s requirements and adopted architecture. Research completion, manuscript completion, implementation, validation, rights clearance and release authorization are established separately by the applicable records and decisions.</w:t>
            </w:r>
            <w:r/>
          </w:p>
        </w:tc>
      </w:tr>
    </w:tbl>
    <w:p>
      <w:pPr>
        <w:pStyle w:val="1300"/>
        <w:pBdr/>
        <w:spacing/>
        <w:ind/>
        <w:rPr/>
      </w:pPr>
      <w:r/>
      <w:r/>
    </w:p>
    <w:p>
      <w:pPr>
        <w:pBdr/>
        <w:spacing/>
        <w:ind/>
        <w:rPr/>
        <w:sectPr>
          <w:headerReference w:type="default" r:id="rId9"/>
          <w:headerReference w:type="even" r:id="rId10"/>
          <w:headerReference w:type="first" r:id="rId11"/>
          <w:footerReference w:type="default" r:id="rId20"/>
          <w:footerReference w:type="even" r:id="rId21"/>
          <w:footerReference w:type="first" r:id="rId22"/>
          <w:footnotePr/>
          <w:endnotePr/>
          <w:type w:val="nextPage"/>
          <w:pgSz w:h="16838" w:orient="portrait" w:w="11906"/>
          <w:pgMar w:top="979" w:right="950" w:bottom="893" w:left="950" w:header="403" w:footer="403" w:gutter="0"/>
          <w:cols w:num="1" w:sep="0" w:space="720" w:equalWidth="1"/>
          <w:titlePg/>
        </w:sectPr>
      </w:pPr>
      <w:r/>
      <w:r/>
    </w:p>
    <w:p>
      <w:pPr>
        <w:pStyle w:val="1135"/>
        <w:keepNext w:val="true"/>
        <w:keepLines w:val="true"/>
        <w:pBdr/>
        <w:spacing/>
        <w:ind/>
        <w:rPr/>
      </w:pPr>
      <w:r/>
      <w:bookmarkStart w:id="100" w:name="GUIDE"/>
      <w:r>
        <w:t xml:space="preserve">Decision and use guide</w:t>
      </w:r>
      <w:bookmarkEnd w:id="100"/>
      <w:r/>
      <w:r/>
    </w:p>
    <w:tbl>
      <w:tblPr>
        <w:jc w:val="center"/>
        <w:tblW w:w="0" w:type="auto"/>
        <w:tblBorders>
          <w:top w:val="single" w:color="1f5a73" w:sz="8" w:space="0"/>
          <w:left w:val="single" w:color="1f5a73" w:sz="8" w:space="0"/>
          <w:bottom w:val="single" w:color="1f5a73" w:sz="8" w:space="0"/>
          <w:right w:val="single" w:color="1f5a73" w:sz="8" w:space="0"/>
          <w:insideH w:val="single" w:color="1f5a73" w:sz="8" w:space="0"/>
          <w:insideV w:val="single" w:color="1f5a73" w:sz="8" w:space="0"/>
        </w:tblBorders>
        <w:tblLayout w:type="fixed"/>
        <w:tblLook w:val="04A0" w:firstRow="1" w:lastRow="0" w:firstColumn="1" w:lastColumn="0" w:noHBand="0" w:noVBand="1"/>
      </w:tblPr>
      <w:tblGrid>
        <w:gridCol w:w="10006"/>
      </w:tblGrid>
      <w:tr>
        <w:trPr>
          <w:cantSplit/>
          <w:tblHeader/>
        </w:trPr>
        <w:tc>
          <w:tcPr>
            <w:shd w:val="clear" w:color="auto" w:fill="1f5a73"/>
            <w:tcBorders/>
            <w:tcMar>
              <w:left w:w="70" w:type="dxa"/>
              <w:top w:w="60" w:type="dxa"/>
              <w:right w:w="70" w:type="dxa"/>
              <w:bottom w:w="60" w:type="dxa"/>
            </w:tcMar>
            <w:tcW w:w="9936" w:type="dxa"/>
            <w:vAlign w:val="top"/>
          </w:tcPr>
          <w:p>
            <w:pPr>
              <w:pStyle w:val="1301"/>
              <w:pBdr/>
              <w:spacing/>
              <w:ind/>
              <w:rPr/>
            </w:pPr>
            <w:r>
              <w:t xml:space="preserve">Governing — Publication decision</w:t>
            </w:r>
            <w:r/>
          </w:p>
        </w:tc>
      </w:tr>
      <w:tr>
        <w:trPr>
          <w:cantSplit/>
        </w:trPr>
        <w:tc>
          <w:tcPr>
            <w:shd w:val="clear" w:color="auto" w:fill="eaf2f6"/>
            <w:tcBorders/>
            <w:tcMar>
              <w:left w:w="70" w:type="dxa"/>
              <w:top w:w="60" w:type="dxa"/>
              <w:right w:w="70" w:type="dxa"/>
              <w:bottom w:w="60" w:type="dxa"/>
            </w:tcMar>
            <w:tcW w:w="10006" w:type="dxa"/>
            <w:vAlign w:val="top"/>
          </w:tcPr>
          <w:p>
            <w:pPr>
              <w:pStyle w:val="1302"/>
              <w:pBdr/>
              <w:spacing/>
              <w:ind/>
              <w:rPr/>
            </w:pPr>
            <w:r>
              <w:t xml:space="preserve">Adopt a two-volume hybrid argumentative publication supported by an integral versioned Digital Atlas. The print argument is organized aroun</w:t>
            </w:r>
            <w:r>
              <w:t xml:space="preserve">d comparative problems and fault lines rather than traditions, regions or the fifteen analytical domains. Bounded Positions supply the evidence; factual attributions and generated exhibits trace to the Canonical Evidence Store under Research Specification.</w:t>
            </w:r>
            <w:r/>
          </w:p>
        </w:tc>
      </w:tr>
    </w:tbl>
    <w:p>
      <w:pPr>
        <w:pStyle w:val="1300"/>
        <w:pBdr/>
        <w:spacing/>
        <w:ind/>
        <w:rPr/>
      </w:pPr>
      <w:r/>
      <w:r/>
    </w:p>
    <w:p>
      <w:pPr>
        <w:pStyle w:val="1184"/>
        <w:keepNext w:val="true"/>
        <w:keepLines w:val="true"/>
        <w:pBdr/>
        <w:spacing/>
        <w:ind/>
        <w:rPr/>
      </w:pPr>
      <w:r/>
      <w:bookmarkStart w:id="101" w:name="T_DECISION_SUMMARY"/>
      <w:r>
        <w:t xml:space="preserve">Governing — Publication architecture decision summary</w:t>
      </w:r>
      <w:bookmarkEnd w:id="101"/>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2538"/>
        <w:gridCol w:w="7468"/>
      </w:tblGrid>
      <w:tr>
        <w:trPr>
          <w:cantSplit/>
          <w:tblHeader/>
        </w:trPr>
        <w:tc>
          <w:tcPr>
            <w:shd w:val="clear" w:color="auto" w:fill="1f5a73"/>
            <w:tcBorders/>
            <w:tcMar>
              <w:left w:w="70" w:type="dxa"/>
              <w:top w:w="60" w:type="dxa"/>
              <w:right w:w="70" w:type="dxa"/>
              <w:bottom w:w="60" w:type="dxa"/>
            </w:tcMar>
            <w:tcW w:w="2538" w:type="dxa"/>
            <w:vAlign w:val="top"/>
          </w:tcPr>
          <w:p>
            <w:pPr>
              <w:pStyle w:val="1298"/>
              <w:pBdr/>
              <w:spacing/>
              <w:ind/>
              <w:rPr/>
            </w:pPr>
            <w:r>
              <w:t xml:space="preserve">Decision area</w:t>
            </w:r>
            <w:r/>
          </w:p>
        </w:tc>
        <w:tc>
          <w:tcPr>
            <w:shd w:val="clear" w:color="auto" w:fill="1f5a73"/>
            <w:tcBorders/>
            <w:tcMar>
              <w:left w:w="70" w:type="dxa"/>
              <w:top w:w="60" w:type="dxa"/>
              <w:right w:w="70" w:type="dxa"/>
              <w:bottom w:w="60" w:type="dxa"/>
            </w:tcMar>
            <w:tcW w:w="7468" w:type="dxa"/>
            <w:vAlign w:val="top"/>
          </w:tcPr>
          <w:p>
            <w:pPr>
              <w:pStyle w:val="1298"/>
              <w:pBdr/>
              <w:spacing/>
              <w:ind/>
              <w:rPr/>
            </w:pPr>
            <w:r>
              <w:t xml:space="preserve">Adopted ruling</w:t>
            </w:r>
            <w:r/>
          </w:p>
        </w:tc>
      </w:tr>
      <w:tr>
        <w:trPr>
          <w:cantSplit/>
        </w:trPr>
        <w:tc>
          <w:tcPr>
            <w:tcBorders/>
            <w:tcMar>
              <w:left w:w="70" w:type="dxa"/>
              <w:top w:w="60" w:type="dxa"/>
              <w:right w:w="70" w:type="dxa"/>
              <w:bottom w:w="60" w:type="dxa"/>
            </w:tcMar>
            <w:tcW w:w="2538" w:type="dxa"/>
            <w:vAlign w:val="top"/>
          </w:tcPr>
          <w:p>
            <w:pPr>
              <w:pStyle w:val="1296"/>
              <w:pBdr/>
              <w:spacing/>
              <w:ind/>
              <w:rPr/>
            </w:pPr>
            <w:r>
              <w:t xml:space="preserve">Print architecture</w:t>
            </w:r>
            <w:r/>
          </w:p>
        </w:tc>
        <w:tc>
          <w:tcPr>
            <w:tcBorders/>
            <w:tcMar>
              <w:left w:w="70" w:type="dxa"/>
              <w:top w:w="60" w:type="dxa"/>
              <w:right w:w="70" w:type="dxa"/>
              <w:bottom w:w="60" w:type="dxa"/>
            </w:tcMar>
            <w:tcW w:w="7468" w:type="dxa"/>
            <w:vAlign w:val="top"/>
          </w:tcPr>
          <w:p>
            <w:pPr>
              <w:pStyle w:val="1296"/>
              <w:pBdr/>
              <w:spacing/>
              <w:ind/>
              <w:rPr/>
            </w:pPr>
            <w:r>
              <w:t xml:space="preserve">Two volumes; six publication Parts; twenty chapters. Chapters 1–10 form Volume I and Chapters 11–20 form Volume II.</w:t>
            </w:r>
            <w:r/>
          </w:p>
        </w:tc>
      </w:tr>
      <w:tr>
        <w:trPr>
          <w:cantSplit/>
        </w:trPr>
        <w:tc>
          <w:tcPr>
            <w:shd w:val="clear" w:color="auto" w:fill="f7f9fa"/>
            <w:tcBorders/>
            <w:tcMar>
              <w:left w:w="70" w:type="dxa"/>
              <w:top w:w="60" w:type="dxa"/>
              <w:right w:w="70" w:type="dxa"/>
              <w:bottom w:w="60" w:type="dxa"/>
            </w:tcMar>
            <w:tcW w:w="2538" w:type="dxa"/>
            <w:vAlign w:val="top"/>
          </w:tcPr>
          <w:p>
            <w:pPr>
              <w:pStyle w:val="1296"/>
              <w:pBdr/>
              <w:spacing/>
              <w:ind/>
              <w:rPr/>
            </w:pPr>
            <w:r>
              <w:t xml:space="preserve">Volume I — Worlds, Grounds, Minds</w:t>
            </w:r>
            <w:r/>
          </w:p>
        </w:tc>
        <w:tc>
          <w:tcPr>
            <w:shd w:val="clear" w:color="auto" w:fill="f7f9fa"/>
            <w:tcBorders/>
            <w:tcMar>
              <w:left w:w="70" w:type="dxa"/>
              <w:top w:w="60" w:type="dxa"/>
              <w:right w:w="70" w:type="dxa"/>
              <w:bottom w:w="60" w:type="dxa"/>
            </w:tcMar>
            <w:tcW w:w="7468" w:type="dxa"/>
            <w:vAlign w:val="top"/>
          </w:tcPr>
          <w:p>
            <w:pPr>
              <w:pStyle w:val="1296"/>
              <w:pBdr/>
              <w:spacing/>
              <w:ind/>
              <w:rPr/>
            </w:pPr>
            <w:r>
              <w:t xml:space="preserve">Comparison discipline; ultimacy; plurality; cosmogenesis; world status; consciousness; self; identity; subjecthood.</w:t>
            </w:r>
            <w:r/>
          </w:p>
        </w:tc>
      </w:tr>
      <w:tr>
        <w:trPr>
          <w:cantSplit/>
        </w:trPr>
        <w:tc>
          <w:tcPr>
            <w:tcBorders/>
            <w:tcMar>
              <w:left w:w="70" w:type="dxa"/>
              <w:top w:w="60" w:type="dxa"/>
              <w:right w:w="70" w:type="dxa"/>
              <w:bottom w:w="60" w:type="dxa"/>
            </w:tcMar>
            <w:tcW w:w="2538" w:type="dxa"/>
            <w:vAlign w:val="top"/>
          </w:tcPr>
          <w:p>
            <w:pPr>
              <w:pStyle w:val="1296"/>
              <w:pBdr/>
              <w:spacing/>
              <w:ind/>
              <w:rPr/>
            </w:pPr>
            <w:r>
              <w:t xml:space="preserve">Volume II — Agency, Transformation, Ends</w:t>
            </w:r>
            <w:r/>
          </w:p>
        </w:tc>
        <w:tc>
          <w:tcPr>
            <w:tcBorders/>
            <w:tcMar>
              <w:left w:w="70" w:type="dxa"/>
              <w:top w:w="60" w:type="dxa"/>
              <w:right w:w="70" w:type="dxa"/>
              <w:bottom w:w="60" w:type="dxa"/>
            </w:tcMar>
            <w:tcW w:w="7468" w:type="dxa"/>
            <w:vAlign w:val="top"/>
          </w:tcPr>
          <w:p>
            <w:pPr>
              <w:pStyle w:val="1296"/>
              <w:pBdr/>
              <w:spacing/>
              <w:ind/>
              <w:rPr/>
            </w:pPr>
            <w:r>
              <w:t xml:space="preserve">Knowledge and conditions of knowing; diagnosis; praxis; causal order; agency; world relation; death; telos; L2 synthesis; limits.</w:t>
            </w:r>
            <w:r/>
          </w:p>
        </w:tc>
      </w:tr>
      <w:tr>
        <w:trPr>
          <w:cantSplit/>
        </w:trPr>
        <w:tc>
          <w:tcPr>
            <w:tcBorders/>
            <w:tcMar>
              <w:left w:w="70" w:type="dxa"/>
              <w:top w:w="60" w:type="dxa"/>
              <w:right w:w="70" w:type="dxa"/>
              <w:bottom w:w="60" w:type="dxa"/>
            </w:tcMar>
            <w:tcW w:w="2538" w:type="dxa"/>
            <w:vAlign w:val="top"/>
          </w:tcPr>
          <w:p>
            <w:pPr>
              <w:pStyle w:val="1296"/>
              <w:pBdr/>
              <w:spacing/>
              <w:ind/>
              <w:rPr/>
            </w:pPr>
            <w:r>
              <w:t xml:space="preserve">Integrative argument</w:t>
            </w:r>
            <w:r/>
          </w:p>
        </w:tc>
        <w:tc>
          <w:tcPr>
            <w:tcBorders/>
            <w:tcMar>
              <w:left w:w="70" w:type="dxa"/>
              <w:top w:w="60" w:type="dxa"/>
              <w:right w:w="70" w:type="dxa"/>
              <w:bottom w:w="60" w:type="dxa"/>
            </w:tcMar>
            <w:tcW w:w="7468" w:type="dxa"/>
            <w:vAlign w:val="top"/>
          </w:tcPr>
          <w:p>
            <w:pPr>
              <w:pStyle w:val="1296"/>
              <w:pBdr/>
              <w:spacing/>
              <w:ind/>
              <w:rPr/>
            </w:pPr>
            <w:r>
              <w:t xml:space="preserve">Map how Positions connect </w:t>
            </w:r>
            <w:r>
              <w:t xml:space="preserve">or separate claims about reality, epistemic authority and access, sources or structures of error, and transformation, including any source-grounded qualification of knowing or of a knower or subject. Questions of epistemic authority and access provide the </w:t>
            </w:r>
            <w:r>
              <w:t xml:space="preserve">editorial transition from accounts of reality and subjecthood to diagnosis, transformation and action. This sequence prescribes neither a universal relation nor a distinct knower, and does not make consciousness a proxy for subjecthood or epistemic access.</w:t>
            </w:r>
            <w:r/>
          </w:p>
        </w:tc>
      </w:tr>
      <w:tr>
        <w:trPr>
          <w:cantSplit/>
        </w:trPr>
        <w:tc>
          <w:tcPr>
            <w:shd w:val="clear" w:color="auto" w:fill="f7f9fa"/>
            <w:tcBorders/>
            <w:tcMar>
              <w:left w:w="70" w:type="dxa"/>
              <w:top w:w="60" w:type="dxa"/>
              <w:right w:w="70" w:type="dxa"/>
              <w:bottom w:w="60" w:type="dxa"/>
            </w:tcMar>
            <w:tcW w:w="2538" w:type="dxa"/>
            <w:vAlign w:val="top"/>
          </w:tcPr>
          <w:p>
            <w:pPr>
              <w:pStyle w:val="1296"/>
              <w:pBdr/>
              <w:spacing/>
              <w:ind/>
              <w:rPr/>
            </w:pPr>
            <w:r>
              <w:t xml:space="preserve">Narrative scale</w:t>
            </w:r>
            <w:r/>
          </w:p>
        </w:tc>
        <w:tc>
          <w:tcPr>
            <w:shd w:val="clear" w:color="auto" w:fill="f7f9fa"/>
            <w:tcBorders/>
            <w:tcMar>
              <w:left w:w="70" w:type="dxa"/>
              <w:top w:w="60" w:type="dxa"/>
              <w:right w:w="70" w:type="dxa"/>
              <w:bottom w:w="60" w:type="dxa"/>
            </w:tcMar>
            <w:tcW w:w="7468" w:type="dxa"/>
            <w:vAlign w:val="top"/>
          </w:tcPr>
          <w:p>
            <w:pPr>
              <w:pStyle w:val="1296"/>
              <w:pBdr/>
              <w:spacing/>
              <w:ind/>
              <w:rPr/>
            </w:pPr>
            <w:r>
              <w:t xml:space="preserve">Approximately 255,000 narrative words plus approximately 35,000 words of notes, bibliography and selected appendices: approximately 290,000 print words.</w:t>
            </w:r>
            <w:r/>
          </w:p>
        </w:tc>
      </w:tr>
      <w:tr>
        <w:trPr>
          <w:cantSplit/>
        </w:trPr>
        <w:tc>
          <w:tcPr>
            <w:tcBorders/>
            <w:tcMar>
              <w:left w:w="70" w:type="dxa"/>
              <w:top w:w="60" w:type="dxa"/>
              <w:right w:w="70" w:type="dxa"/>
              <w:bottom w:w="60" w:type="dxa"/>
            </w:tcMar>
            <w:tcW w:w="2538" w:type="dxa"/>
            <w:vAlign w:val="top"/>
          </w:tcPr>
          <w:p>
            <w:pPr>
              <w:pStyle w:val="1296"/>
              <w:pBdr/>
              <w:spacing/>
              <w:ind/>
              <w:rPr/>
            </w:pPr>
            <w:r>
              <w:t xml:space="preserve">Adopted corpus</w:t>
            </w:r>
            <w:r/>
          </w:p>
        </w:tc>
        <w:tc>
          <w:tcPr>
            <w:tcBorders/>
            <w:tcMar>
              <w:left w:w="70" w:type="dxa"/>
              <w:top w:w="60" w:type="dxa"/>
              <w:right w:w="70" w:type="dxa"/>
              <w:bottom w:w="60" w:type="dxa"/>
            </w:tcMar>
            <w:tcW w:w="7468" w:type="dxa"/>
            <w:vAlign w:val="top"/>
          </w:tcPr>
          <w:p>
            <w:pPr>
              <w:pStyle w:val="1296"/>
              <w:pBdr/>
              <w:spacing/>
              <w:ind/>
              <w:rPr/>
            </w:pPr>
            <w:r>
              <w:t xml:space="preserve">18 CORE, 11 MAJOR COMPARATOR, 3 COUNTEREXAMPLE-STRESS, 5 DIGITAL-REFERENCE and 3 HOLD-FUTURE Positions.</w:t>
            </w:r>
            <w:r/>
          </w:p>
          <w:p>
            <w:pPr>
              <w:pStyle w:val="1296"/>
              <w:pBdr/>
              <w:spacing/>
              <w:ind/>
              <w:rPr/>
            </w:pPr>
            <w:r>
              <w:t xml:space="preserve">The adopted corpus is purpos</w:t>
            </w:r>
            <w:r>
              <w:t xml:space="preserve">ive and organized around selected comparative problems. It is not statistically, geographically or civilizationally representative of humanity. Coverage debt constrains the scope of any resulting synthesis and is not resolved by the adoption of the corpus.</w:t>
            </w:r>
            <w:r/>
          </w:p>
          <w:p>
            <w:pPr>
              <w:pStyle w:val="1296"/>
              <w:pBdr/>
              <w:spacing/>
              <w:ind/>
              <w:rPr/>
            </w:pPr>
            <w:r>
              <w:t xml:space="preserve">CORE designates recurring editorial function within this publication architecture. It is not a judgment of truth, canonical standing, cultural rank or global representativeness.</w:t>
            </w:r>
            <w:r/>
          </w:p>
        </w:tc>
      </w:tr>
      <w:tr>
        <w:trPr>
          <w:cantSplit/>
        </w:trPr>
        <w:tc>
          <w:tcPr>
            <w:shd w:val="clear" w:color="auto" w:fill="f7f9fa"/>
            <w:tcBorders/>
            <w:tcMar>
              <w:left w:w="70" w:type="dxa"/>
              <w:top w:w="60" w:type="dxa"/>
              <w:right w:w="70" w:type="dxa"/>
              <w:bottom w:w="60" w:type="dxa"/>
            </w:tcMar>
            <w:tcW w:w="2538" w:type="dxa"/>
            <w:vAlign w:val="top"/>
          </w:tcPr>
          <w:p>
            <w:pPr>
              <w:pStyle w:val="1296"/>
              <w:pBdr/>
              <w:spacing/>
              <w:ind/>
              <w:rPr/>
            </w:pPr>
            <w:r>
              <w:t xml:space="preserve">Digital role</w:t>
            </w:r>
            <w:r/>
          </w:p>
        </w:tc>
        <w:tc>
          <w:tcPr>
            <w:shd w:val="clear" w:color="auto" w:fill="f7f9fa"/>
            <w:tcBorders/>
            <w:tcMar>
              <w:left w:w="70" w:type="dxa"/>
              <w:top w:w="60" w:type="dxa"/>
              <w:right w:w="70" w:type="dxa"/>
              <w:bottom w:w="60" w:type="dxa"/>
            </w:tcMar>
            <w:tcW w:w="7468" w:type="dxa"/>
            <w:vAlign w:val="top"/>
          </w:tcPr>
          <w:p>
            <w:pPr>
              <w:pStyle w:val="1296"/>
              <w:pBdr/>
              <w:spacing/>
              <w:ind/>
              <w:rPr/>
            </w:pPr>
            <w:r>
              <w:t xml:space="preserve">Integral, not optional. Full records, provenance, updates and generated views remain in the governed digital evidence system.</w:t>
            </w:r>
            <w:r/>
          </w:p>
        </w:tc>
      </w:tr>
      <w:tr>
        <w:trPr>
          <w:cantSplit/>
        </w:trPr>
        <w:tc>
          <w:tcPr>
            <w:tcBorders/>
            <w:tcMar>
              <w:left w:w="70" w:type="dxa"/>
              <w:top w:w="60" w:type="dxa"/>
              <w:right w:w="70" w:type="dxa"/>
              <w:bottom w:w="60" w:type="dxa"/>
            </w:tcMar>
            <w:tcW w:w="2538" w:type="dxa"/>
            <w:vAlign w:val="top"/>
          </w:tcPr>
          <w:p>
            <w:pPr>
              <w:pStyle w:val="1296"/>
              <w:pBdr/>
              <w:spacing/>
              <w:ind/>
              <w:rPr/>
            </w:pPr>
            <w:r>
              <w:t xml:space="preserve">Synthesis boundary</w:t>
            </w:r>
            <w:r/>
          </w:p>
        </w:tc>
        <w:tc>
          <w:tcPr>
            <w:tcBorders/>
            <w:tcMar>
              <w:left w:w="70" w:type="dxa"/>
              <w:top w:w="60" w:type="dxa"/>
              <w:right w:w="70" w:type="dxa"/>
              <w:bottom w:w="60" w:type="dxa"/>
            </w:tcMar>
            <w:tcW w:w="7468" w:type="dxa"/>
            <w:vAlign w:val="top"/>
          </w:tcPr>
          <w:p>
            <w:pPr>
              <w:pStyle w:val="1296"/>
              <w:pBdr/>
              <w:spacing/>
              <w:ind/>
              <w:rPr/>
            </w:pPr>
            <w:r>
              <w:t xml:space="preserve">Current manuscript work is limited to L0–L2. L3–L4 remain gated; L5 is outside Atlas database inference.</w:t>
            </w:r>
            <w:r/>
          </w:p>
        </w:tc>
      </w:tr>
      <w:tr>
        <w:trPr>
          <w:cantSplit/>
        </w:trPr>
        <w:tc>
          <w:tcPr>
            <w:shd w:val="clear" w:color="auto" w:fill="f7f9fa"/>
            <w:tcBorders/>
            <w:tcMar>
              <w:left w:w="70" w:type="dxa"/>
              <w:top w:w="60" w:type="dxa"/>
              <w:right w:w="70" w:type="dxa"/>
              <w:bottom w:w="60" w:type="dxa"/>
            </w:tcMar>
            <w:tcW w:w="2538" w:type="dxa"/>
            <w:vAlign w:val="top"/>
          </w:tcPr>
          <w:p>
            <w:pPr>
              <w:pStyle w:val="1296"/>
              <w:pBdr/>
              <w:spacing/>
              <w:ind/>
              <w:rPr/>
            </w:pPr>
            <w:r>
              <w:t xml:space="preserve">Publication claims</w:t>
            </w:r>
            <w:r/>
          </w:p>
        </w:tc>
        <w:tc>
          <w:tcPr>
            <w:shd w:val="clear" w:color="auto" w:fill="f7f9fa"/>
            <w:tcBorders/>
            <w:tcMar>
              <w:left w:w="70" w:type="dxa"/>
              <w:top w:w="60" w:type="dxa"/>
              <w:right w:w="70" w:type="dxa"/>
              <w:bottom w:w="60" w:type="dxa"/>
            </w:tcMar>
            <w:tcW w:w="7468" w:type="dxa"/>
            <w:vAlign w:val="top"/>
          </w:tcPr>
          <w:p>
            <w:pPr>
              <w:pStyle w:val="1296"/>
              <w:pBdr/>
              <w:spacing/>
              <w:ind/>
              <w:rPr/>
            </w:pPr>
            <w:r>
              <w:t xml:space="preserve">Every thesis-bearing chapter claim must satisfy the PublicationClaim traceability and release requirements governed by Research Specification §§10 and 12 and Research Specification Annex B.</w:t>
            </w:r>
            <w:r/>
          </w:p>
        </w:tc>
      </w:tr>
    </w:tbl>
    <w:p>
      <w:pPr>
        <w:pStyle w:val="1300"/>
        <w:pBdr/>
        <w:spacing/>
        <w:ind/>
        <w:rPr/>
      </w:pPr>
      <w:r/>
      <w:r/>
    </w:p>
    <w:p>
      <w:pPr>
        <w:pBdr/>
        <w:spacing/>
        <w:ind/>
        <w:rPr/>
      </w:pPr>
      <w:r>
        <w:rPr>
          <w:b/>
        </w:rPr>
        <w:t xml:space="preserve">Question answered by the complete work. Across historically and concep</w:t>
      </w:r>
      <w:r>
        <w:rPr>
          <w:b/>
        </w:rPr>
        <w:t xml:space="preserve">tually heterogeneous, source-identifiable Positions, what recurrent metaphysical-existential problems and solution-spaces become visible under disciplined comparison? How do Positions connect or separate claims about reality, epistemic authority and access</w:t>
      </w:r>
      <w:r>
        <w:rPr>
          <w:b/>
        </w:rPr>
        <w:t xml:space="preserve">, sources or structures of error and transformation, including source-grounded conditions or qualifications of knowing or of a knower or subject? Which apparent similarities dissolve under translation or genealogy? Where do scoped incompatibilities remain?</w:t>
      </w:r>
      <w:r/>
    </w:p>
    <w:p>
      <w:pPr>
        <w:pBdr/>
        <w:spacing/>
        <w:ind/>
        <w:rPr/>
      </w:pPr>
      <w:r>
        <w:rPr>
          <w:b/>
        </w:rPr>
        <w:t xml:space="preserve">Reader promise. The Atlas is designed to examine differences that shared vocabulary can conceal, functional parallels that coexist with incompatible claims, and the different way</w:t>
      </w:r>
      <w:r>
        <w:rPr>
          <w:b/>
        </w:rPr>
        <w:t xml:space="preserve">s Positions connect or separate knowing and transformation. It also tests where a comparison category distorts its sources or an apparent pattern fails. Its contribution lies in making these distinctions inspectable, not in guaranteeing a common structure.</w:t>
      </w:r>
      <w:r/>
    </w:p>
    <w:p>
      <w:pPr>
        <w:pBdr/>
        <w:spacing/>
        <w:ind/>
        <w:rPr/>
      </w:pPr>
      <w:r>
        <w:rPr>
          <w:b/>
        </w:rPr>
        <w:t xml:space="preserve">Reader journey. Volume I introduces comparison through cases, then moves from world structure to consciousness and personhood. Volume II moves through knowing, diagnosis, transformation, causation, agency, death, telos and bounded synthesis</w:t>
      </w:r>
      <w:r>
        <w:rPr>
          <w:b/>
        </w:rPr>
        <w:t xml:space="preserve">. This sequence tests the relations described by each Position; it prescribes neither one relation between knowing and transformation nor one model of a knower. Position orientation is repeated where needed, with full reference detail in the Digital Atlas.</w:t>
      </w:r>
      <w:r/>
    </w:p>
    <w:p>
      <w:pPr>
        <w:pBdr/>
        <w:spacing/>
        <w:ind/>
        <w:rPr/>
      </w:pPr>
      <w:r>
        <w:rPr>
          <w:b/>
        </w:rPr>
        <w:t xml:space="preserve">Target readership.</w:t>
      </w:r>
      <w:r>
        <w:t xml:space="preserve"> Advanced general readers, graduate students, scholars in philosophy, religion and intellectual histo</w:t>
      </w:r>
      <w:r>
        <w:t xml:space="preserve">ry, and interdisciplinary researchers comfortable with source-sensitive comparative argument. The prose remains readable without prior competence in every tradition while retaining original-language concepts where translation is analytically consequential.</w:t>
      </w:r>
      <w:r/>
    </w:p>
    <w:p>
      <w:pPr>
        <w:pStyle w:val="1184"/>
        <w:keepNext w:val="true"/>
        <w:keepLines w:val="true"/>
        <w:pBdr/>
        <w:spacing/>
        <w:ind/>
        <w:rPr/>
      </w:pPr>
      <w:r>
        <w:t xml:space="preserve">Governing — Role-based use guide</w:t>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3263"/>
        <w:gridCol w:w="6743"/>
      </w:tblGrid>
      <w:tr>
        <w:trPr>
          <w:cantSplit/>
          <w:tblHeader/>
        </w:trPr>
        <w:tc>
          <w:tcPr>
            <w:shd w:val="clear" w:color="auto" w:fill="1f5a73"/>
            <w:tcBorders/>
            <w:tcMar>
              <w:left w:w="70" w:type="dxa"/>
              <w:top w:w="60" w:type="dxa"/>
              <w:right w:w="70" w:type="dxa"/>
              <w:bottom w:w="60" w:type="dxa"/>
            </w:tcMar>
            <w:tcW w:w="3263" w:type="dxa"/>
            <w:vAlign w:val="top"/>
          </w:tcPr>
          <w:p>
            <w:pPr>
              <w:pStyle w:val="1298"/>
              <w:pBdr/>
              <w:spacing/>
              <w:ind/>
              <w:rPr/>
            </w:pPr>
            <w:r>
              <w:t xml:space="preserve">Role or task</w:t>
            </w:r>
            <w:r/>
          </w:p>
        </w:tc>
        <w:tc>
          <w:tcPr>
            <w:shd w:val="clear" w:color="auto" w:fill="1f5a73"/>
            <w:tcBorders/>
            <w:tcMar>
              <w:left w:w="70" w:type="dxa"/>
              <w:top w:w="60" w:type="dxa"/>
              <w:right w:w="70" w:type="dxa"/>
              <w:bottom w:w="60" w:type="dxa"/>
            </w:tcMar>
            <w:tcW w:w="6743" w:type="dxa"/>
            <w:vAlign w:val="top"/>
          </w:tcPr>
          <w:p>
            <w:pPr>
              <w:pStyle w:val="1298"/>
              <w:pBdr/>
              <w:spacing/>
              <w:ind/>
              <w:rPr/>
            </w:pPr>
            <w:r>
              <w:t xml:space="preserve">Primary reading path</w:t>
            </w:r>
            <w:r/>
          </w:p>
        </w:tc>
      </w:tr>
      <w:tr>
        <w:trPr>
          <w:cantSplit/>
        </w:trPr>
        <w:tc>
          <w:tcPr>
            <w:tcBorders/>
            <w:tcMar>
              <w:left w:w="70" w:type="dxa"/>
              <w:top w:w="60" w:type="dxa"/>
              <w:right w:w="70" w:type="dxa"/>
              <w:bottom w:w="60" w:type="dxa"/>
            </w:tcMar>
            <w:tcW w:w="3263" w:type="dxa"/>
            <w:vAlign w:val="top"/>
          </w:tcPr>
          <w:p>
            <w:pPr>
              <w:pStyle w:val="1296"/>
              <w:pBdr/>
              <w:spacing/>
              <w:ind/>
              <w:rPr/>
            </w:pPr>
            <w:r>
              <w:t xml:space="preserve">Acquisitions and commissioning authority</w:t>
            </w:r>
            <w:r/>
          </w:p>
        </w:tc>
        <w:tc>
          <w:tcPr>
            <w:tcBorders/>
            <w:tcMar>
              <w:left w:w="70" w:type="dxa"/>
              <w:top w:w="60" w:type="dxa"/>
              <w:right w:w="70" w:type="dxa"/>
              <w:bottom w:w="60" w:type="dxa"/>
            </w:tcMar>
            <w:tcW w:w="6743" w:type="dxa"/>
            <w:vAlign w:val="top"/>
          </w:tcPr>
          <w:p>
            <w:pPr>
              <w:pStyle w:val="1296"/>
              <w:pBdr/>
              <w:spacing/>
              <w:ind/>
              <w:rPr/>
            </w:pPr>
            <w:r>
              <w:t xml:space="preserve">Decision and use guide; publication proposition; corpus, scale, implementation burden and major dependency summary.</w:t>
            </w:r>
            <w:r/>
          </w:p>
        </w:tc>
      </w:tr>
      <w:tr>
        <w:trPr>
          <w:cantSplit/>
        </w:trPr>
        <w:tc>
          <w:tcPr>
            <w:shd w:val="clear" w:color="auto" w:fill="f7f9fa"/>
            <w:tcBorders/>
            <w:tcMar>
              <w:left w:w="70" w:type="dxa"/>
              <w:top w:w="60" w:type="dxa"/>
              <w:right w:w="70" w:type="dxa"/>
              <w:bottom w:w="60" w:type="dxa"/>
            </w:tcMar>
            <w:tcW w:w="3263" w:type="dxa"/>
            <w:vAlign w:val="top"/>
          </w:tcPr>
          <w:p>
            <w:pPr>
              <w:pStyle w:val="1296"/>
              <w:pBdr/>
              <w:spacing/>
              <w:ind/>
              <w:rPr/>
            </w:pPr>
            <w:r>
              <w:t xml:space="preserve">Editorial sponsor and peer reviewer</w:t>
            </w:r>
            <w:r/>
          </w:p>
        </w:tc>
        <w:tc>
          <w:tcPr>
            <w:shd w:val="clear" w:color="auto" w:fill="f7f9fa"/>
            <w:tcBorders/>
            <w:tcMar>
              <w:left w:w="70" w:type="dxa"/>
              <w:top w:w="60" w:type="dxa"/>
              <w:right w:w="70" w:type="dxa"/>
              <w:bottom w:w="60" w:type="dxa"/>
            </w:tcMar>
            <w:tcW w:w="6743" w:type="dxa"/>
            <w:vAlign w:val="top"/>
          </w:tcPr>
          <w:p>
            <w:pPr>
              <w:pStyle w:val="1296"/>
              <w:pBdr/>
              <w:spacing/>
              <w:ind/>
              <w:rPr/>
            </w:pPr>
            <w:r>
              <w:t xml:space="preserve">Part I editorial architecture and Part II chapter briefs; Research Specification for evidence, translation, comparison and representation safeguards.</w:t>
            </w:r>
            <w:r/>
          </w:p>
        </w:tc>
      </w:tr>
      <w:tr>
        <w:trPr>
          <w:cantSplit/>
        </w:trPr>
        <w:tc>
          <w:tcPr>
            <w:tcBorders/>
            <w:tcMar>
              <w:left w:w="70" w:type="dxa"/>
              <w:top w:w="60" w:type="dxa"/>
              <w:right w:w="70" w:type="dxa"/>
              <w:bottom w:w="60" w:type="dxa"/>
            </w:tcMar>
            <w:tcW w:w="3263" w:type="dxa"/>
            <w:vAlign w:val="top"/>
          </w:tcPr>
          <w:p>
            <w:pPr>
              <w:pStyle w:val="1296"/>
              <w:pBdr/>
              <w:spacing/>
              <w:ind/>
              <w:rPr/>
            </w:pPr>
            <w:r>
              <w:t xml:space="preserve">Programme and production lead</w:t>
            </w:r>
            <w:r/>
          </w:p>
        </w:tc>
        <w:tc>
          <w:tcPr>
            <w:tcBorders/>
            <w:tcMar>
              <w:left w:w="70" w:type="dxa"/>
              <w:top w:w="60" w:type="dxa"/>
              <w:right w:w="70" w:type="dxa"/>
              <w:bottom w:w="60" w:type="dxa"/>
            </w:tcMar>
            <w:tcW w:w="6743" w:type="dxa"/>
            <w:vAlign w:val="top"/>
          </w:tcPr>
          <w:p>
            <w:pPr>
              <w:pStyle w:val="1296"/>
              <w:pBdr/>
              <w:spacing/>
              <w:ind/>
              <w:rPr/>
            </w:pPr>
            <w:r>
              <w:t xml:space="preserve">Part III production control; chapter briefs; dependency snapshot; generated manifests and release handoff.</w:t>
            </w:r>
            <w:r/>
          </w:p>
        </w:tc>
      </w:tr>
      <w:tr>
        <w:trPr>
          <w:cantSplit/>
        </w:trPr>
        <w:tc>
          <w:tcPr>
            <w:shd w:val="clear" w:color="auto" w:fill="f7f9fa"/>
            <w:tcBorders/>
            <w:tcMar>
              <w:left w:w="70" w:type="dxa"/>
              <w:top w:w="60" w:type="dxa"/>
              <w:right w:w="70" w:type="dxa"/>
              <w:bottom w:w="60" w:type="dxa"/>
            </w:tcMar>
            <w:tcW w:w="3263" w:type="dxa"/>
            <w:vAlign w:val="top"/>
          </w:tcPr>
          <w:p>
            <w:pPr>
              <w:pStyle w:val="1296"/>
              <w:pBdr/>
              <w:spacing/>
              <w:ind/>
              <w:rPr/>
            </w:pPr>
            <w:r>
              <w:t xml:space="preserve">Research methods and validation lead</w:t>
            </w:r>
            <w:r/>
          </w:p>
        </w:tc>
        <w:tc>
          <w:tcPr>
            <w:shd w:val="clear" w:color="auto" w:fill="f7f9fa"/>
            <w:tcBorders/>
            <w:tcMar>
              <w:left w:w="70" w:type="dxa"/>
              <w:top w:w="60" w:type="dxa"/>
              <w:right w:w="70" w:type="dxa"/>
              <w:bottom w:w="60" w:type="dxa"/>
            </w:tcMar>
            <w:tcW w:w="6743" w:type="dxa"/>
            <w:vAlign w:val="top"/>
          </w:tcPr>
          <w:p>
            <w:pPr>
              <w:pStyle w:val="1296"/>
              <w:pBdr/>
              <w:spacing/>
              <w:ind/>
              <w:rPr/>
            </w:pPr>
            <w:r>
              <w:t xml:space="preserve">Research Specification is primary; use this file for corpus placement, chapter use and publication-facing consequences.</w:t>
            </w:r>
            <w:r/>
          </w:p>
        </w:tc>
      </w:tr>
      <w:tr>
        <w:trPr>
          <w:cantSplit/>
        </w:trPr>
        <w:tc>
          <w:tcPr>
            <w:tcBorders/>
            <w:tcMar>
              <w:left w:w="70" w:type="dxa"/>
              <w:top w:w="60" w:type="dxa"/>
              <w:right w:w="70" w:type="dxa"/>
              <w:bottom w:w="60" w:type="dxa"/>
            </w:tcMar>
            <w:tcW w:w="3263" w:type="dxa"/>
            <w:vAlign w:val="top"/>
          </w:tcPr>
          <w:p>
            <w:pPr>
              <w:pStyle w:val="1296"/>
              <w:pBdr/>
              <w:spacing/>
              <w:ind/>
              <w:rPr/>
            </w:pPr>
            <w:r>
              <w:t xml:space="preserve">Digital product and data lead</w:t>
            </w:r>
            <w:r/>
          </w:p>
        </w:tc>
        <w:tc>
          <w:tcPr>
            <w:tcBorders/>
            <w:tcMar>
              <w:left w:w="70" w:type="dxa"/>
              <w:top w:w="60" w:type="dxa"/>
              <w:right w:w="70" w:type="dxa"/>
              <w:bottom w:w="60" w:type="dxa"/>
            </w:tcMar>
            <w:tcW w:w="6743" w:type="dxa"/>
            <w:vAlign w:val="top"/>
          </w:tcPr>
          <w:p>
            <w:pPr>
              <w:pStyle w:val="1296"/>
              <w:pBdr/>
              <w:spacing/>
              <w:ind/>
              <w:rPr/>
            </w:pPr>
            <w:r>
              <w:t xml:space="preserve">Part I print/digital allocation and Annex B generated views; Research Specification for canonical records, builds and validation.</w:t>
            </w:r>
            <w:r/>
          </w:p>
        </w:tc>
      </w:tr>
      <w:tr>
        <w:trPr>
          <w:cantSplit/>
        </w:trPr>
        <w:tc>
          <w:tcPr>
            <w:shd w:val="clear" w:color="auto" w:fill="f7f9fa"/>
            <w:tcBorders/>
            <w:tcMar>
              <w:left w:w="70" w:type="dxa"/>
              <w:top w:w="60" w:type="dxa"/>
              <w:right w:w="70" w:type="dxa"/>
              <w:bottom w:w="60" w:type="dxa"/>
            </w:tcMar>
            <w:tcW w:w="3263" w:type="dxa"/>
            <w:vAlign w:val="top"/>
          </w:tcPr>
          <w:p>
            <w:pPr>
              <w:pStyle w:val="1296"/>
              <w:pBdr/>
              <w:spacing/>
              <w:ind/>
              <w:rPr/>
            </w:pPr>
            <w:r>
              <w:t xml:space="preserve">Rights, legal and governance</w:t>
            </w:r>
            <w:r/>
          </w:p>
        </w:tc>
        <w:tc>
          <w:tcPr>
            <w:shd w:val="clear" w:color="auto" w:fill="f7f9fa"/>
            <w:tcBorders/>
            <w:tcMar>
              <w:left w:w="70" w:type="dxa"/>
              <w:top w:w="60" w:type="dxa"/>
              <w:right w:w="70" w:type="dxa"/>
              <w:bottom w:w="60" w:type="dxa"/>
            </w:tcMar>
            <w:tcW w:w="6743" w:type="dxa"/>
            <w:vAlign w:val="top"/>
          </w:tcPr>
          <w:p>
            <w:pPr>
              <w:pStyle w:val="1296"/>
              <w:pBdr/>
              <w:spacing/>
              <w:ind/>
              <w:rPr/>
            </w:pPr>
            <w:r>
              <w:t xml:space="preserve">Chapter dependencies, corpus exceptions and historical snapshot; Research Specification for rights, source-community governance and release eligibility.</w:t>
            </w:r>
            <w:r/>
          </w:p>
        </w:tc>
      </w:tr>
    </w:tbl>
    <w:p>
      <w:pPr>
        <w:pStyle w:val="1300"/>
        <w:pBdr/>
        <w:spacing/>
        <w:ind/>
        <w:rPr/>
      </w:pPr>
      <w:r/>
      <w:r/>
    </w:p>
    <w:p>
      <w:pPr>
        <w:pStyle w:val="1184"/>
        <w:keepNext w:val="true"/>
        <w:keepLines w:val="true"/>
        <w:pBdr/>
        <w:spacing/>
        <w:ind/>
        <w:rPr/>
      </w:pPr>
      <w:r>
        <w:t xml:space="preserve">Governing — Two-document authority map</w:t>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3553"/>
        <w:gridCol w:w="6453"/>
      </w:tblGrid>
      <w:tr>
        <w:trPr>
          <w:cantSplit/>
          <w:tblHeader/>
        </w:trPr>
        <w:tc>
          <w:tcPr>
            <w:shd w:val="clear" w:color="auto" w:fill="1f5a73"/>
            <w:tcBorders/>
            <w:tcMar>
              <w:left w:w="70" w:type="dxa"/>
              <w:top w:w="60" w:type="dxa"/>
              <w:right w:w="70" w:type="dxa"/>
              <w:bottom w:w="60" w:type="dxa"/>
            </w:tcMar>
            <w:tcW w:w="3553" w:type="dxa"/>
            <w:vAlign w:val="top"/>
          </w:tcPr>
          <w:p>
            <w:pPr>
              <w:pStyle w:val="1298"/>
              <w:pBdr/>
              <w:spacing/>
              <w:ind/>
              <w:rPr/>
            </w:pPr>
            <w:r>
              <w:t xml:space="preserve">Governing file</w:t>
            </w:r>
            <w:r/>
          </w:p>
        </w:tc>
        <w:tc>
          <w:tcPr>
            <w:shd w:val="clear" w:color="auto" w:fill="1f5a73"/>
            <w:tcBorders/>
            <w:tcMar>
              <w:left w:w="70" w:type="dxa"/>
              <w:top w:w="60" w:type="dxa"/>
              <w:right w:w="70" w:type="dxa"/>
              <w:bottom w:w="60" w:type="dxa"/>
            </w:tcMar>
            <w:tcW w:w="6453" w:type="dxa"/>
            <w:vAlign w:val="top"/>
          </w:tcPr>
          <w:p>
            <w:pPr>
              <w:pStyle w:val="1298"/>
              <w:pBdr/>
              <w:spacing/>
              <w:ind/>
              <w:rPr/>
            </w:pPr>
            <w:r>
              <w:t xml:space="preserve">Authority</w:t>
            </w:r>
            <w:r/>
          </w:p>
        </w:tc>
      </w:tr>
      <w:tr>
        <w:trPr>
          <w:cantSplit/>
        </w:trPr>
        <w:tc>
          <w:tcPr>
            <w:tcBorders/>
            <w:tcMar>
              <w:left w:w="70" w:type="dxa"/>
              <w:top w:w="60" w:type="dxa"/>
              <w:right w:w="70" w:type="dxa"/>
              <w:bottom w:w="60" w:type="dxa"/>
            </w:tcMar>
            <w:tcW w:w="3553" w:type="dxa"/>
            <w:vAlign w:val="top"/>
          </w:tcPr>
          <w:p>
            <w:pPr>
              <w:pStyle w:val="1296"/>
              <w:pBdr/>
              <w:spacing/>
              <w:ind/>
              <w:rPr/>
            </w:pPr>
            <w:r>
              <w:t xml:space="preserve">The Atlas of Being and Becoming — Research, Evidence &amp; Validation Specification</w:t>
            </w:r>
            <w:r/>
          </w:p>
        </w:tc>
        <w:tc>
          <w:tcPr>
            <w:tcBorders/>
            <w:tcMar>
              <w:left w:w="70" w:type="dxa"/>
              <w:top w:w="60" w:type="dxa"/>
              <w:right w:w="70" w:type="dxa"/>
              <w:bottom w:w="60" w:type="dxa"/>
            </w:tcMar>
            <w:tcW w:w="6453" w:type="dxa"/>
            <w:vAlign w:val="top"/>
          </w:tcPr>
          <w:p>
            <w:pPr>
              <w:pStyle w:val="1296"/>
              <w:pBdr/>
              <w:spacing/>
              <w:ind/>
              <w:rPr/>
            </w:pPr>
            <w:r>
              <w:t xml:space="preserve">Shared research method, evidence, provenance, comparison, representation, validation, synthesis, canonical records, PublicationClaim traceability, public claims and release readiness.</w:t>
            </w:r>
            <w:r/>
          </w:p>
        </w:tc>
      </w:tr>
      <w:tr>
        <w:trPr>
          <w:cantSplit/>
        </w:trPr>
        <w:tc>
          <w:tcPr>
            <w:shd w:val="clear" w:color="auto" w:fill="f7f9fa"/>
            <w:tcBorders/>
            <w:tcMar>
              <w:left w:w="70" w:type="dxa"/>
              <w:top w:w="60" w:type="dxa"/>
              <w:right w:w="70" w:type="dxa"/>
              <w:bottom w:w="60" w:type="dxa"/>
            </w:tcMar>
            <w:tcW w:w="3553" w:type="dxa"/>
            <w:vAlign w:val="top"/>
          </w:tcPr>
          <w:p>
            <w:pPr>
              <w:pStyle w:val="1296"/>
              <w:pBdr/>
              <w:spacing/>
              <w:ind/>
              <w:rPr/>
            </w:pPr>
            <w:r>
              <w:t xml:space="preserve">The Atlas of Being and Becoming — Publication Architecture, Coverage Map &amp; Detailed Table of Contents Specification</w:t>
            </w:r>
            <w:r/>
          </w:p>
        </w:tc>
        <w:tc>
          <w:tcPr>
            <w:shd w:val="clear" w:color="auto" w:fill="f7f9fa"/>
            <w:tcBorders/>
            <w:tcMar>
              <w:left w:w="70" w:type="dxa"/>
              <w:top w:w="60" w:type="dxa"/>
              <w:right w:w="70" w:type="dxa"/>
              <w:bottom w:w="60" w:type="dxa"/>
            </w:tcMar>
            <w:tcW w:w="6453" w:type="dxa"/>
            <w:vAlign w:val="top"/>
          </w:tcPr>
          <w:p>
            <w:pPr>
              <w:pStyle w:val="1296"/>
              <w:pBdr/>
              <w:spacing/>
              <w:ind/>
              <w:rPr/>
            </w:pPr>
            <w:r>
              <w:t xml:space="preserve">Publication corpus, chapter architecture, coverage priorities, reader journey, print/digital allocation, manuscript scale, production sequence and publication-facing dependencies.</w:t>
            </w:r>
            <w:r/>
          </w:p>
        </w:tc>
      </w:tr>
    </w:tbl>
    <w:p>
      <w:pPr>
        <w:pStyle w:val="1300"/>
        <w:pBdr/>
        <w:spacing/>
        <w:ind/>
        <w:rPr/>
      </w:pPr>
      <w:r/>
      <w:r/>
    </w:p>
    <w:p>
      <w:pPr>
        <w:pBdr/>
        <w:spacing/>
        <w:ind/>
        <w:rPr/>
      </w:pPr>
      <w:r>
        <w:rPr>
          <w:b/>
        </w:rPr>
        <w:t xml:space="preserve">Operating assumption.</w:t>
      </w:r>
      <w:r>
        <w:t xml:space="preserve"> Evidence, readiness or gate failure </w:t>
      </w:r>
      <w:r>
        <w:t xml:space="preserve">may narrow, demote, hold or remove a claim or Position without automatically reopening the two-volume, six-Part, twenty-chapter architecture. Repeated structural failure is handled through Research Specification §13 and the change-control rule in Part III.</w:t>
      </w:r>
      <w:r/>
    </w:p>
    <w:p>
      <w:pPr>
        <w:pStyle w:val="1135"/>
        <w:keepNext w:val="true"/>
        <w:keepLines w:val="true"/>
        <w:pBdr/>
        <w:spacing/>
        <w:ind/>
        <w:rPr/>
      </w:pPr>
      <w:r/>
      <w:bookmarkStart w:id="102" w:name="CONTENTS"/>
      <w:r>
        <w:t xml:space="preserve">Contents</w:t>
      </w:r>
      <w:bookmarkEnd w:id="102"/>
      <w:r/>
      <w:r/>
    </w:p>
    <w:p>
      <w:pPr>
        <w:pStyle w:val="1303"/>
        <w:pBdr/>
        <w:spacing/>
        <w:ind/>
        <w:rPr/>
      </w:pPr>
      <w:r/>
      <w:hyperlink w:tooltip="#PART_I" w:anchor="PART_I" w:history="1">
        <w:r>
          <w:rPr>
            <w:color w:val="2a6f83"/>
            <w:u w:val="single"/>
          </w:rPr>
          <w:t xml:space="preserve">Part I — Editorial architecture</w:t>
        </w:r>
      </w:hyperlink>
      <w:r/>
      <w:r/>
    </w:p>
    <w:p>
      <w:pPr>
        <w:pStyle w:val="1304"/>
        <w:pBdr/>
        <w:spacing/>
        <w:ind/>
        <w:rPr/>
      </w:pPr>
      <w:r/>
      <w:hyperlink w:tooltip="#SEC_1" w:anchor="SEC_1" w:history="1">
        <w:r>
          <w:rPr>
            <w:color w:val="2a6f83"/>
            <w:u w:val="single"/>
          </w:rPr>
          <w:t xml:space="preserve">1. Editorial mandate and boundaries</w:t>
        </w:r>
      </w:hyperlink>
      <w:r/>
      <w:r/>
    </w:p>
    <w:p>
      <w:pPr>
        <w:pStyle w:val="1304"/>
        <w:pBdr/>
        <w:spacing/>
        <w:ind/>
        <w:rPr/>
      </w:pPr>
      <w:r/>
      <w:hyperlink w:tooltip="#SEC_2" w:anchor="SEC_2" w:history="1">
        <w:r>
          <w:rPr>
            <w:color w:val="2a6f83"/>
            <w:u w:val="single"/>
          </w:rPr>
          <w:t xml:space="preserve">2. Publication proposition and reader journey</w:t>
        </w:r>
      </w:hyperlink>
      <w:r/>
      <w:r/>
    </w:p>
    <w:p>
      <w:pPr>
        <w:pStyle w:val="1304"/>
        <w:pBdr/>
        <w:spacing/>
        <w:ind/>
        <w:rPr/>
      </w:pPr>
      <w:r/>
      <w:hyperlink w:tooltip="#SEC_3" w:anchor="SEC_3" w:history="1">
        <w:r>
          <w:rPr>
            <w:color w:val="2a6f83"/>
            <w:u w:val="single"/>
          </w:rPr>
          <w:t xml:space="preserve">3. Argument and delivery architecture</w:t>
        </w:r>
      </w:hyperlink>
      <w:r/>
      <w:r/>
    </w:p>
    <w:p>
      <w:pPr>
        <w:pStyle w:val="1304"/>
        <w:pBdr/>
        <w:spacing/>
        <w:ind/>
        <w:rPr/>
      </w:pPr>
      <w:r/>
      <w:hyperlink w:tooltip="#SEC_4" w:anchor="SEC_4" w:history="1">
        <w:r>
          <w:rPr>
            <w:color w:val="2a6f83"/>
            <w:u w:val="single"/>
          </w:rPr>
          <w:t xml:space="preserve">4. Coverage strategy and material debt</w:t>
        </w:r>
      </w:hyperlink>
      <w:r/>
      <w:r/>
    </w:p>
    <w:p>
      <w:pPr>
        <w:pStyle w:val="1304"/>
        <w:pBdr/>
        <w:spacing/>
        <w:ind/>
        <w:rPr/>
      </w:pPr>
      <w:r/>
      <w:hyperlink w:tooltip="#SEC_5" w:anchor="SEC_5" w:history="1">
        <w:r>
          <w:rPr>
            <w:color w:val="2a6f83"/>
            <w:u w:val="single"/>
          </w:rPr>
          <w:t xml:space="preserve">5. Adopted publication corpus</w:t>
        </w:r>
      </w:hyperlink>
      <w:r/>
      <w:r/>
    </w:p>
    <w:p>
      <w:pPr>
        <w:pStyle w:val="1304"/>
        <w:pBdr/>
        <w:spacing/>
        <w:ind/>
        <w:rPr/>
      </w:pPr>
      <w:r/>
      <w:hyperlink w:tooltip="#SEC_6" w:anchor="SEC_6" w:history="1">
        <w:r>
          <w:rPr>
            <w:color w:val="2a6f83"/>
            <w:u w:val="single"/>
          </w:rPr>
          <w:t xml:space="preserve">6. Comparative pattern and fault-line hypotheses</w:t>
        </w:r>
      </w:hyperlink>
      <w:r/>
      <w:r/>
    </w:p>
    <w:p>
      <w:pPr>
        <w:pStyle w:val="1304"/>
        <w:pBdr/>
        <w:spacing/>
        <w:ind/>
        <w:rPr/>
      </w:pPr>
      <w:r/>
      <w:hyperlink w:tooltip="#SEC_7" w:anchor="SEC_7" w:history="1">
        <w:r>
          <w:rPr>
            <w:color w:val="2a6f83"/>
            <w:u w:val="single"/>
          </w:rPr>
          <w:t xml:space="preserve">7. D1–D15 publication coverage</w:t>
        </w:r>
      </w:hyperlink>
      <w:r/>
      <w:r/>
    </w:p>
    <w:p>
      <w:pPr>
        <w:pStyle w:val="1304"/>
        <w:pBdr/>
        <w:spacing/>
        <w:ind/>
        <w:rPr/>
      </w:pPr>
      <w:r/>
      <w:hyperlink w:tooltip="#SEC_8" w:anchor="SEC_8" w:history="1">
        <w:r>
          <w:rPr>
            <w:color w:val="2a6f83"/>
            <w:u w:val="single"/>
          </w:rPr>
          <w:t xml:space="preserve">8. Print, appendix and digital allocation</w:t>
        </w:r>
      </w:hyperlink>
      <w:r/>
      <w:r/>
    </w:p>
    <w:p>
      <w:pPr>
        <w:pStyle w:val="1304"/>
        <w:pBdr/>
        <w:spacing/>
        <w:ind/>
        <w:rPr/>
      </w:pPr>
      <w:r/>
      <w:hyperlink w:tooltip="#SEC_9" w:anchor="SEC_9" w:history="1">
        <w:r>
          <w:rPr>
            <w:color w:val="2a6f83"/>
            <w:u w:val="single"/>
          </w:rPr>
          <w:t xml:space="preserve">9. Manuscript scale</w:t>
        </w:r>
      </w:hyperlink>
      <w:r/>
      <w:r/>
    </w:p>
    <w:p>
      <w:pPr>
        <w:pStyle w:val="1304"/>
        <w:pBdr/>
        <w:spacing/>
        <w:ind/>
        <w:rPr/>
      </w:pPr>
      <w:r/>
      <w:hyperlink w:tooltip="#SEC_10" w:anchor="SEC_10" w:history="1">
        <w:r>
          <w:rPr>
            <w:color w:val="2a6f83"/>
            <w:u w:val="single"/>
          </w:rPr>
          <w:t xml:space="preserve">10. Publication positioning</w:t>
        </w:r>
      </w:hyperlink>
      <w:r/>
      <w:r/>
    </w:p>
    <w:p>
      <w:pPr>
        <w:pStyle w:val="1303"/>
        <w:pBdr/>
        <w:spacing/>
        <w:ind/>
        <w:rPr/>
      </w:pPr>
      <w:r/>
      <w:hyperlink w:tooltip="#PART_II" w:anchor="PART_II" w:history="1">
        <w:r>
          <w:rPr>
            <w:color w:val="2a6f83"/>
            <w:u w:val="single"/>
          </w:rPr>
          <w:t xml:space="preserve">Part II — Chapter briefs</w:t>
        </w:r>
      </w:hyperlink>
      <w:r/>
      <w:r/>
    </w:p>
    <w:p>
      <w:pPr>
        <w:pStyle w:val="1304"/>
        <w:pBdr/>
        <w:spacing/>
        <w:ind/>
        <w:rPr/>
      </w:pPr>
      <w:r/>
      <w:hyperlink w:tooltip="#PUB_PART_1" w:anchor="PUB_PART_1" w:history="1">
        <w:r>
          <w:rPr>
            <w:color w:val="2a6f83"/>
            <w:u w:val="single"/>
          </w:rPr>
          <w:t xml:space="preserve">Publication Part I — How Comparison Becomes an Argument</w:t>
        </w:r>
      </w:hyperlink>
      <w:r/>
      <w:r/>
    </w:p>
    <w:p>
      <w:pPr>
        <w:pStyle w:val="1305"/>
        <w:pBdr/>
        <w:spacing/>
        <w:ind/>
        <w:rPr/>
      </w:pPr>
      <w:r/>
      <w:hyperlink w:tooltip="#CH_01" w:anchor="CH_01" w:history="1">
        <w:r>
          <w:rPr>
            <w:color w:val="2a6f83"/>
            <w:u w:val="single"/>
          </w:rPr>
          <w:t xml:space="preserve">Chapter 1 — From Worldview Labels to Bounded Architectures</w:t>
        </w:r>
      </w:hyperlink>
      <w:r/>
      <w:r/>
    </w:p>
    <w:p>
      <w:pPr>
        <w:pStyle w:val="1305"/>
        <w:pBdr/>
        <w:spacing/>
        <w:ind/>
        <w:rPr/>
      </w:pPr>
      <w:r/>
      <w:hyperlink w:tooltip="#CH_02" w:anchor="CH_02" w:history="1">
        <w:r>
          <w:rPr>
            <w:color w:val="2a6f83"/>
            <w:u w:val="single"/>
          </w:rPr>
          <w:t xml:space="preserve">Chapter 2 — Comparing Without Collapsing</w:t>
        </w:r>
      </w:hyperlink>
      <w:r/>
      <w:r/>
    </w:p>
    <w:p>
      <w:pPr>
        <w:pStyle w:val="1304"/>
        <w:pBdr/>
        <w:spacing/>
        <w:ind/>
        <w:rPr/>
      </w:pPr>
      <w:r/>
      <w:hyperlink w:tooltip="#PUB_PART_3" w:anchor="PUB_PART_3" w:history="1">
        <w:r>
          <w:rPr>
            <w:color w:val="2a6f83"/>
            <w:u w:val="single"/>
          </w:rPr>
          <w:t xml:space="preserve">Publication Part II — Grounds and Worlds</w:t>
        </w:r>
      </w:hyperlink>
      <w:r/>
      <w:r/>
    </w:p>
    <w:p>
      <w:pPr>
        <w:pStyle w:val="1305"/>
        <w:pBdr/>
        <w:spacing/>
        <w:ind/>
        <w:rPr/>
      </w:pPr>
      <w:r/>
      <w:hyperlink w:tooltip="#CH_03" w:anchor="CH_03" w:history="1">
        <w:r>
          <w:rPr>
            <w:color w:val="2a6f83"/>
            <w:u w:val="single"/>
          </w:rPr>
          <w:t xml:space="preserve">Chapter 3 — Can Reality Have No Ground?</w:t>
        </w:r>
      </w:hyperlink>
      <w:r/>
      <w:r/>
    </w:p>
    <w:p>
      <w:pPr>
        <w:pStyle w:val="1305"/>
        <w:pBdr/>
        <w:spacing/>
        <w:ind/>
        <w:rPr/>
      </w:pPr>
      <w:r/>
      <w:hyperlink w:tooltip="#CH_04" w:anchor="CH_04" w:history="1">
        <w:r>
          <w:rPr>
            <w:color w:val="2a6f83"/>
            <w:u w:val="single"/>
          </w:rPr>
          <w:t xml:space="preserve">Chapter 4 — Must the Ultimate Be One?</w:t>
        </w:r>
      </w:hyperlink>
      <w:r/>
      <w:r/>
    </w:p>
    <w:p>
      <w:pPr>
        <w:pStyle w:val="1305"/>
        <w:pBdr/>
        <w:spacing/>
        <w:ind/>
        <w:rPr/>
      </w:pPr>
      <w:r/>
      <w:hyperlink w:tooltip="#CH_05" w:anchor="CH_05" w:history="1">
        <w:r>
          <w:rPr>
            <w:color w:val="2a6f83"/>
            <w:u w:val="single"/>
          </w:rPr>
          <w:t xml:space="preserve">Chapter 5 — How Does a World Arise?</w:t>
        </w:r>
      </w:hyperlink>
      <w:r/>
      <w:r/>
    </w:p>
    <w:p>
      <w:pPr>
        <w:pStyle w:val="1305"/>
        <w:pBdr/>
        <w:spacing/>
        <w:ind/>
        <w:rPr/>
      </w:pPr>
      <w:r/>
      <w:hyperlink w:tooltip="#CH_06" w:anchor="CH_06" w:history="1">
        <w:r>
          <w:rPr>
            <w:color w:val="2a6f83"/>
            <w:u w:val="single"/>
          </w:rPr>
          <w:t xml:space="preserve">Chapter 6 — What Kind of World Is This?</w:t>
        </w:r>
      </w:hyperlink>
      <w:r/>
      <w:r/>
    </w:p>
    <w:p>
      <w:pPr>
        <w:pStyle w:val="1304"/>
        <w:pBdr/>
        <w:spacing/>
        <w:ind/>
        <w:rPr/>
      </w:pPr>
      <w:r/>
      <w:hyperlink w:tooltip="#PUB_PART_7" w:anchor="PUB_PART_7" w:history="1">
        <w:r>
          <w:rPr>
            <w:color w:val="2a6f83"/>
            <w:u w:val="single"/>
          </w:rPr>
          <w:t xml:space="preserve">Publication Part III — Minds, Selves, Persons</w:t>
        </w:r>
      </w:hyperlink>
      <w:r/>
      <w:r/>
    </w:p>
    <w:p>
      <w:pPr>
        <w:pStyle w:val="1305"/>
        <w:pBdr/>
        <w:spacing/>
        <w:ind/>
        <w:rPr/>
      </w:pPr>
      <w:r/>
      <w:hyperlink w:tooltip="#CH_07" w:anchor="CH_07" w:history="1">
        <w:r>
          <w:rPr>
            <w:color w:val="2a6f83"/>
            <w:u w:val="single"/>
          </w:rPr>
          <w:t xml:space="preserve">Chapter 7 — What Is Consciousness Made Of—or Is It Made at All?</w:t>
        </w:r>
      </w:hyperlink>
      <w:r/>
      <w:r/>
    </w:p>
    <w:p>
      <w:pPr>
        <w:pStyle w:val="1305"/>
        <w:pBdr/>
        <w:spacing/>
        <w:ind/>
        <w:rPr/>
      </w:pPr>
      <w:r/>
      <w:hyperlink w:tooltip="#CH_08" w:anchor="CH_08" w:history="1">
        <w:r>
          <w:rPr>
            <w:color w:val="2a6f83"/>
            <w:u w:val="single"/>
          </w:rPr>
          <w:t xml:space="preserve">Chapter 8 — Is Consciousness a Self?</w:t>
        </w:r>
      </w:hyperlink>
      <w:r/>
      <w:r/>
    </w:p>
    <w:p>
      <w:pPr>
        <w:pStyle w:val="1305"/>
        <w:pBdr/>
        <w:spacing/>
        <w:ind/>
        <w:rPr/>
      </w:pPr>
      <w:r/>
      <w:hyperlink w:tooltip="#CH_09" w:anchor="CH_09" w:history="1">
        <w:r>
          <w:rPr>
            <w:color w:val="2a6f83"/>
            <w:u w:val="single"/>
          </w:rPr>
          <w:t xml:space="preserve">Chapter 9 — What Makes a Person Persist?</w:t>
        </w:r>
      </w:hyperlink>
      <w:r/>
      <w:r/>
    </w:p>
    <w:p>
      <w:pPr>
        <w:pStyle w:val="1305"/>
        <w:pBdr/>
        <w:spacing/>
        <w:ind/>
        <w:rPr/>
      </w:pPr>
      <w:r/>
      <w:hyperlink w:tooltip="#CH_10" w:anchor="CH_10" w:history="1">
        <w:r>
          <w:rPr>
            <w:color w:val="2a6f83"/>
            <w:u w:val="single"/>
          </w:rPr>
          <w:t xml:space="preserve">Chapter 10 — Who or What Can Be a Subject?</w:t>
        </w:r>
      </w:hyperlink>
      <w:r/>
      <w:r/>
    </w:p>
    <w:p>
      <w:pPr>
        <w:pStyle w:val="1304"/>
        <w:pBdr/>
        <w:spacing/>
        <w:ind/>
        <w:rPr/>
      </w:pPr>
      <w:r/>
      <w:hyperlink w:tooltip="#PUB_PART_11" w:anchor="PUB_PART_11" w:history="1">
        <w:r>
          <w:rPr>
            <w:color w:val="2a6f83"/>
            <w:u w:val="single"/>
          </w:rPr>
          <w:t xml:space="preserve">Publication Part IV — Knowing, Error, Transformation</w:t>
        </w:r>
      </w:hyperlink>
      <w:r/>
      <w:r/>
    </w:p>
    <w:p>
      <w:pPr>
        <w:pStyle w:val="1305"/>
        <w:pBdr/>
        <w:spacing/>
        <w:ind/>
        <w:rPr/>
      </w:pPr>
      <w:r/>
      <w:hyperlink w:tooltip="#CH_11" w:anchor="CH_11" w:history="1">
        <w:r>
          <w:rPr>
            <w:color w:val="2a6f83"/>
            <w:u w:val="single"/>
          </w:rPr>
          <w:t xml:space="preserve">Chapter 11 — What Counts as Knowing?</w:t>
        </w:r>
      </w:hyperlink>
      <w:r/>
      <w:r/>
    </w:p>
    <w:p>
      <w:pPr>
        <w:pStyle w:val="1305"/>
        <w:pBdr/>
        <w:spacing/>
        <w:ind/>
        <w:rPr/>
      </w:pPr>
      <w:r/>
      <w:hyperlink w:tooltip="#CH_12" w:anchor="CH_12" w:history="1">
        <w:r>
          <w:rPr>
            <w:color w:val="2a6f83"/>
            <w:u w:val="single"/>
          </w:rPr>
          <w:t xml:space="preserve">Chapter 12 — What Goes Wrong with Us?</w:t>
        </w:r>
      </w:hyperlink>
      <w:r/>
      <w:r/>
    </w:p>
    <w:p>
      <w:pPr>
        <w:pStyle w:val="1305"/>
        <w:pBdr/>
        <w:spacing/>
        <w:ind/>
        <w:rPr/>
      </w:pPr>
      <w:r/>
      <w:hyperlink w:tooltip="#CH_13" w:anchor="CH_13" w:history="1">
        <w:r>
          <w:rPr>
            <w:color w:val="2a6f83"/>
            <w:u w:val="single"/>
          </w:rPr>
          <w:t xml:space="preserve">Chapter 13 — Can Knowing Change Being?</w:t>
        </w:r>
      </w:hyperlink>
      <w:r/>
      <w:r/>
    </w:p>
    <w:p>
      <w:pPr>
        <w:pStyle w:val="1304"/>
        <w:pBdr/>
        <w:spacing/>
        <w:ind/>
        <w:rPr/>
      </w:pPr>
      <w:r/>
      <w:hyperlink w:tooltip="#PUB_PART_14" w:anchor="PUB_PART_14" w:history="1">
        <w:r>
          <w:rPr>
            <w:color w:val="2a6f83"/>
            <w:u w:val="single"/>
          </w:rPr>
          <w:t xml:space="preserve">Publication Part V — Order, Freedom, World-Relation</w:t>
        </w:r>
      </w:hyperlink>
      <w:r/>
      <w:r/>
    </w:p>
    <w:p>
      <w:pPr>
        <w:pStyle w:val="1305"/>
        <w:pBdr/>
        <w:spacing/>
        <w:ind/>
        <w:rPr/>
      </w:pPr>
      <w:r/>
      <w:hyperlink w:tooltip="#CH_14" w:anchor="CH_14" w:history="1">
        <w:r>
          <w:rPr>
            <w:color w:val="2a6f83"/>
            <w:u w:val="single"/>
          </w:rPr>
          <w:t xml:space="preserve">Chapter 14 — Is Everything Already Ordered?</w:t>
        </w:r>
      </w:hyperlink>
      <w:r/>
      <w:r/>
    </w:p>
    <w:p>
      <w:pPr>
        <w:pStyle w:val="1305"/>
        <w:pBdr/>
        <w:spacing/>
        <w:ind/>
        <w:rPr/>
      </w:pPr>
      <w:r/>
      <w:hyperlink w:tooltip="#CH_15" w:anchor="CH_15" w:history="1">
        <w:r>
          <w:rPr>
            <w:color w:val="2a6f83"/>
            <w:u w:val="single"/>
          </w:rPr>
          <w:t xml:space="preserve">Chapter 15 — What Could Freedom Mean Inside an Order?</w:t>
        </w:r>
      </w:hyperlink>
      <w:r/>
      <w:r/>
    </w:p>
    <w:p>
      <w:pPr>
        <w:pStyle w:val="1305"/>
        <w:pBdr/>
        <w:spacing/>
        <w:ind/>
        <w:rPr/>
      </w:pPr>
      <w:r/>
      <w:hyperlink w:tooltip="#CH_16" w:anchor="CH_16" w:history="1">
        <w:r>
          <w:rPr>
            <w:color w:val="2a6f83"/>
            <w:u w:val="single"/>
          </w:rPr>
          <w:t xml:space="preserve">Chapter 16 — Leave the World, Participate in It, or Transform It?</w:t>
        </w:r>
      </w:hyperlink>
      <w:r/>
      <w:r/>
    </w:p>
    <w:p>
      <w:pPr>
        <w:pStyle w:val="1304"/>
        <w:pBdr/>
        <w:spacing/>
        <w:ind/>
        <w:rPr/>
      </w:pPr>
      <w:r/>
      <w:hyperlink w:tooltip="#PUB_PART_17" w:anchor="PUB_PART_17" w:history="1">
        <w:r>
          <w:rPr>
            <w:color w:val="2a6f83"/>
            <w:u w:val="single"/>
          </w:rPr>
          <w:t xml:space="preserve">Publication Part VI — Death, Ends, and Limits of Synthesis</w:t>
        </w:r>
      </w:hyperlink>
      <w:r/>
      <w:r/>
    </w:p>
    <w:p>
      <w:pPr>
        <w:pStyle w:val="1305"/>
        <w:pBdr/>
        <w:spacing/>
        <w:ind/>
        <w:rPr/>
      </w:pPr>
      <w:r/>
      <w:hyperlink w:tooltip="#CH_17" w:anchor="CH_17" w:history="1">
        <w:r>
          <w:rPr>
            <w:color w:val="2a6f83"/>
            <w:u w:val="single"/>
          </w:rPr>
          <w:t xml:space="preserve">Chapter 17 — What, If Anything, Continues at Death?</w:t>
        </w:r>
      </w:hyperlink>
      <w:r/>
      <w:r/>
    </w:p>
    <w:p>
      <w:pPr>
        <w:pStyle w:val="1305"/>
        <w:pBdr/>
        <w:spacing/>
        <w:ind/>
        <w:rPr/>
      </w:pPr>
      <w:r/>
      <w:hyperlink w:tooltip="#CH_18" w:anchor="CH_18" w:history="1">
        <w:r>
          <w:rPr>
            <w:color w:val="2a6f83"/>
            <w:u w:val="single"/>
          </w:rPr>
          <w:t xml:space="preserve">Chapter 18 — Does a Life Have a Final Condition?</w:t>
        </w:r>
      </w:hyperlink>
      <w:r/>
      <w:r/>
    </w:p>
    <w:p>
      <w:pPr>
        <w:pStyle w:val="1305"/>
        <w:pBdr/>
        <w:spacing/>
        <w:ind/>
        <w:rPr/>
      </w:pPr>
      <w:r/>
      <w:hyperlink w:tooltip="#CH_19" w:anchor="CH_19" w:history="1">
        <w:r>
          <w:rPr>
            <w:color w:val="2a6f83"/>
            <w:u w:val="single"/>
          </w:rPr>
          <w:t xml:space="preserve">Chapter 19 — The Recurrent Shapes—and the Counterexamples</w:t>
        </w:r>
      </w:hyperlink>
      <w:r/>
      <w:r/>
    </w:p>
    <w:p>
      <w:pPr>
        <w:pStyle w:val="1305"/>
        <w:pBdr/>
        <w:spacing/>
        <w:ind/>
        <w:rPr/>
      </w:pPr>
      <w:r/>
      <w:hyperlink w:tooltip="#CH_20" w:anchor="CH_20" w:history="1">
        <w:r>
          <w:rPr>
            <w:color w:val="2a6f83"/>
            <w:u w:val="single"/>
          </w:rPr>
          <w:t xml:space="preserve">Chapter 20 — What Comparison Establishes—and Where It Must Stop</w:t>
        </w:r>
      </w:hyperlink>
      <w:r/>
      <w:r/>
    </w:p>
    <w:p>
      <w:pPr>
        <w:pStyle w:val="1303"/>
        <w:pBdr/>
        <w:spacing/>
        <w:ind/>
        <w:rPr/>
      </w:pPr>
      <w:r/>
      <w:hyperlink w:tooltip="#PART_III" w:anchor="PART_III" w:history="1">
        <w:r>
          <w:rPr>
            <w:color w:val="2a6f83"/>
            <w:u w:val="single"/>
          </w:rPr>
          <w:t xml:space="preserve">Part III — Production control</w:t>
        </w:r>
      </w:hyperlink>
      <w:r/>
      <w:r/>
    </w:p>
    <w:p>
      <w:pPr>
        <w:pStyle w:val="1304"/>
        <w:pBdr/>
        <w:spacing/>
        <w:ind/>
        <w:rPr/>
      </w:pPr>
      <w:r/>
      <w:hyperlink w:tooltip="#SEC_11" w:anchor="SEC_11" w:history="1">
        <w:r>
          <w:rPr>
            <w:color w:val="2a6f83"/>
            <w:u w:val="single"/>
          </w:rPr>
          <w:t xml:space="preserve">11. Master Chapter Production Contract (MCPC)</w:t>
        </w:r>
      </w:hyperlink>
      <w:r/>
      <w:r/>
    </w:p>
    <w:p>
      <w:pPr>
        <w:pStyle w:val="1304"/>
        <w:pBdr/>
        <w:spacing/>
        <w:ind/>
        <w:rPr/>
      </w:pPr>
      <w:r/>
      <w:hyperlink w:tooltip="#SEC_12" w:anchor="SEC_12" w:history="1">
        <w:r>
          <w:rPr>
            <w:color w:val="2a6f83"/>
            <w:u w:val="single"/>
          </w:rPr>
          <w:t xml:space="preserve">12. Dependency control and gate exposure</w:t>
        </w:r>
      </w:hyperlink>
      <w:r/>
      <w:r/>
    </w:p>
    <w:p>
      <w:pPr>
        <w:pStyle w:val="1304"/>
        <w:pBdr/>
        <w:spacing/>
        <w:ind/>
        <w:rPr/>
      </w:pPr>
      <w:r/>
      <w:hyperlink w:tooltip="#SEC_13" w:anchor="SEC_13" w:history="1">
        <w:r>
          <w:rPr>
            <w:color w:val="2a6f83"/>
            <w:u w:val="single"/>
          </w:rPr>
          <w:t xml:space="preserve">13. Production sequence and handoff</w:t>
        </w:r>
      </w:hyperlink>
      <w:r/>
      <w:r/>
    </w:p>
    <w:p>
      <w:pPr>
        <w:pStyle w:val="1304"/>
        <w:pBdr/>
        <w:spacing/>
        <w:ind/>
        <w:rPr/>
      </w:pPr>
      <w:r/>
      <w:hyperlink w:tooltip="#SEC_14" w:anchor="SEC_14" w:history="1">
        <w:r>
          <w:rPr>
            <w:color w:val="2a6f83"/>
            <w:u w:val="single"/>
          </w:rPr>
          <w:t xml:space="preserve">14. Two-document governance and change control</w:t>
        </w:r>
      </w:hyperlink>
      <w:r/>
      <w:r/>
    </w:p>
    <w:p>
      <w:pPr>
        <w:pStyle w:val="1303"/>
        <w:pBdr/>
        <w:spacing/>
        <w:ind/>
        <w:rPr/>
      </w:pPr>
      <w:r/>
      <w:hyperlink w:tooltip="#ANNEX_A" w:anchor="ANNEX_A" w:history="1">
        <w:r>
          <w:rPr>
            <w:color w:val="2a6f83"/>
            <w:u w:val="single"/>
          </w:rPr>
          <w:t xml:space="preserve">Annex A — Candidate and selection provenance</w:t>
        </w:r>
      </w:hyperlink>
      <w:r/>
      <w:r/>
    </w:p>
    <w:p>
      <w:pPr>
        <w:pStyle w:val="1303"/>
        <w:pBdr/>
        <w:spacing/>
        <w:ind/>
        <w:rPr/>
      </w:pPr>
      <w:r/>
      <w:hyperlink w:tooltip="#ANNEX_B" w:anchor="ANNEX_B" w:history="1">
        <w:r>
          <w:rPr>
            <w:color w:val="2a6f83"/>
            <w:u w:val="single"/>
          </w:rPr>
          <w:t xml:space="preserve">Annex B — Coverage, crosswalks and manifests</w:t>
        </w:r>
      </w:hyperlink>
      <w:r/>
      <w:r/>
    </w:p>
    <w:p>
      <w:pPr>
        <w:pStyle w:val="1303"/>
        <w:pBdr/>
        <w:spacing/>
        <w:ind/>
        <w:rPr/>
      </w:pPr>
      <w:r/>
      <w:hyperlink w:tooltip="#ANNEX_C" w:anchor="ANNEX_C" w:history="1">
        <w:r>
          <w:rPr>
            <w:color w:val="2a6f83"/>
            <w:u w:val="single"/>
          </w:rPr>
          <w:t xml:space="preserve">Annex C — Comparison and fault-line evidence</w:t>
        </w:r>
      </w:hyperlink>
      <w:r/>
      <w:r/>
    </w:p>
    <w:p>
      <w:pPr>
        <w:pStyle w:val="1303"/>
        <w:pBdr/>
        <w:spacing/>
        <w:ind/>
        <w:rPr/>
      </w:pPr>
      <w:r/>
      <w:hyperlink w:tooltip="#ANNEX_D" w:anchor="ANNEX_D" w:history="1">
        <w:r>
          <w:rPr>
            <w:color w:val="2a6f83"/>
            <w:u w:val="single"/>
          </w:rPr>
          <w:t xml:space="preserve">Annex D — External baseline and publication terminology</w:t>
        </w:r>
      </w:hyperlink>
      <w:r/>
      <w:r/>
    </w:p>
    <w:p>
      <w:pPr>
        <w:pStyle w:val="1303"/>
        <w:pBdr/>
        <w:spacing/>
        <w:ind/>
        <w:rPr/>
      </w:pPr>
      <w:r/>
      <w:hyperlink w:tooltip="#SNAPSHOT" w:anchor="SNAPSHOT" w:history="1">
        <w:r>
          <w:rPr>
            <w:color w:val="2a6f83"/>
            <w:u w:val="single"/>
          </w:rPr>
          <w:t xml:space="preserve">Historical snapshot — Planning and dependency state as of 28 July 2026</w:t>
        </w:r>
      </w:hyperlink>
      <w:r/>
      <w:r/>
    </w:p>
    <w:p>
      <w:pPr>
        <w:pStyle w:val="1300"/>
        <w:pBdr/>
        <w:spacing/>
        <w:ind/>
        <w:rPr/>
      </w:pPr>
      <w:r>
        <w:t xml:space="preserve">The linked contents and Word heading hierarchy provide the authoritative navigation path. Detailed chapter subsections use Heading 4 and remain available in the navigation pane without expanding this contents list.</w:t>
      </w:r>
      <w:r/>
    </w:p>
    <w:p>
      <w:pPr>
        <w:pStyle w:val="1135"/>
        <w:keepNext w:val="true"/>
        <w:keepLines w:val="true"/>
        <w:pBdr/>
        <w:spacing/>
        <w:ind/>
        <w:rPr/>
      </w:pPr>
      <w:r/>
      <w:bookmarkStart w:id="103" w:name="PART_I"/>
      <w:r>
        <w:t xml:space="preserve">Part I — Editorial architecture</w:t>
      </w:r>
      <w:bookmarkEnd w:id="103"/>
      <w:r/>
      <w:r/>
    </w:p>
    <w:p>
      <w:pPr>
        <w:pStyle w:val="1184"/>
        <w:keepNext w:val="true"/>
        <w:keepLines w:val="true"/>
        <w:pBdr/>
        <w:spacing/>
        <w:ind/>
        <w:rPr/>
      </w:pPr>
      <w:r>
        <w:t xml:space="preserve">Governing — Part I front door</w:t>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2393"/>
        <w:gridCol w:w="7613"/>
      </w:tblGrid>
      <w:tr>
        <w:trPr>
          <w:cantSplit/>
          <w:tblHeader/>
        </w:trPr>
        <w:tc>
          <w:tcPr>
            <w:shd w:val="clear" w:color="auto" w:fill="1f5a73"/>
            <w:tcBorders/>
            <w:tcMar>
              <w:left w:w="70" w:type="dxa"/>
              <w:top w:w="60" w:type="dxa"/>
              <w:right w:w="70" w:type="dxa"/>
              <w:bottom w:w="60" w:type="dxa"/>
            </w:tcMar>
            <w:tcW w:w="2393" w:type="dxa"/>
            <w:vAlign w:val="top"/>
          </w:tcPr>
          <w:p>
            <w:pPr>
              <w:pStyle w:val="1298"/>
              <w:pBdr/>
              <w:spacing/>
              <w:ind/>
              <w:rPr/>
            </w:pPr>
            <w:r>
              <w:t xml:space="preserve">Field</w:t>
            </w:r>
            <w:r/>
          </w:p>
        </w:tc>
        <w:tc>
          <w:tcPr>
            <w:shd w:val="clear" w:color="auto" w:fill="1f5a73"/>
            <w:tcBorders/>
            <w:tcMar>
              <w:left w:w="70" w:type="dxa"/>
              <w:top w:w="60" w:type="dxa"/>
              <w:right w:w="70" w:type="dxa"/>
              <w:bottom w:w="60" w:type="dxa"/>
            </w:tcMar>
            <w:tcW w:w="7613" w:type="dxa"/>
            <w:vAlign w:val="top"/>
          </w:tcPr>
          <w:p>
            <w:pPr>
              <w:pStyle w:val="1298"/>
              <w:pBdr/>
              <w:spacing/>
              <w:ind/>
              <w:rPr/>
            </w:pPr>
            <w:r>
              <w:t xml:space="preserve">Required content</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Purpose</w:t>
            </w:r>
            <w:r/>
          </w:p>
        </w:tc>
        <w:tc>
          <w:tcPr>
            <w:tcBorders/>
            <w:tcMar>
              <w:left w:w="70" w:type="dxa"/>
              <w:top w:w="60" w:type="dxa"/>
              <w:right w:w="70" w:type="dxa"/>
              <w:bottom w:w="60" w:type="dxa"/>
            </w:tcMar>
            <w:tcW w:w="7613" w:type="dxa"/>
            <w:vAlign w:val="top"/>
          </w:tcPr>
          <w:p>
            <w:pPr>
              <w:pStyle w:val="1296"/>
              <w:pBdr/>
              <w:spacing/>
              <w:ind/>
              <w:rPr/>
            </w:pPr>
            <w:r>
              <w:t xml:space="preserve">Define the adopted publication proposition, corpus, comparative architecture, coverage, allocation and scale.</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Primary users</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Editorial sponsors, acquisitions teams, peer reviewers, programme leads, rights/governance leads and publication integrators.</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Authority status</w:t>
            </w:r>
            <w:r/>
          </w:p>
        </w:tc>
        <w:tc>
          <w:tcPr>
            <w:tcBorders/>
            <w:tcMar>
              <w:left w:w="70" w:type="dxa"/>
              <w:top w:w="60" w:type="dxa"/>
              <w:right w:w="70" w:type="dxa"/>
              <w:bottom w:w="60" w:type="dxa"/>
            </w:tcMar>
            <w:tcW w:w="7613" w:type="dxa"/>
            <w:vAlign w:val="top"/>
          </w:tcPr>
          <w:p>
            <w:pPr>
              <w:pStyle w:val="1296"/>
              <w:pBdr/>
              <w:spacing/>
              <w:ind/>
              <w:rPr/>
            </w:pPr>
            <w:r>
              <w:t xml:space="preserve">Governing for publication architecture; Research Specification remains authoritative for shared method and release meanings.</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Required output</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An adopted corpus and chapter architecture that can be converted into chapter packets, research queues and production plans.</w:t>
            </w:r>
            <w:r/>
          </w:p>
        </w:tc>
      </w:tr>
    </w:tbl>
    <w:p>
      <w:pPr>
        <w:pStyle w:val="1300"/>
        <w:pBdr/>
        <w:spacing/>
        <w:ind/>
        <w:rPr/>
      </w:pPr>
      <w:r/>
      <w:r/>
    </w:p>
    <w:p>
      <w:pPr>
        <w:pStyle w:val="1136"/>
        <w:keepNext w:val="true"/>
        <w:keepLines w:val="true"/>
        <w:pBdr/>
        <w:spacing/>
        <w:ind/>
        <w:rPr/>
      </w:pPr>
      <w:r/>
      <w:bookmarkStart w:id="104" w:name="SEC_1"/>
      <w:r>
        <w:t xml:space="preserve">1. Editorial mandate and boundaries</w:t>
      </w:r>
      <w:bookmarkEnd w:id="104"/>
      <w:r/>
      <w:r/>
    </w:p>
    <w:p>
      <w:pPr>
        <w:pBdr/>
        <w:spacing/>
        <w:ind/>
        <w:rPr/>
      </w:pPr>
      <w:r>
        <w:t xml:space="preserve">This specification is the active edit</w:t>
      </w:r>
      <w:r>
        <w:t xml:space="preserve">orial authority for the Atlas publication programme. It governs what is researched and published and how the reader-facing argument is organized. It does not validate evidence, waive review, supply live GateRun verdicts or create a second factual database.</w:t>
      </w:r>
      <w:r/>
    </w:p>
    <w:tbl>
      <w:tblPr>
        <w:jc w:val="center"/>
        <w:tblW w:w="0" w:type="auto"/>
        <w:tblBorders>
          <w:top w:val="single" w:color="2a6f83" w:sz="8" w:space="0"/>
          <w:left w:val="single" w:color="2a6f83" w:sz="8" w:space="0"/>
          <w:bottom w:val="single" w:color="2a6f83" w:sz="8" w:space="0"/>
          <w:right w:val="single" w:color="2a6f83" w:sz="8" w:space="0"/>
          <w:insideH w:val="single" w:color="2a6f83" w:sz="8" w:space="0"/>
          <w:insideV w:val="single" w:color="2a6f83" w:sz="8" w:space="0"/>
        </w:tblBorders>
        <w:tblLayout w:type="fixed"/>
        <w:tblLook w:val="04A0" w:firstRow="1" w:lastRow="0" w:firstColumn="1" w:lastColumn="0" w:noHBand="0" w:noVBand="1"/>
      </w:tblPr>
      <w:tblGrid>
        <w:gridCol w:w="10006"/>
      </w:tblGrid>
      <w:tr>
        <w:trPr>
          <w:cantSplit/>
          <w:tblHeader/>
        </w:trPr>
        <w:tc>
          <w:tcPr>
            <w:shd w:val="clear" w:color="auto" w:fill="2a6f83"/>
            <w:tcBorders/>
            <w:tcMar>
              <w:left w:w="70" w:type="dxa"/>
              <w:top w:w="60" w:type="dxa"/>
              <w:right w:w="70" w:type="dxa"/>
              <w:bottom w:w="60" w:type="dxa"/>
            </w:tcMar>
            <w:tcW w:w="9936" w:type="dxa"/>
            <w:vAlign w:val="top"/>
          </w:tcPr>
          <w:p>
            <w:pPr>
              <w:pStyle w:val="1301"/>
              <w:pBdr/>
              <w:spacing/>
              <w:ind/>
              <w:rPr/>
            </w:pPr>
            <w:r>
              <w:t xml:space="preserve">Governing — Authority principle</w:t>
            </w:r>
            <w:r/>
          </w:p>
        </w:tc>
      </w:tr>
      <w:tr>
        <w:trPr>
          <w:cantSplit/>
        </w:trPr>
        <w:tc>
          <w:tcPr>
            <w:shd w:val="clear" w:color="auto" w:fill="eaf2f6"/>
            <w:tcBorders/>
            <w:tcMar>
              <w:left w:w="70" w:type="dxa"/>
              <w:top w:w="60" w:type="dxa"/>
              <w:right w:w="70" w:type="dxa"/>
              <w:bottom w:w="60" w:type="dxa"/>
            </w:tcMar>
            <w:tcW w:w="10006" w:type="dxa"/>
            <w:vAlign w:val="top"/>
          </w:tcPr>
          <w:p>
            <w:pPr>
              <w:pStyle w:val="1302"/>
              <w:pBdr/>
              <w:spacing/>
              <w:ind/>
              <w:rPr/>
            </w:pPr>
            <w:r>
              <w:t xml:space="preserve">Editorial selection cannot validate evidence or waiv</w:t>
            </w:r>
            <w:r>
              <w:t xml:space="preserve">e release gates. Methodological validity does not determine chapter placement. Editorial role, planning confidence, validation dependency, representation readiness, gate verdict, evidence maturity, synthesis level and synthesis maturity remain independent.</w:t>
            </w:r>
            <w:r/>
          </w:p>
        </w:tc>
      </w:tr>
    </w:tbl>
    <w:p>
      <w:pPr>
        <w:pStyle w:val="1300"/>
        <w:pBdr/>
        <w:spacing/>
        <w:ind/>
        <w:rPr/>
      </w:pPr>
      <w:r/>
      <w:r/>
    </w:p>
    <w:p>
      <w:pPr>
        <w:pStyle w:val="1137"/>
        <w:keepNext w:val="true"/>
        <w:keepLines w:val="true"/>
        <w:pBdr/>
        <w:spacing/>
        <w:ind/>
        <w:rPr/>
      </w:pPr>
      <w:r/>
      <w:bookmarkStart w:id="105" w:name="SEC_1_1"/>
      <w:r>
        <w:t xml:space="preserve">1.1 Non-goals</w:t>
      </w:r>
      <w:bookmarkEnd w:id="105"/>
      <w:r/>
      <w:r/>
    </w:p>
    <w:p>
      <w:pPr>
        <w:pStyle w:val="1165"/>
        <w:pBdr/>
        <w:spacing/>
        <w:ind/>
        <w:rPr/>
      </w:pPr>
      <w:r>
        <w:t xml:space="preserve">Do not alter D1–D15 or shared response, claim, evidence, comparison, provenance, representation, synthesis or release semantics governed by Research Specification.</w:t>
      </w:r>
      <w:r/>
    </w:p>
    <w:p>
      <w:pPr>
        <w:pStyle w:val="1165"/>
        <w:pBdr/>
        <w:spacing/>
        <w:ind/>
        <w:rPr/>
      </w:pPr>
      <w:r>
        <w:t xml:space="preserve">Do not treat document adoption as completion of G1–G8, specialist review, community governance, rights clearance or release authorization.</w:t>
      </w:r>
      <w:r/>
    </w:p>
    <w:p>
      <w:pPr>
        <w:pStyle w:val="1165"/>
        <w:pBdr/>
        <w:spacing/>
        <w:ind/>
        <w:rPr/>
      </w:pPr>
      <w:r>
        <w:t xml:space="preserve">Do not treat the candidate universe as an exhaustive canon or a geopolitical quota.</w:t>
      </w:r>
      <w:r/>
    </w:p>
    <w:p>
      <w:pPr>
        <w:pStyle w:val="1165"/>
        <w:pBdr/>
        <w:spacing/>
        <w:ind/>
        <w:rPr/>
      </w:pPr>
      <w:r>
        <w:t xml:space="preserve">Do not authorize L3–L5 conclusions or infer metaphysical truth from recurrence.</w:t>
      </w:r>
      <w:r/>
    </w:p>
    <w:p>
      <w:pPr>
        <w:pStyle w:val="1165"/>
        <w:pBdr/>
        <w:spacing/>
        <w:ind/>
        <w:rPr/>
      </w:pPr>
      <w:r>
        <w:t xml:space="preserve">Do not turn research-only Indigenous or local reconstructions into release-grade community voice.</w:t>
      </w:r>
      <w:r/>
    </w:p>
    <w:p>
      <w:pPr>
        <w:pStyle w:val="1136"/>
        <w:keepNext w:val="true"/>
        <w:keepLines w:val="true"/>
        <w:pBdr/>
        <w:spacing/>
        <w:ind/>
        <w:rPr/>
      </w:pPr>
      <w:r/>
      <w:bookmarkStart w:id="106" w:name="SEC_2"/>
      <w:r>
        <w:t xml:space="preserve">2. Publication proposition and reader journey</w:t>
      </w:r>
      <w:bookmarkEnd w:id="106"/>
      <w:r/>
      <w:r/>
    </w:p>
    <w:tbl>
      <w:tblPr>
        <w:jc w:val="center"/>
        <w:tblW w:w="0" w:type="auto"/>
        <w:tblBorders>
          <w:top w:val="single" w:color="1f5a73" w:sz="8" w:space="0"/>
          <w:left w:val="single" w:color="1f5a73" w:sz="8" w:space="0"/>
          <w:bottom w:val="single" w:color="1f5a73" w:sz="8" w:space="0"/>
          <w:right w:val="single" w:color="1f5a73" w:sz="8" w:space="0"/>
          <w:insideH w:val="single" w:color="1f5a73" w:sz="8" w:space="0"/>
          <w:insideV w:val="single" w:color="1f5a73" w:sz="8" w:space="0"/>
        </w:tblBorders>
        <w:tblLayout w:type="fixed"/>
        <w:tblLook w:val="04A0" w:firstRow="1" w:lastRow="0" w:firstColumn="1" w:lastColumn="0" w:noHBand="0" w:noVBand="1"/>
      </w:tblPr>
      <w:tblGrid>
        <w:gridCol w:w="10006"/>
      </w:tblGrid>
      <w:tr>
        <w:trPr>
          <w:cantSplit/>
          <w:tblHeader/>
        </w:trPr>
        <w:tc>
          <w:tcPr>
            <w:shd w:val="clear" w:color="auto" w:fill="1f5a73"/>
            <w:tcBorders/>
            <w:tcMar>
              <w:left w:w="70" w:type="dxa"/>
              <w:top w:w="60" w:type="dxa"/>
              <w:right w:w="70" w:type="dxa"/>
              <w:bottom w:w="60" w:type="dxa"/>
            </w:tcMar>
            <w:tcW w:w="9936" w:type="dxa"/>
            <w:vAlign w:val="top"/>
          </w:tcPr>
          <w:p>
            <w:pPr>
              <w:pStyle w:val="1301"/>
              <w:pBdr/>
              <w:spacing/>
              <w:ind/>
              <w:rPr/>
            </w:pPr>
            <w:r>
              <w:t xml:space="preserve">Derived — Reader-facing thesis; source: Research Specification Decision and use guide, §3.1 and §12.1</w:t>
            </w:r>
            <w:r/>
          </w:p>
        </w:tc>
      </w:tr>
      <w:tr>
        <w:trPr>
          <w:cantSplit/>
        </w:trPr>
        <w:tc>
          <w:tcPr>
            <w:shd w:val="clear" w:color="auto" w:fill="eaf2f6"/>
            <w:tcBorders/>
            <w:tcMar>
              <w:left w:w="70" w:type="dxa"/>
              <w:top w:w="60" w:type="dxa"/>
              <w:right w:w="70" w:type="dxa"/>
              <w:bottom w:w="60" w:type="dxa"/>
            </w:tcMar>
            <w:tcW w:w="10006" w:type="dxa"/>
            <w:vAlign w:val="top"/>
          </w:tcPr>
          <w:p>
            <w:pPr>
              <w:pStyle w:val="1302"/>
              <w:pBdr/>
              <w:spacing/>
              <w:ind/>
              <w:rPr/>
            </w:pPr>
            <w:r>
              <w:t xml:space="preserve">The publication compares source-identifiable bounded Positions to show how they answer, deny, reframe or leave open recurring questions about reality and life. It examines ho</w:t>
            </w:r>
            <w:r>
              <w:t xml:space="preserve">w they connect or separate what is real, what can be known, conditions of epistemic access, sources or structures of error and possibilities of transformation, including any source-grounded qualification of knowing or of a knower or subject. It tests which</w:t>
            </w:r>
            <w:r>
              <w:t xml:space="preserve"> similarities survive translation, genealogy and category controls and where scoped incompatibilities persist. It maps structured possibilities without treating recurrence or any relation among being, knowing and becoming as evidence of metaphysical truth.</w:t>
            </w:r>
            <w:r/>
          </w:p>
        </w:tc>
      </w:tr>
    </w:tbl>
    <w:p>
      <w:pPr>
        <w:pStyle w:val="1300"/>
        <w:pBdr/>
        <w:spacing/>
        <w:ind/>
        <w:rPr/>
      </w:pPr>
      <w:r/>
      <w:r/>
    </w:p>
    <w:p>
      <w:pPr>
        <w:pStyle w:val="1137"/>
        <w:keepNext w:val="true"/>
        <w:keepLines w:val="true"/>
        <w:pBdr/>
        <w:spacing/>
        <w:ind/>
        <w:rPr/>
      </w:pPr>
      <w:r/>
      <w:bookmarkStart w:id="107" w:name="SEC_2_1"/>
      <w:r>
        <w:t xml:space="preserve">2.1 Complete-work question</w:t>
      </w:r>
      <w:bookmarkEnd w:id="107"/>
      <w:r/>
      <w:r/>
    </w:p>
    <w:p>
      <w:pPr>
        <w:pBdr/>
        <w:spacing/>
        <w:ind/>
        <w:rPr/>
      </w:pPr>
      <w:r>
        <w:t xml:space="preserve">How do source-identifiable bounded Positions differently structure the problems of being and living? How do they connect or separate reality, epistemic aut</w:t>
      </w:r>
      <w:r>
        <w:t xml:space="preserve">hority and access, diagnosis and transformation without presuming a universal knower? Which similarities survive concept and genealogy controls, and which incompatibilities matter most? What comparative patterns remain after active counterexample pressure?</w:t>
      </w:r>
      <w:r/>
    </w:p>
    <w:p>
      <w:pPr>
        <w:pStyle w:val="1300"/>
        <w:pBdr/>
        <w:spacing/>
        <w:ind/>
        <w:rPr/>
      </w:pPr>
      <w:r>
        <w:t xml:space="preserve">Front-door compression rule. Use the full integrative formulation only in the decision-summary Integrative argument row, the complete-work question, the </w:t>
      </w:r>
      <w:r>
        <w:t xml:space="preserve">reader-facing thesis and the Chapter 20 final claim. Elsewhere use function-specific shorthand or cross-reference. Do not repeat the formulation as a slogan. Exact duplication is permitted only where text is explicitly derived verbatim from Research §12.1.</w:t>
      </w:r>
      <w:r/>
    </w:p>
    <w:p>
      <w:pPr>
        <w:pStyle w:val="1137"/>
        <w:keepNext w:val="true"/>
        <w:keepLines w:val="true"/>
        <w:pBdr/>
        <w:spacing/>
        <w:ind/>
        <w:rPr/>
      </w:pPr>
      <w:r/>
      <w:bookmarkStart w:id="108" w:name="SEC_2_2"/>
      <w:r>
        <w:t xml:space="preserve">2.2 Intellectual differentiation</w:t>
      </w:r>
      <w:bookmarkEnd w:id="108"/>
      <w:r/>
      <w:r/>
    </w:p>
    <w:p>
      <w:pPr>
        <w:pStyle w:val="1184"/>
        <w:keepNext w:val="true"/>
        <w:keepLines w:val="true"/>
        <w:pBdr/>
        <w:spacing/>
        <w:ind/>
        <w:rPr/>
      </w:pPr>
      <w:r>
        <w:t xml:space="preserve">Governing — Intellectual differentiation by function</w:t>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2401"/>
        <w:gridCol w:w="2401"/>
        <w:gridCol w:w="5203"/>
      </w:tblGrid>
      <w:tr>
        <w:trPr>
          <w:cantSplit/>
          <w:tblHeader/>
        </w:trPr>
        <w:tc>
          <w:tcPr>
            <w:shd w:val="clear" w:color="auto" w:fill="1f5a73"/>
            <w:tcBorders/>
            <w:tcMar>
              <w:left w:w="70" w:type="dxa"/>
              <w:top w:w="60" w:type="dxa"/>
              <w:right w:w="70" w:type="dxa"/>
              <w:bottom w:w="60" w:type="dxa"/>
            </w:tcMar>
            <w:tcW w:w="2401" w:type="dxa"/>
            <w:vAlign w:val="top"/>
          </w:tcPr>
          <w:p>
            <w:pPr>
              <w:pStyle w:val="1298"/>
              <w:pBdr/>
              <w:spacing/>
              <w:ind/>
              <w:rPr/>
            </w:pPr>
            <w:r>
              <w:t xml:space="preserve">Adjacent form</w:t>
            </w:r>
            <w:r/>
          </w:p>
        </w:tc>
        <w:tc>
          <w:tcPr>
            <w:shd w:val="clear" w:color="auto" w:fill="1f5a73"/>
            <w:tcBorders/>
            <w:tcMar>
              <w:left w:w="70" w:type="dxa"/>
              <w:top w:w="60" w:type="dxa"/>
              <w:right w:w="70" w:type="dxa"/>
              <w:bottom w:w="60" w:type="dxa"/>
            </w:tcMar>
            <w:tcW w:w="2401" w:type="dxa"/>
            <w:vAlign w:val="top"/>
          </w:tcPr>
          <w:p>
            <w:pPr>
              <w:pStyle w:val="1298"/>
              <w:pBdr/>
              <w:spacing/>
              <w:ind/>
              <w:rPr/>
            </w:pPr>
            <w:r>
              <w:t xml:space="preserve">What it supplies</w:t>
            </w:r>
            <w:r/>
          </w:p>
        </w:tc>
        <w:tc>
          <w:tcPr>
            <w:shd w:val="clear" w:color="auto" w:fill="1f5a73"/>
            <w:tcBorders/>
            <w:tcMar>
              <w:left w:w="70" w:type="dxa"/>
              <w:top w:w="60" w:type="dxa"/>
              <w:right w:w="70" w:type="dxa"/>
              <w:bottom w:w="60" w:type="dxa"/>
            </w:tcMar>
            <w:tcW w:w="5203" w:type="dxa"/>
            <w:vAlign w:val="top"/>
          </w:tcPr>
          <w:p>
            <w:pPr>
              <w:pStyle w:val="1298"/>
              <w:pBdr/>
              <w:spacing/>
              <w:ind/>
              <w:rPr/>
            </w:pPr>
            <w:r>
              <w:t xml:space="preserve">Atlas contribution</w:t>
            </w:r>
            <w:r/>
          </w:p>
        </w:tc>
      </w:tr>
      <w:tr>
        <w:trPr>
          <w:cantSplit/>
        </w:trPr>
        <w:tc>
          <w:tcPr>
            <w:tcBorders/>
            <w:tcMar>
              <w:left w:w="70" w:type="dxa"/>
              <w:top w:w="60" w:type="dxa"/>
              <w:right w:w="70" w:type="dxa"/>
              <w:bottom w:w="60" w:type="dxa"/>
            </w:tcMar>
            <w:tcW w:w="2401" w:type="dxa"/>
            <w:vAlign w:val="top"/>
          </w:tcPr>
          <w:p>
            <w:pPr>
              <w:pStyle w:val="1296"/>
              <w:pBdr/>
              <w:spacing/>
              <w:ind/>
              <w:rPr/>
            </w:pPr>
            <w:r>
              <w:t xml:space="preserve">Encyclopedia of religions</w:t>
            </w:r>
            <w:r/>
          </w:p>
        </w:tc>
        <w:tc>
          <w:tcPr>
            <w:tcBorders/>
            <w:tcMar>
              <w:left w:w="70" w:type="dxa"/>
              <w:top w:w="60" w:type="dxa"/>
              <w:right w:w="70" w:type="dxa"/>
              <w:bottom w:w="60" w:type="dxa"/>
            </w:tcMar>
            <w:tcW w:w="2401" w:type="dxa"/>
            <w:vAlign w:val="top"/>
          </w:tcPr>
          <w:p>
            <w:pPr>
              <w:pStyle w:val="1296"/>
              <w:pBdr/>
              <w:spacing/>
              <w:ind/>
              <w:rPr/>
            </w:pPr>
            <w:r>
              <w:t xml:space="preserve">Descriptive entries across traditions</w:t>
            </w:r>
            <w:r/>
          </w:p>
        </w:tc>
        <w:tc>
          <w:tcPr>
            <w:tcBorders/>
            <w:tcMar>
              <w:left w:w="70" w:type="dxa"/>
              <w:top w:w="60" w:type="dxa"/>
              <w:right w:w="70" w:type="dxa"/>
              <w:bottom w:w="60" w:type="dxa"/>
            </w:tcMar>
            <w:tcW w:w="5203" w:type="dxa"/>
            <w:vAlign w:val="top"/>
          </w:tcPr>
          <w:p>
            <w:pPr>
              <w:pStyle w:val="1296"/>
              <w:pBdr/>
              <w:spacing/>
              <w:ind/>
              <w:rPr/>
            </w:pPr>
            <w:r>
              <w:t xml:space="preserve">Cross-Position fault lines generated from atomic evidence; no assumption that a religion has one answer.</w:t>
            </w:r>
            <w:r/>
          </w:p>
        </w:tc>
      </w:tr>
      <w:tr>
        <w:trPr>
          <w:cantSplit/>
        </w:trPr>
        <w:tc>
          <w:tcPr>
            <w:shd w:val="clear" w:color="auto" w:fill="f7f9fa"/>
            <w:tcBorders/>
            <w:tcMar>
              <w:left w:w="70" w:type="dxa"/>
              <w:top w:w="60" w:type="dxa"/>
              <w:right w:w="70" w:type="dxa"/>
              <w:bottom w:w="60" w:type="dxa"/>
            </w:tcMar>
            <w:tcW w:w="2401" w:type="dxa"/>
            <w:vAlign w:val="top"/>
          </w:tcPr>
          <w:p>
            <w:pPr>
              <w:pStyle w:val="1296"/>
              <w:pBdr/>
              <w:spacing/>
              <w:ind/>
              <w:rPr/>
            </w:pPr>
            <w:r>
              <w:t xml:space="preserve">History of philosophy</w:t>
            </w:r>
            <w:r/>
          </w:p>
        </w:tc>
        <w:tc>
          <w:tcPr>
            <w:shd w:val="clear" w:color="auto" w:fill="f7f9fa"/>
            <w:tcBorders/>
            <w:tcMar>
              <w:left w:w="70" w:type="dxa"/>
              <w:top w:w="60" w:type="dxa"/>
              <w:right w:w="70" w:type="dxa"/>
              <w:bottom w:w="60" w:type="dxa"/>
            </w:tcMar>
            <w:tcW w:w="2401" w:type="dxa"/>
            <w:vAlign w:val="top"/>
          </w:tcPr>
          <w:p>
            <w:pPr>
              <w:pStyle w:val="1296"/>
              <w:pBdr/>
              <w:spacing/>
              <w:ind/>
              <w:rPr/>
            </w:pPr>
            <w:r>
              <w:t xml:space="preserve">Genealogical and intellectual development</w:t>
            </w:r>
            <w:r/>
          </w:p>
        </w:tc>
        <w:tc>
          <w:tcPr>
            <w:shd w:val="clear" w:color="auto" w:fill="f7f9fa"/>
            <w:tcBorders/>
            <w:tcMar>
              <w:left w:w="70" w:type="dxa"/>
              <w:top w:w="60" w:type="dxa"/>
              <w:right w:w="70" w:type="dxa"/>
              <w:bottom w:w="60" w:type="dxa"/>
            </w:tcMar>
            <w:tcW w:w="5203" w:type="dxa"/>
            <w:vAlign w:val="top"/>
          </w:tcPr>
          <w:p>
            <w:pPr>
              <w:pStyle w:val="1296"/>
              <w:pBdr/>
              <w:spacing/>
              <w:ind/>
              <w:rPr/>
            </w:pPr>
            <w:r>
              <w:t xml:space="preserve">Cross-lineage problem comparison while preserving genealogy as a separate evidential claim.</w:t>
            </w:r>
            <w:r/>
          </w:p>
        </w:tc>
      </w:tr>
      <w:tr>
        <w:trPr>
          <w:cantSplit/>
        </w:trPr>
        <w:tc>
          <w:tcPr>
            <w:tcBorders/>
            <w:tcMar>
              <w:left w:w="70" w:type="dxa"/>
              <w:top w:w="60" w:type="dxa"/>
              <w:right w:w="70" w:type="dxa"/>
              <w:bottom w:w="60" w:type="dxa"/>
            </w:tcMar>
            <w:tcW w:w="2401" w:type="dxa"/>
            <w:vAlign w:val="top"/>
          </w:tcPr>
          <w:p>
            <w:pPr>
              <w:pStyle w:val="1296"/>
              <w:pBdr/>
              <w:spacing/>
              <w:ind/>
              <w:rPr/>
            </w:pPr>
            <w:r>
              <w:t xml:space="preserve">Comparative religion textbook</w:t>
            </w:r>
            <w:r/>
          </w:p>
        </w:tc>
        <w:tc>
          <w:tcPr>
            <w:tcBorders/>
            <w:tcMar>
              <w:left w:w="70" w:type="dxa"/>
              <w:top w:w="60" w:type="dxa"/>
              <w:right w:w="70" w:type="dxa"/>
              <w:bottom w:w="60" w:type="dxa"/>
            </w:tcMar>
            <w:tcW w:w="2401" w:type="dxa"/>
            <w:vAlign w:val="top"/>
          </w:tcPr>
          <w:p>
            <w:pPr>
              <w:pStyle w:val="1296"/>
              <w:pBdr/>
              <w:spacing/>
              <w:ind/>
              <w:rPr/>
            </w:pPr>
            <w:r>
              <w:t xml:space="preserve">Broad family-level contrasts</w:t>
            </w:r>
            <w:r/>
          </w:p>
        </w:tc>
        <w:tc>
          <w:tcPr>
            <w:tcBorders/>
            <w:tcMar>
              <w:left w:w="70" w:type="dxa"/>
              <w:top w:w="60" w:type="dxa"/>
              <w:right w:w="70" w:type="dxa"/>
              <w:bottom w:w="60" w:type="dxa"/>
            </w:tcMar>
            <w:tcW w:w="5203" w:type="dxa"/>
            <w:vAlign w:val="top"/>
          </w:tcPr>
          <w:p>
            <w:pPr>
              <w:pStyle w:val="1296"/>
              <w:pBdr/>
              <w:spacing/>
              <w:ind/>
              <w:rPr/>
            </w:pPr>
            <w:r>
              <w:t xml:space="preserve">Bounded Positions, explicit negative/open states and source-sensitive concept control.</w:t>
            </w:r>
            <w:r/>
          </w:p>
        </w:tc>
      </w:tr>
      <w:tr>
        <w:trPr>
          <w:cantSplit/>
        </w:trPr>
        <w:tc>
          <w:tcPr>
            <w:shd w:val="clear" w:color="auto" w:fill="f7f9fa"/>
            <w:tcBorders/>
            <w:tcMar>
              <w:left w:w="70" w:type="dxa"/>
              <w:top w:w="60" w:type="dxa"/>
              <w:right w:w="70" w:type="dxa"/>
              <w:bottom w:w="60" w:type="dxa"/>
            </w:tcMar>
            <w:tcW w:w="2401" w:type="dxa"/>
            <w:vAlign w:val="top"/>
          </w:tcPr>
          <w:p>
            <w:pPr>
              <w:pStyle w:val="1296"/>
              <w:pBdr/>
              <w:spacing/>
              <w:ind/>
              <w:rPr/>
            </w:pPr>
            <w:r>
              <w:t xml:space="preserve">Database or knowledge graph</w:t>
            </w:r>
            <w:r/>
          </w:p>
        </w:tc>
        <w:tc>
          <w:tcPr>
            <w:shd w:val="clear" w:color="auto" w:fill="f7f9fa"/>
            <w:tcBorders/>
            <w:tcMar>
              <w:left w:w="70" w:type="dxa"/>
              <w:top w:w="60" w:type="dxa"/>
              <w:right w:w="70" w:type="dxa"/>
              <w:bottom w:w="60" w:type="dxa"/>
            </w:tcMar>
            <w:tcW w:w="2401" w:type="dxa"/>
            <w:vAlign w:val="top"/>
          </w:tcPr>
          <w:p>
            <w:pPr>
              <w:pStyle w:val="1296"/>
              <w:pBdr/>
              <w:spacing/>
              <w:ind/>
              <w:rPr/>
            </w:pPr>
            <w:r>
              <w:t xml:space="preserve">Structured retrieval</w:t>
            </w:r>
            <w:r/>
          </w:p>
        </w:tc>
        <w:tc>
          <w:tcPr>
            <w:shd w:val="clear" w:color="auto" w:fill="f7f9fa"/>
            <w:tcBorders/>
            <w:tcMar>
              <w:left w:w="70" w:type="dxa"/>
              <w:top w:w="60" w:type="dxa"/>
              <w:right w:w="70" w:type="dxa"/>
              <w:bottom w:w="60" w:type="dxa"/>
            </w:tcMar>
            <w:tcW w:w="5203" w:type="dxa"/>
            <w:vAlign w:val="top"/>
          </w:tcPr>
          <w:p>
            <w:pPr>
              <w:pStyle w:val="1296"/>
              <w:pBdr/>
              <w:spacing/>
              <w:ind/>
              <w:rPr/>
            </w:pPr>
            <w:r>
              <w:t xml:space="preserve">A cumulative narrative argument with counterexamples and synthesis limits.</w:t>
            </w:r>
            <w:r/>
          </w:p>
        </w:tc>
      </w:tr>
      <w:tr>
        <w:trPr>
          <w:cantSplit/>
        </w:trPr>
        <w:tc>
          <w:tcPr>
            <w:tcBorders/>
            <w:tcMar>
              <w:left w:w="70" w:type="dxa"/>
              <w:top w:w="60" w:type="dxa"/>
              <w:right w:w="70" w:type="dxa"/>
              <w:bottom w:w="60" w:type="dxa"/>
            </w:tcMar>
            <w:tcW w:w="2401" w:type="dxa"/>
            <w:vAlign w:val="top"/>
          </w:tcPr>
          <w:p>
            <w:pPr>
              <w:pStyle w:val="1296"/>
              <w:pBdr/>
              <w:spacing/>
              <w:ind/>
              <w:rPr/>
            </w:pPr>
            <w:r>
              <w:t xml:space="preserve">Perennial philosophy</w:t>
            </w:r>
            <w:r/>
          </w:p>
        </w:tc>
        <w:tc>
          <w:tcPr>
            <w:tcBorders/>
            <w:tcMar>
              <w:left w:w="70" w:type="dxa"/>
              <w:top w:w="60" w:type="dxa"/>
              <w:right w:w="70" w:type="dxa"/>
              <w:bottom w:w="60" w:type="dxa"/>
            </w:tcMar>
            <w:tcW w:w="2401" w:type="dxa"/>
            <w:vAlign w:val="top"/>
          </w:tcPr>
          <w:p>
            <w:pPr>
              <w:pStyle w:val="1296"/>
              <w:pBdr/>
              <w:spacing/>
              <w:ind/>
              <w:rPr/>
            </w:pPr>
            <w:r>
              <w:t xml:space="preserve">Claims of underlying unity</w:t>
            </w:r>
            <w:r/>
          </w:p>
        </w:tc>
        <w:tc>
          <w:tcPr>
            <w:tcBorders/>
            <w:tcMar>
              <w:left w:w="70" w:type="dxa"/>
              <w:top w:w="60" w:type="dxa"/>
              <w:right w:w="70" w:type="dxa"/>
              <w:bottom w:w="60" w:type="dxa"/>
            </w:tcMar>
            <w:tcW w:w="5203" w:type="dxa"/>
            <w:vAlign w:val="top"/>
          </w:tcPr>
          <w:p>
            <w:pPr>
              <w:pStyle w:val="1296"/>
              <w:pBdr/>
              <w:spacing/>
              <w:ind/>
              <w:rPr/>
            </w:pPr>
            <w:r>
              <w:t xml:space="preserve">Typed similarities plus incompatibilities, disanalogies and refusal to infer metaphysical truth from recurrence.</w:t>
            </w:r>
            <w:r/>
          </w:p>
        </w:tc>
      </w:tr>
      <w:tr>
        <w:trPr>
          <w:cantSplit/>
        </w:trPr>
        <w:tc>
          <w:tcPr>
            <w:shd w:val="clear" w:color="auto" w:fill="f7f9fa"/>
            <w:tcBorders/>
            <w:tcMar>
              <w:left w:w="70" w:type="dxa"/>
              <w:top w:w="60" w:type="dxa"/>
              <w:right w:w="70" w:type="dxa"/>
              <w:bottom w:w="60" w:type="dxa"/>
            </w:tcMar>
            <w:tcW w:w="2401" w:type="dxa"/>
            <w:vAlign w:val="top"/>
          </w:tcPr>
          <w:p>
            <w:pPr>
              <w:pStyle w:val="1296"/>
              <w:pBdr/>
              <w:spacing/>
              <w:ind/>
              <w:rPr/>
            </w:pPr>
            <w:r>
              <w:t xml:space="preserve">Philosophy as a way of life / transformative philosophy</w:t>
            </w:r>
            <w:r/>
          </w:p>
        </w:tc>
        <w:tc>
          <w:tcPr>
            <w:shd w:val="clear" w:color="auto" w:fill="f7f9fa"/>
            <w:tcBorders/>
            <w:tcMar>
              <w:left w:w="70" w:type="dxa"/>
              <w:top w:w="60" w:type="dxa"/>
              <w:right w:w="70" w:type="dxa"/>
              <w:bottom w:w="60" w:type="dxa"/>
            </w:tcMar>
            <w:tcW w:w="2401" w:type="dxa"/>
            <w:vAlign w:val="top"/>
          </w:tcPr>
          <w:p>
            <w:pPr>
              <w:pStyle w:val="1296"/>
              <w:pBdr/>
              <w:spacing/>
              <w:ind/>
              <w:rPr/>
            </w:pPr>
            <w:r>
              <w:t xml:space="preserve">Philosophy as lived practice, self-cultivation, ways of life and transformation.</w:t>
            </w:r>
            <w:r/>
          </w:p>
        </w:tc>
        <w:tc>
          <w:tcPr>
            <w:shd w:val="clear" w:color="auto" w:fill="f7f9fa"/>
            <w:tcBorders/>
            <w:tcMar>
              <w:left w:w="70" w:type="dxa"/>
              <w:top w:w="60" w:type="dxa"/>
              <w:right w:w="70" w:type="dxa"/>
              <w:bottom w:w="60" w:type="dxa"/>
            </w:tcMar>
            <w:tcW w:w="5203" w:type="dxa"/>
            <w:vAlign w:val="top"/>
          </w:tcPr>
          <w:p>
            <w:pPr>
              <w:pStyle w:val="1296"/>
              <w:pBdr/>
              <w:spacing/>
              <w:ind/>
              <w:rPr/>
            </w:pPr>
            <w:r>
              <w:t xml:space="preserve">Source-bounded comparison of how Positions couple or uncouple epistemic authority and access, diagnosis and transformation, while keeping ontology, consciousness, subjecthood, epistemic warrant, praxis, negative states and evidence distinct.</w:t>
            </w:r>
            <w:r/>
          </w:p>
        </w:tc>
      </w:tr>
      <w:tr>
        <w:trPr>
          <w:cantSplit/>
        </w:trPr>
        <w:tc>
          <w:tcPr>
            <w:shd w:val="clear" w:color="auto" w:fill="f7f9fa"/>
            <w:tcBorders/>
            <w:tcMar>
              <w:left w:w="70" w:type="dxa"/>
              <w:top w:w="60" w:type="dxa"/>
              <w:right w:w="70" w:type="dxa"/>
              <w:bottom w:w="60" w:type="dxa"/>
            </w:tcMar>
            <w:tcW w:w="2401" w:type="dxa"/>
            <w:vAlign w:val="top"/>
          </w:tcPr>
          <w:p>
            <w:pPr>
              <w:pStyle w:val="1296"/>
              <w:pBdr/>
              <w:spacing/>
              <w:ind/>
              <w:rPr/>
            </w:pPr>
            <w:r>
              <w:t xml:space="preserve">Collection of tradition essays</w:t>
            </w:r>
            <w:r/>
          </w:p>
        </w:tc>
        <w:tc>
          <w:tcPr>
            <w:shd w:val="clear" w:color="auto" w:fill="f7f9fa"/>
            <w:tcBorders/>
            <w:tcMar>
              <w:left w:w="70" w:type="dxa"/>
              <w:top w:w="60" w:type="dxa"/>
              <w:right w:w="70" w:type="dxa"/>
              <w:bottom w:w="60" w:type="dxa"/>
            </w:tcMar>
            <w:tcW w:w="2401" w:type="dxa"/>
            <w:vAlign w:val="top"/>
          </w:tcPr>
          <w:p>
            <w:pPr>
              <w:pStyle w:val="1296"/>
              <w:pBdr/>
              <w:spacing/>
              <w:ind/>
              <w:rPr/>
            </w:pPr>
            <w:r>
              <w:t xml:space="preserve">Independent expert summaries</w:t>
            </w:r>
            <w:r/>
          </w:p>
        </w:tc>
        <w:tc>
          <w:tcPr>
            <w:shd w:val="clear" w:color="auto" w:fill="f7f9fa"/>
            <w:tcBorders/>
            <w:tcMar>
              <w:left w:w="70" w:type="dxa"/>
              <w:top w:w="60" w:type="dxa"/>
              <w:right w:w="70" w:type="dxa"/>
              <w:bottom w:w="60" w:type="dxa"/>
            </w:tcMar>
            <w:tcW w:w="5203" w:type="dxa"/>
            <w:vAlign w:val="top"/>
          </w:tcPr>
          <w:p>
            <w:pPr>
              <w:pStyle w:val="1296"/>
              <w:pBdr/>
              <w:spacing/>
              <w:ind/>
              <w:rPr/>
            </w:pPr>
            <w:r>
              <w:t xml:space="preserve">One comparison grammar and one evidence base that generate Position views and cross-Position arguments.</w:t>
            </w:r>
            <w:r/>
          </w:p>
        </w:tc>
      </w:tr>
    </w:tbl>
    <w:p>
      <w:pPr>
        <w:pStyle w:val="1300"/>
        <w:pBdr/>
        <w:spacing/>
        <w:ind/>
        <w:rPr/>
      </w:pPr>
      <w:r/>
      <w:r/>
    </w:p>
    <w:p>
      <w:pPr>
        <w:pStyle w:val="1137"/>
        <w:keepNext w:val="true"/>
        <w:keepLines w:val="true"/>
        <w:pBdr/>
        <w:spacing/>
        <w:ind/>
        <w:rPr/>
      </w:pPr>
      <w:r/>
      <w:bookmarkStart w:id="109" w:name="SEC_2_3"/>
      <w:r>
        <w:t xml:space="preserve">2.3 Explicit refusals</w:t>
      </w:r>
      <w:bookmarkEnd w:id="109"/>
      <w:r/>
      <w:r/>
    </w:p>
    <w:p>
      <w:pPr>
        <w:pStyle w:val="1165"/>
        <w:pBdr/>
        <w:spacing/>
        <w:ind/>
        <w:rPr/>
      </w:pPr>
      <w:r>
        <w:t xml:space="preserve">No ranking of Positions or reader-facing worldview labels by truth, sophistication, civilizational prestige or database frequency.</w:t>
      </w:r>
      <w:r/>
    </w:p>
    <w:p>
      <w:pPr>
        <w:pStyle w:val="1165"/>
        <w:pBdr/>
        <w:spacing/>
        <w:ind/>
        <w:rPr/>
      </w:pPr>
      <w:r>
        <w:t xml:space="preserve">No claim that recurrent structures reveal one perennial metaphysics.</w:t>
      </w:r>
      <w:r/>
    </w:p>
    <w:p>
      <w:pPr>
        <w:pStyle w:val="1165"/>
        <w:pBdr/>
        <w:spacing/>
        <w:ind/>
        <w:rPr/>
      </w:pPr>
      <w:r>
        <w:t xml:space="preserve">No claim that Being, Knowing and Becoming form a universal triad, fixed sequence or privileged metaphysical structure.</w:t>
      </w:r>
      <w:r/>
    </w:p>
    <w:p>
      <w:pPr>
        <w:pStyle w:val="1165"/>
        <w:pBdr/>
        <w:spacing/>
        <w:ind/>
        <w:rPr/>
      </w:pPr>
      <w:r>
        <w:t xml:space="preserve">No implication that science as an empirical enterprise entails physicalism.</w:t>
      </w:r>
      <w:r/>
    </w:p>
    <w:p>
      <w:pPr>
        <w:pStyle w:val="1165"/>
        <w:pBdr/>
        <w:spacing/>
        <w:ind/>
        <w:rPr/>
      </w:pPr>
      <w:r>
        <w:t xml:space="preserve">No claim that a public ethnography or oral tradition is automatically authorized community voice.</w:t>
      </w:r>
      <w:r/>
    </w:p>
    <w:p>
      <w:pPr>
        <w:pStyle w:val="1165"/>
        <w:pBdr/>
        <w:spacing/>
        <w:ind/>
        <w:rPr/>
      </w:pPr>
      <w:r>
        <w:t xml:space="preserve">No “first-ever,” absolute historical-priority or exhaustive-global-coverage claim.</w:t>
      </w:r>
      <w:r/>
    </w:p>
    <w:p>
      <w:pPr>
        <w:pStyle w:val="1136"/>
        <w:keepNext w:val="true"/>
        <w:keepLines w:val="true"/>
        <w:pBdr/>
        <w:spacing/>
        <w:ind/>
        <w:rPr/>
      </w:pPr>
      <w:r/>
      <w:bookmarkStart w:id="110" w:name="SEC_3"/>
      <w:r>
        <w:t xml:space="preserve">3. Argument and delivery architecture</w:t>
      </w:r>
      <w:bookmarkEnd w:id="110"/>
      <w:r/>
      <w:r/>
    </w:p>
    <w:p>
      <w:pPr>
        <w:pBdr/>
        <w:spacing/>
        <w:ind/>
        <w:rPr/>
      </w:pPr>
      <w:r>
        <w:t xml:space="preserve">Argument Architecture and Delivery Architecture are separate decisions. The first governs how the intellectual argument is organized; the second governs how argument, reference burden and evidence views are distributed.</w:t>
      </w:r>
      <w:r/>
    </w:p>
    <w:p>
      <w:pPr>
        <w:pStyle w:val="1184"/>
        <w:keepNext w:val="true"/>
        <w:keepLines w:val="true"/>
        <w:pBdr/>
        <w:spacing/>
        <w:ind/>
        <w:rPr/>
      </w:pPr>
      <w:r>
        <w:t xml:space="preserve">Governing — Separate architecture decisions</w:t>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2175"/>
        <w:gridCol w:w="2538"/>
        <w:gridCol w:w="5292"/>
      </w:tblGrid>
      <w:tr>
        <w:trPr>
          <w:cantSplit/>
          <w:tblHeader/>
        </w:trPr>
        <w:tc>
          <w:tcPr>
            <w:shd w:val="clear" w:color="auto" w:fill="1f5a73"/>
            <w:tcBorders/>
            <w:tcMar>
              <w:left w:w="70" w:type="dxa"/>
              <w:top w:w="60" w:type="dxa"/>
              <w:right w:w="70" w:type="dxa"/>
              <w:bottom w:w="60" w:type="dxa"/>
            </w:tcMar>
            <w:tcW w:w="2175" w:type="dxa"/>
            <w:vAlign w:val="top"/>
          </w:tcPr>
          <w:p>
            <w:pPr>
              <w:pStyle w:val="1298"/>
              <w:pBdr/>
              <w:spacing/>
              <w:ind/>
              <w:rPr/>
            </w:pPr>
            <w:r>
              <w:t xml:space="preserve">Decision</w:t>
            </w:r>
            <w:r/>
          </w:p>
        </w:tc>
        <w:tc>
          <w:tcPr>
            <w:shd w:val="clear" w:color="auto" w:fill="1f5a73"/>
            <w:tcBorders/>
            <w:tcMar>
              <w:left w:w="70" w:type="dxa"/>
              <w:top w:w="60" w:type="dxa"/>
              <w:right w:w="70" w:type="dxa"/>
              <w:bottom w:w="60" w:type="dxa"/>
            </w:tcMar>
            <w:tcW w:w="2538" w:type="dxa"/>
            <w:vAlign w:val="top"/>
          </w:tcPr>
          <w:p>
            <w:pPr>
              <w:pStyle w:val="1298"/>
              <w:pBdr/>
              <w:spacing/>
              <w:ind/>
              <w:rPr/>
            </w:pPr>
            <w:r>
              <w:t xml:space="preserve">Adopted option</w:t>
            </w:r>
            <w:r/>
          </w:p>
        </w:tc>
        <w:tc>
          <w:tcPr>
            <w:shd w:val="clear" w:color="auto" w:fill="1f5a73"/>
            <w:tcBorders/>
            <w:tcMar>
              <w:left w:w="70" w:type="dxa"/>
              <w:top w:w="60" w:type="dxa"/>
              <w:right w:w="70" w:type="dxa"/>
              <w:bottom w:w="60" w:type="dxa"/>
            </w:tcMar>
            <w:tcW w:w="5292" w:type="dxa"/>
            <w:vAlign w:val="top"/>
          </w:tcPr>
          <w:p>
            <w:pPr>
              <w:pStyle w:val="1298"/>
              <w:pBdr/>
              <w:spacing/>
              <w:ind/>
              <w:rPr/>
            </w:pPr>
            <w:r>
              <w:t xml:space="preserve">Decision basis</w:t>
            </w:r>
            <w:r/>
          </w:p>
        </w:tc>
      </w:tr>
      <w:tr>
        <w:trPr>
          <w:cantSplit/>
        </w:trPr>
        <w:tc>
          <w:tcPr>
            <w:tcBorders/>
            <w:tcMar>
              <w:left w:w="70" w:type="dxa"/>
              <w:top w:w="60" w:type="dxa"/>
              <w:right w:w="70" w:type="dxa"/>
              <w:bottom w:w="60" w:type="dxa"/>
            </w:tcMar>
            <w:tcW w:w="2175" w:type="dxa"/>
            <w:vAlign w:val="top"/>
          </w:tcPr>
          <w:p>
            <w:pPr>
              <w:pStyle w:val="1296"/>
              <w:pBdr/>
              <w:spacing/>
              <w:ind/>
              <w:rPr/>
            </w:pPr>
            <w:r>
              <w:t xml:space="preserve">Argument architecture</w:t>
            </w:r>
            <w:r/>
          </w:p>
        </w:tc>
        <w:tc>
          <w:tcPr>
            <w:tcBorders/>
            <w:tcMar>
              <w:left w:w="70" w:type="dxa"/>
              <w:top w:w="60" w:type="dxa"/>
              <w:right w:w="70" w:type="dxa"/>
              <w:bottom w:w="60" w:type="dxa"/>
            </w:tcMar>
            <w:tcW w:w="2538" w:type="dxa"/>
            <w:vAlign w:val="top"/>
          </w:tcPr>
          <w:p>
            <w:pPr>
              <w:pStyle w:val="1296"/>
              <w:pBdr/>
              <w:spacing/>
              <w:ind/>
              <w:rPr/>
            </w:pPr>
            <w:r>
              <w:t xml:space="preserve">Hybrid argument</w:t>
            </w:r>
            <w:r/>
          </w:p>
        </w:tc>
        <w:tc>
          <w:tcPr>
            <w:tcBorders/>
            <w:tcMar>
              <w:left w:w="70" w:type="dxa"/>
              <w:top w:w="60" w:type="dxa"/>
              <w:right w:w="70" w:type="dxa"/>
              <w:bottom w:w="60" w:type="dxa"/>
            </w:tcMar>
            <w:tcW w:w="5292" w:type="dxa"/>
            <w:vAlign w:val="top"/>
          </w:tcPr>
          <w:p>
            <w:pPr>
              <w:pStyle w:val="1296"/>
              <w:pBdr/>
              <w:spacing/>
              <w:ind/>
              <w:rPr/>
            </w:pPr>
            <w:r>
              <w:t xml:space="preserve">Problem and fault-line chapters develop the comparative argument. Compact Position introductions provide the source context needed to follow each comparison without repeating full reference profiles. Claims remain traceable to the evidence.</w:t>
            </w:r>
            <w:r/>
          </w:p>
        </w:tc>
      </w:tr>
      <w:tr>
        <w:trPr>
          <w:cantSplit/>
        </w:trPr>
        <w:tc>
          <w:tcPr>
            <w:shd w:val="clear" w:color="auto" w:fill="f7f9fa"/>
            <w:tcBorders/>
            <w:tcMar>
              <w:left w:w="70" w:type="dxa"/>
              <w:top w:w="60" w:type="dxa"/>
              <w:right w:w="70" w:type="dxa"/>
              <w:bottom w:w="60" w:type="dxa"/>
            </w:tcMar>
            <w:tcW w:w="2175" w:type="dxa"/>
            <w:vAlign w:val="top"/>
          </w:tcPr>
          <w:p>
            <w:pPr>
              <w:pStyle w:val="1296"/>
              <w:pBdr/>
              <w:spacing/>
              <w:ind/>
              <w:rPr/>
            </w:pPr>
            <w:r>
              <w:t xml:space="preserve">Delivery architecture</w:t>
            </w:r>
            <w:r/>
          </w:p>
        </w:tc>
        <w:tc>
          <w:tcPr>
            <w:shd w:val="clear" w:color="auto" w:fill="f7f9fa"/>
            <w:tcBorders/>
            <w:tcMar>
              <w:left w:w="70" w:type="dxa"/>
              <w:top w:w="60" w:type="dxa"/>
              <w:right w:w="70" w:type="dxa"/>
              <w:bottom w:w="60" w:type="dxa"/>
            </w:tcMar>
            <w:tcW w:w="2538" w:type="dxa"/>
            <w:vAlign w:val="top"/>
          </w:tcPr>
          <w:p>
            <w:pPr>
              <w:pStyle w:val="1296"/>
              <w:pBdr/>
              <w:spacing/>
              <w:ind/>
              <w:rPr/>
            </w:pPr>
            <w:r>
              <w:t xml:space="preserve">Two print volumes plus an integral Digital Atlas</w:t>
            </w:r>
            <w:r/>
          </w:p>
        </w:tc>
        <w:tc>
          <w:tcPr>
            <w:shd w:val="clear" w:color="auto" w:fill="f7f9fa"/>
            <w:tcBorders/>
            <w:tcMar>
              <w:left w:w="70" w:type="dxa"/>
              <w:top w:w="60" w:type="dxa"/>
              <w:right w:w="70" w:type="dxa"/>
              <w:bottom w:w="60" w:type="dxa"/>
            </w:tcMar>
            <w:tcW w:w="5292" w:type="dxa"/>
            <w:vAlign w:val="top"/>
          </w:tcPr>
          <w:p>
            <w:pPr>
              <w:pStyle w:val="1296"/>
              <w:pBdr/>
              <w:spacing/>
              <w:ind/>
              <w:rPr/>
            </w:pPr>
            <w:r>
              <w:t xml:space="preserve">The 255,000-word narrative remains sequential in print while full records, provenance, updates and generated views remain in the governed digital system.</w:t>
            </w:r>
            <w:r/>
          </w:p>
        </w:tc>
      </w:tr>
    </w:tbl>
    <w:p>
      <w:pPr>
        <w:pStyle w:val="1300"/>
        <w:pBdr/>
        <w:spacing/>
        <w:ind/>
        <w:rPr/>
      </w:pPr>
      <w:r/>
      <w:r/>
    </w:p>
    <w:p>
      <w:pPr>
        <w:pStyle w:val="1137"/>
        <w:keepNext w:val="true"/>
        <w:keepLines w:val="true"/>
        <w:pBdr/>
        <w:spacing/>
        <w:ind/>
        <w:rPr/>
      </w:pPr>
      <w:r/>
      <w:bookmarkStart w:id="111" w:name="SEC_3_1"/>
      <w:r>
        <w:t xml:space="preserve">3.1 Why the hybrid argument</w:t>
      </w:r>
      <w:bookmarkEnd w:id="111"/>
      <w:r/>
      <w:r/>
    </w:p>
    <w:p>
      <w:pPr>
        <w:pBdr/>
        <w:spacing/>
        <w:ind/>
        <w:rPr/>
      </w:pPr>
      <w:r>
        <w:t xml:space="preserve">A Position-centered book would preserve exposition but create an encyclopedia-like sequence, repeat the same D1–D15 issues and postpone comparison. A domain-centered book would overexpose the Atlas taxonomy and risk imposing one</w:t>
      </w:r>
      <w:r>
        <w:t xml:space="preserve"> question hierarchy on sources that deny or reframe it. A fault-line-only book would weaken emic orientation. The adopted hybrid therefore embeds compact Position orientation inside problem chapters and delegates full reference profiles to generated views.</w:t>
      </w:r>
      <w:r/>
    </w:p>
    <w:p>
      <w:pPr>
        <w:pStyle w:val="1137"/>
        <w:keepNext w:val="true"/>
        <w:keepLines w:val="true"/>
        <w:pBdr/>
        <w:spacing/>
        <w:ind/>
        <w:rPr/>
      </w:pPr>
      <w:r/>
      <w:bookmarkStart w:id="112" w:name="SEC_3_2"/>
      <w:r>
        <w:t xml:space="preserve">3.2 Why two volumes and an integral digital companion</w:t>
      </w:r>
      <w:bookmarkEnd w:id="112"/>
      <w:r/>
      <w:r/>
    </w:p>
    <w:p>
      <w:pPr>
        <w:pBdr/>
        <w:spacing/>
        <w:ind/>
        <w:rPr/>
      </w:pPr>
      <w:r>
        <w:t xml:space="preserve">A single physical </w:t>
      </w:r>
      <w:r>
        <w:t xml:space="preserve">volume would compress translation, source scope and disanalogy at the points where they require space. Two volumes preserve one sequential argument and split after personhood/subjecthood: Volume I establishes world and mind architectures; Volume II asks wh</w:t>
      </w:r>
      <w:r>
        <w:t xml:space="preserve">at agents can know, do, become and expect. The Digital Atlas carries full D1–D15 records, atomic provenance, concept histories, comparison events, review state and update history under the four-layer authority model governed by Research Specification §8.1.</w:t>
      </w:r>
      <w:r/>
    </w:p>
    <w:p>
      <w:pPr>
        <w:pBdr/>
        <w:spacing/>
        <w:ind/>
        <w:rPr/>
      </w:pPr>
      <w:r>
        <w:t xml:space="preserve">The specifications define required scholarly and evidentiary capabilities, not a requirement to implement every technical layer simultaneously or with a particular technology. Implementati</w:t>
      </w:r>
      <w:r>
        <w:t xml:space="preserve">on sequence and tooling may vary within the governed model; applicable completion and release requirements remain unchanged, and the Digital Atlas remains integral. Research Specification §§8.2 and 9.1 govern implementation flexibility and staged workflow.</w:t>
      </w:r>
      <w:r/>
    </w:p>
    <w:p>
      <w:pPr>
        <w:pStyle w:val="1137"/>
        <w:keepNext w:val="true"/>
        <w:keepLines w:val="true"/>
        <w:pBdr/>
        <w:spacing/>
        <w:ind/>
        <w:rPr/>
      </w:pPr>
      <w:r/>
      <w:bookmarkStart w:id="113" w:name="SEC_3_3"/>
      <w:r>
        <w:t xml:space="preserve">3.3 Reader-facing devices</w:t>
      </w:r>
      <w:bookmarkEnd w:id="113"/>
      <w:r/>
      <w:r/>
    </w:p>
    <w:p>
      <w:pPr>
        <w:pStyle w:val="1184"/>
        <w:keepNext w:val="true"/>
        <w:keepLines w:val="true"/>
        <w:pBdr/>
        <w:spacing/>
        <w:ind/>
        <w:rPr/>
      </w:pPr>
      <w:r>
        <w:t xml:space="preserve">Governing — Recurring reader-facing devices</w:t>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2538"/>
        <w:gridCol w:w="7468"/>
      </w:tblGrid>
      <w:tr>
        <w:trPr>
          <w:cantSplit/>
          <w:tblHeader/>
        </w:trPr>
        <w:tc>
          <w:tcPr>
            <w:shd w:val="clear" w:color="auto" w:fill="1f5a73"/>
            <w:tcBorders/>
            <w:tcMar>
              <w:left w:w="70" w:type="dxa"/>
              <w:top w:w="60" w:type="dxa"/>
              <w:right w:w="70" w:type="dxa"/>
              <w:bottom w:w="60" w:type="dxa"/>
            </w:tcMar>
            <w:tcW w:w="2538" w:type="dxa"/>
            <w:vAlign w:val="top"/>
          </w:tcPr>
          <w:p>
            <w:pPr>
              <w:pStyle w:val="1298"/>
              <w:pBdr/>
              <w:spacing/>
              <w:ind/>
              <w:rPr/>
            </w:pPr>
            <w:r>
              <w:t xml:space="preserve">Device</w:t>
            </w:r>
            <w:r/>
          </w:p>
        </w:tc>
        <w:tc>
          <w:tcPr>
            <w:shd w:val="clear" w:color="auto" w:fill="1f5a73"/>
            <w:tcBorders/>
            <w:tcMar>
              <w:left w:w="70" w:type="dxa"/>
              <w:top w:w="60" w:type="dxa"/>
              <w:right w:w="70" w:type="dxa"/>
              <w:bottom w:w="60" w:type="dxa"/>
            </w:tcMar>
            <w:tcW w:w="7468" w:type="dxa"/>
            <w:vAlign w:val="top"/>
          </w:tcPr>
          <w:p>
            <w:pPr>
              <w:pStyle w:val="1298"/>
              <w:pBdr/>
              <w:spacing/>
              <w:ind/>
              <w:rPr/>
            </w:pPr>
            <w:r>
              <w:t xml:space="preserve">Publication use</w:t>
            </w:r>
            <w:r/>
          </w:p>
        </w:tc>
      </w:tr>
      <w:tr>
        <w:trPr>
          <w:cantSplit/>
        </w:trPr>
        <w:tc>
          <w:tcPr>
            <w:tcBorders/>
            <w:tcMar>
              <w:left w:w="70" w:type="dxa"/>
              <w:top w:w="60" w:type="dxa"/>
              <w:right w:w="70" w:type="dxa"/>
              <w:bottom w:w="60" w:type="dxa"/>
            </w:tcMar>
            <w:tcW w:w="2538" w:type="dxa"/>
            <w:vAlign w:val="top"/>
          </w:tcPr>
          <w:p>
            <w:pPr>
              <w:pStyle w:val="1296"/>
              <w:pBdr/>
              <w:spacing/>
              <w:ind/>
              <w:rPr/>
            </w:pPr>
            <w:r>
              <w:t xml:space="preserve">Position orientation</w:t>
            </w:r>
            <w:r/>
          </w:p>
        </w:tc>
        <w:tc>
          <w:tcPr>
            <w:tcBorders/>
            <w:tcMar>
              <w:left w:w="70" w:type="dxa"/>
              <w:top w:w="60" w:type="dxa"/>
              <w:right w:w="70" w:type="dxa"/>
              <w:bottom w:w="60" w:type="dxa"/>
            </w:tcMar>
            <w:tcW w:w="7468" w:type="dxa"/>
            <w:vAlign w:val="top"/>
          </w:tcPr>
          <w:p>
            <w:pPr>
              <w:pStyle w:val="1296"/>
              <w:pBdr/>
              <w:spacing/>
              <w:ind/>
              <w:rPr/>
            </w:pPr>
            <w:r>
              <w:t xml:space="preserve">300–700 words at first major appearance: boundary, corpus, date, emic problem-space and material readiness/dependency note.</w:t>
            </w:r>
            <w:r/>
          </w:p>
        </w:tc>
      </w:tr>
      <w:tr>
        <w:trPr>
          <w:cantSplit/>
        </w:trPr>
        <w:tc>
          <w:tcPr>
            <w:shd w:val="clear" w:color="auto" w:fill="f7f9fa"/>
            <w:tcBorders/>
            <w:tcMar>
              <w:left w:w="70" w:type="dxa"/>
              <w:top w:w="60" w:type="dxa"/>
              <w:right w:w="70" w:type="dxa"/>
              <w:bottom w:w="60" w:type="dxa"/>
            </w:tcMar>
            <w:tcW w:w="2538" w:type="dxa"/>
            <w:vAlign w:val="top"/>
          </w:tcPr>
          <w:p>
            <w:pPr>
              <w:pStyle w:val="1296"/>
              <w:pBdr/>
              <w:spacing/>
              <w:ind/>
              <w:rPr/>
            </w:pPr>
            <w:r>
              <w:t xml:space="preserve">Concept box</w:t>
            </w:r>
            <w:r/>
          </w:p>
        </w:tc>
        <w:tc>
          <w:tcPr>
            <w:shd w:val="clear" w:color="auto" w:fill="f7f9fa"/>
            <w:tcBorders/>
            <w:tcMar>
              <w:left w:w="70" w:type="dxa"/>
              <w:top w:w="60" w:type="dxa"/>
              <w:right w:w="70" w:type="dxa"/>
              <w:bottom w:w="60" w:type="dxa"/>
            </w:tcMar>
            <w:tcW w:w="7468" w:type="dxa"/>
            <w:vAlign w:val="top"/>
          </w:tcPr>
          <w:p>
            <w:pPr>
              <w:pStyle w:val="1296"/>
              <w:pBdr/>
              <w:spacing/>
              <w:ind/>
              <w:rPr/>
            </w:pPr>
            <w:r>
              <w:t xml:space="preserve">Original term or script, translation alternatives, semantic range and an explicit “not equivalent to” warning for high-risk bridge terms.</w:t>
            </w:r>
            <w:r/>
          </w:p>
        </w:tc>
      </w:tr>
      <w:tr>
        <w:trPr>
          <w:cantSplit/>
        </w:trPr>
        <w:tc>
          <w:tcPr>
            <w:tcBorders/>
            <w:tcMar>
              <w:left w:w="70" w:type="dxa"/>
              <w:top w:w="60" w:type="dxa"/>
              <w:right w:w="70" w:type="dxa"/>
              <w:bottom w:w="60" w:type="dxa"/>
            </w:tcMar>
            <w:tcW w:w="2538" w:type="dxa"/>
            <w:vAlign w:val="top"/>
          </w:tcPr>
          <w:p>
            <w:pPr>
              <w:pStyle w:val="1296"/>
              <w:pBdr/>
              <w:spacing/>
              <w:ind/>
              <w:rPr/>
            </w:pPr>
            <w:r>
              <w:t xml:space="preserve">Comparison event panel</w:t>
            </w:r>
            <w:r/>
          </w:p>
        </w:tc>
        <w:tc>
          <w:tcPr>
            <w:tcBorders/>
            <w:tcMar>
              <w:left w:w="70" w:type="dxa"/>
              <w:top w:w="60" w:type="dxa"/>
              <w:right w:w="70" w:type="dxa"/>
              <w:bottom w:w="60" w:type="dxa"/>
            </w:tcMar>
            <w:tcW w:w="7468" w:type="dxa"/>
            <w:vAlign w:val="top"/>
          </w:tcPr>
          <w:p>
            <w:pPr>
              <w:pStyle w:val="1296"/>
              <w:pBdr/>
              <w:spacing/>
              <w:ind/>
              <w:rPr/>
            </w:pPr>
            <w:r>
              <w:t xml:space="preserve">Exact comparands and claim scope, tertium, relation dimension, relation type(s), linked disanalogies, tertium validity and genealogy/independence status.</w:t>
            </w:r>
            <w:r/>
          </w:p>
        </w:tc>
      </w:tr>
      <w:tr>
        <w:trPr>
          <w:cantSplit/>
        </w:trPr>
        <w:tc>
          <w:tcPr>
            <w:shd w:val="clear" w:color="auto" w:fill="f7f9fa"/>
            <w:tcBorders/>
            <w:tcMar>
              <w:left w:w="70" w:type="dxa"/>
              <w:top w:w="60" w:type="dxa"/>
              <w:right w:w="70" w:type="dxa"/>
              <w:bottom w:w="60" w:type="dxa"/>
            </w:tcMar>
            <w:tcW w:w="2538" w:type="dxa"/>
            <w:vAlign w:val="top"/>
          </w:tcPr>
          <w:p>
            <w:pPr>
              <w:pStyle w:val="1296"/>
              <w:pBdr/>
              <w:spacing/>
              <w:ind/>
              <w:rPr/>
            </w:pPr>
            <w:r>
              <w:t xml:space="preserve">Counterexample box</w:t>
            </w:r>
            <w:r/>
          </w:p>
        </w:tc>
        <w:tc>
          <w:tcPr>
            <w:shd w:val="clear" w:color="auto" w:fill="f7f9fa"/>
            <w:tcBorders/>
            <w:tcMar>
              <w:left w:w="70" w:type="dxa"/>
              <w:top w:w="60" w:type="dxa"/>
              <w:right w:w="70" w:type="dxa"/>
              <w:bottom w:w="60" w:type="dxa"/>
            </w:tcMar>
            <w:tcW w:w="7468" w:type="dxa"/>
            <w:vAlign w:val="top"/>
          </w:tcPr>
          <w:p>
            <w:pPr>
              <w:pStyle w:val="1296"/>
              <w:pBdr/>
              <w:spacing/>
              <w:ind/>
              <w:rPr/>
            </w:pPr>
            <w:r>
              <w:t xml:space="preserve">A Position selected to falsify, delimit or refine a tempting synthesis.</w:t>
            </w:r>
            <w:r/>
          </w:p>
        </w:tc>
      </w:tr>
      <w:tr>
        <w:trPr>
          <w:cantSplit/>
        </w:trPr>
        <w:tc>
          <w:tcPr>
            <w:tcBorders/>
            <w:tcMar>
              <w:left w:w="70" w:type="dxa"/>
              <w:top w:w="60" w:type="dxa"/>
              <w:right w:w="70" w:type="dxa"/>
              <w:bottom w:w="60" w:type="dxa"/>
            </w:tcMar>
            <w:tcW w:w="2538" w:type="dxa"/>
            <w:vAlign w:val="top"/>
          </w:tcPr>
          <w:p>
            <w:pPr>
              <w:pStyle w:val="1296"/>
              <w:pBdr/>
              <w:spacing/>
              <w:ind/>
              <w:rPr/>
            </w:pPr>
            <w:r>
              <w:t xml:space="preserve">Evidence/readiness marker</w:t>
            </w:r>
            <w:r/>
          </w:p>
        </w:tc>
        <w:tc>
          <w:tcPr>
            <w:tcBorders/>
            <w:tcMar>
              <w:left w:w="70" w:type="dxa"/>
              <w:top w:w="60" w:type="dxa"/>
              <w:right w:w="70" w:type="dxa"/>
              <w:bottom w:w="60" w:type="dxa"/>
            </w:tcMar>
            <w:tcW w:w="7468" w:type="dxa"/>
            <w:vAlign w:val="top"/>
          </w:tcPr>
          <w:p>
            <w:pPr>
              <w:pStyle w:val="1296"/>
              <w:pBdr/>
              <w:spacing/>
              <w:ind/>
              <w:rPr/>
            </w:pPr>
            <w:r>
              <w:t xml:space="preserve">Plain-language marker for provisional evidence, restricted treatment or an external validation dependency where materially relevant.</w:t>
            </w:r>
            <w:r/>
          </w:p>
        </w:tc>
      </w:tr>
      <w:tr>
        <w:trPr>
          <w:cantSplit/>
        </w:trPr>
        <w:tc>
          <w:tcPr>
            <w:shd w:val="clear" w:color="auto" w:fill="f7f9fa"/>
            <w:tcBorders/>
            <w:tcMar>
              <w:left w:w="70" w:type="dxa"/>
              <w:top w:w="60" w:type="dxa"/>
              <w:right w:w="70" w:type="dxa"/>
              <w:bottom w:w="60" w:type="dxa"/>
            </w:tcMar>
            <w:tcW w:w="2538" w:type="dxa"/>
            <w:vAlign w:val="top"/>
          </w:tcPr>
          <w:p>
            <w:pPr>
              <w:pStyle w:val="1296"/>
              <w:pBdr/>
              <w:spacing/>
              <w:ind/>
              <w:rPr/>
            </w:pPr>
            <w:r>
              <w:t xml:space="preserve">Build trace marker</w:t>
            </w:r>
            <w:r/>
          </w:p>
        </w:tc>
        <w:tc>
          <w:tcPr>
            <w:shd w:val="clear" w:color="auto" w:fill="f7f9fa"/>
            <w:tcBorders/>
            <w:tcMar>
              <w:left w:w="70" w:type="dxa"/>
              <w:top w:w="60" w:type="dxa"/>
              <w:right w:w="70" w:type="dxa"/>
              <w:bottom w:w="60" w:type="dxa"/>
            </w:tcMar>
            <w:tcW w:w="7468" w:type="dxa"/>
            <w:vAlign w:val="top"/>
          </w:tcPr>
          <w:p>
            <w:pPr>
              <w:pStyle w:val="1296"/>
              <w:pBdr/>
              <w:spacing/>
              <w:ind/>
              <w:rPr/>
            </w:pPr>
            <w:r>
              <w:t xml:space="preserve">Stable reference from a print claim, PublicationClaim or exhibit to the named canonical build and Generated Evidence View.</w:t>
            </w:r>
            <w:r/>
          </w:p>
        </w:tc>
      </w:tr>
    </w:tbl>
    <w:p>
      <w:pPr>
        <w:pStyle w:val="1300"/>
        <w:pBdr/>
        <w:spacing/>
        <w:ind/>
        <w:rPr/>
      </w:pPr>
      <w:r/>
      <w:r/>
    </w:p>
    <w:p>
      <w:pPr>
        <w:pBdr/>
        <w:spacing/>
        <w:ind/>
        <w:rPr/>
      </w:pPr>
      <w:r>
        <w:t xml:space="preserve">The volumes are sequential at the publicatio</w:t>
      </w:r>
      <w:r>
        <w:t xml:space="preserve">n-Part level but modular at chapter level. Chapters 1–2 establish comparison discipline and should be read first; Parts II–V support selective scholarly reading; Chapters 19–20 depend on the preceding cases and provide only L2-bounded synthesis and limits.</w:t>
      </w:r>
      <w:r/>
    </w:p>
    <w:p>
      <w:pPr>
        <w:pBdr/>
        <w:spacing/>
        <w:ind/>
        <w:rPr/>
      </w:pPr>
      <w:r>
        <w:t xml:space="preserve">Ordinary argumentative prose in Chapters 3–20 uses scholarly natural language. Schema object names, codes and validation mechanics appear only where they are analytically necessary</w:t>
      </w:r>
      <w:r>
        <w:t xml:space="preserve"> or required for traceability, with operational detail normally assigned to the methodological chapters, notes, boxes or Digital Atlas. Material limits on attribution, translation, comparison and release scope remain visible where they affect the argument.</w:t>
      </w:r>
      <w:r/>
    </w:p>
    <w:p>
      <w:pPr>
        <w:pBdr/>
        <w:spacing/>
        <w:ind/>
        <w:rPr/>
      </w:pPr>
      <w:r>
        <w:t xml:space="preserve">Editorial judgment. The hybrid argument and two print volumes with an integral Digital Atlas are editorial c</w:t>
      </w:r>
      <w:r>
        <w:t xml:space="preserve">hoices made to support the adopted sequential print argument. They are not based on a quantified sensitivity test of alternative architectures. Annex A’s candidate-role scores inform corpus selection, not empirical evaluation of these architecture choices.</w:t>
      </w:r>
      <w:r/>
    </w:p>
    <w:p>
      <w:pPr>
        <w:pStyle w:val="1136"/>
        <w:keepNext w:val="true"/>
        <w:keepLines w:val="true"/>
        <w:pBdr/>
        <w:spacing/>
        <w:ind/>
        <w:rPr/>
      </w:pPr>
      <w:r/>
      <w:bookmarkStart w:id="114" w:name="SEC_4"/>
      <w:r>
        <w:t xml:space="preserve">4. Coverage strategy and material debt</w:t>
      </w:r>
      <w:bookmarkEnd w:id="114"/>
      <w:r/>
      <w:r/>
    </w:p>
    <w:tbl>
      <w:tblPr>
        <w:jc w:val="center"/>
        <w:tblW w:w="0" w:type="auto"/>
        <w:tblBorders>
          <w:top w:val="single" w:color="2a6f83" w:sz="8" w:space="0"/>
          <w:left w:val="single" w:color="2a6f83" w:sz="8" w:space="0"/>
          <w:bottom w:val="single" w:color="2a6f83" w:sz="8" w:space="0"/>
          <w:right w:val="single" w:color="2a6f83" w:sz="8" w:space="0"/>
          <w:insideH w:val="single" w:color="2a6f83" w:sz="8" w:space="0"/>
          <w:insideV w:val="single" w:color="2a6f83" w:sz="8" w:space="0"/>
        </w:tblBorders>
        <w:tblLayout w:type="fixed"/>
        <w:tblLook w:val="04A0" w:firstRow="1" w:lastRow="0" w:firstColumn="1" w:lastColumn="0" w:noHBand="0" w:noVBand="1"/>
      </w:tblPr>
      <w:tblGrid>
        <w:gridCol w:w="10006"/>
      </w:tblGrid>
      <w:tr>
        <w:trPr>
          <w:cantSplit/>
          <w:tblHeader/>
        </w:trPr>
        <w:tc>
          <w:tcPr>
            <w:shd w:val="clear" w:color="auto" w:fill="2a6f83"/>
            <w:tcBorders/>
            <w:tcMar>
              <w:left w:w="70" w:type="dxa"/>
              <w:top w:w="60" w:type="dxa"/>
              <w:right w:w="70" w:type="dxa"/>
              <w:bottom w:w="60" w:type="dxa"/>
            </w:tcMar>
            <w:tcW w:w="9936" w:type="dxa"/>
            <w:vAlign w:val="top"/>
          </w:tcPr>
          <w:p>
            <w:pPr>
              <w:pStyle w:val="1301"/>
              <w:pBdr/>
              <w:spacing/>
              <w:ind/>
              <w:rPr/>
            </w:pPr>
            <w:r>
              <w:t xml:space="preserve">Governing — Publication saturation rule</w:t>
            </w:r>
            <w:r/>
          </w:p>
        </w:tc>
      </w:tr>
      <w:tr>
        <w:trPr>
          <w:cantSplit/>
        </w:trPr>
        <w:tc>
          <w:tcPr>
            <w:shd w:val="clear" w:color="auto" w:fill="eaf2f6"/>
            <w:tcBorders/>
            <w:tcMar>
              <w:left w:w="70" w:type="dxa"/>
              <w:top w:w="60" w:type="dxa"/>
              <w:right w:w="70" w:type="dxa"/>
              <w:bottom w:w="60" w:type="dxa"/>
            </w:tcMar>
            <w:tcW w:w="10006" w:type="dxa"/>
            <w:vAlign w:val="top"/>
          </w:tcPr>
          <w:p>
            <w:pPr>
              <w:pStyle w:val="1302"/>
              <w:pBdr/>
              <w:spacing/>
              <w:ind/>
              <w:rPr/>
            </w:pPr>
            <w:r>
              <w:t xml:space="preserve">Stop adding CORE Positions when each central chapter</w:t>
            </w:r>
            <w:r>
              <w:t xml:space="preserve"> contains multiple materially different solution-types and active counterexamples, and when additional well-sourced candidates mainly duplicate existing comparative functions. Coverage debt remains visible rather than being hidden by quota-based additions.</w:t>
            </w:r>
            <w:r/>
          </w:p>
        </w:tc>
      </w:tr>
    </w:tbl>
    <w:p>
      <w:pPr>
        <w:pStyle w:val="1300"/>
        <w:pBdr/>
        <w:spacing/>
        <w:ind/>
        <w:rPr/>
      </w:pPr>
      <w:r/>
      <w:r/>
    </w:p>
    <w:p>
      <w:pPr>
        <w:pBdr/>
        <w:spacing/>
        <w:ind/>
        <w:rPr/>
      </w:pPr>
      <w:r>
        <w:t xml:space="preserve">A candidate earns print space when it changes a consequential solution-space, supplies a counterexample, exposes a category pr</w:t>
      </w:r>
      <w:r>
        <w:t xml:space="preserve">oblem, supports analysis of historical relationships among Positions, closes serious coverage debt, or is culturally or intellectually important and adequately sourceable. Weakly evidenced Positions are not promoted merely to improve geographic appearance.</w:t>
      </w:r>
      <w:r/>
    </w:p>
    <w:tbl>
      <w:tblPr>
        <w:jc w:val="center"/>
        <w:tblW w:w="0" w:type="auto"/>
        <w:tblBorders>
          <w:top w:val="single" w:color="68737a" w:sz="8" w:space="0"/>
          <w:left w:val="single" w:color="68737a" w:sz="8" w:space="0"/>
          <w:bottom w:val="single" w:color="68737a" w:sz="8" w:space="0"/>
          <w:right w:val="single" w:color="68737a" w:sz="8" w:space="0"/>
          <w:insideH w:val="single" w:color="68737a" w:sz="8" w:space="0"/>
          <w:insideV w:val="single" w:color="68737a" w:sz="8" w:space="0"/>
        </w:tblBorders>
        <w:tblLayout w:type="fixed"/>
        <w:tblLook w:val="04A0" w:firstRow="1" w:lastRow="0" w:firstColumn="1" w:lastColumn="0" w:noHBand="0" w:noVBand="1"/>
      </w:tblPr>
      <w:tblGrid>
        <w:gridCol w:w="10006"/>
      </w:tblGrid>
      <w:tr>
        <w:trPr>
          <w:cantSplit/>
          <w:tblHeader/>
        </w:trPr>
        <w:tc>
          <w:tcPr>
            <w:shd w:val="clear" w:color="auto" w:fill="68737a"/>
            <w:tcBorders/>
            <w:tcMar>
              <w:left w:w="70" w:type="dxa"/>
              <w:top w:w="60" w:type="dxa"/>
              <w:right w:w="70" w:type="dxa"/>
              <w:bottom w:w="60" w:type="dxa"/>
            </w:tcMar>
            <w:tcW w:w="9936" w:type="dxa"/>
            <w:vAlign w:val="top"/>
          </w:tcPr>
          <w:p>
            <w:pPr>
              <w:pStyle w:val="1301"/>
              <w:pBdr/>
              <w:spacing/>
              <w:ind/>
              <w:rPr/>
            </w:pPr>
            <w:r>
              <w:t xml:space="preserve">Historical snapshot — Material coverage debt as of 28 July 2026</w:t>
            </w:r>
            <w:r/>
          </w:p>
        </w:tc>
      </w:tr>
      <w:tr>
        <w:trPr>
          <w:cantSplit/>
        </w:trPr>
        <w:tc>
          <w:tcPr>
            <w:shd w:val="clear" w:color="auto" w:fill="f0f2f3"/>
            <w:tcBorders/>
            <w:tcMar>
              <w:left w:w="70" w:type="dxa"/>
              <w:top w:w="60" w:type="dxa"/>
              <w:right w:w="70" w:type="dxa"/>
              <w:bottom w:w="60" w:type="dxa"/>
            </w:tcMar>
            <w:tcW w:w="10006" w:type="dxa"/>
            <w:vAlign w:val="top"/>
          </w:tcPr>
          <w:p>
            <w:pPr>
              <w:pStyle w:val="1302"/>
              <w:pBdr/>
              <w:spacing/>
              <w:ind/>
              <w:rPr/>
            </w:pPr>
            <w:r>
              <w:t xml:space="preserve">The following planning view records the state at 28 July 2026. Annex B contains the full coverage-debt audit. Research Specification §7.3 governs evidence adequacy and conceptual saturation.</w:t>
            </w:r>
            <w:r/>
          </w:p>
        </w:tc>
      </w:tr>
    </w:tbl>
    <w:p>
      <w:pPr>
        <w:pStyle w:val="1300"/>
        <w:pBdr/>
        <w:spacing/>
        <w:ind/>
        <w:rPr/>
      </w:pPr>
      <w:r/>
      <w:r/>
    </w:p>
    <w:p>
      <w:pPr>
        <w:pStyle w:val="1184"/>
        <w:keepNext w:val="true"/>
        <w:keepLines w:val="true"/>
        <w:pBdr/>
        <w:spacing/>
        <w:ind/>
        <w:rPr/>
      </w:pPr>
      <w:r/>
      <w:bookmarkStart w:id="115" w:name="T_ACTIVE_DEBT"/>
      <w:r>
        <w:t xml:space="preserve">Historical snapshot — Material active coverage debt as of 28 July 2026</w:t>
      </w:r>
      <w:bookmarkEnd w:id="115"/>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2247"/>
        <w:gridCol w:w="3262"/>
        <w:gridCol w:w="943"/>
        <w:gridCol w:w="3552"/>
      </w:tblGrid>
      <w:tr>
        <w:trPr>
          <w:cantSplit/>
          <w:tblHeader/>
        </w:trPr>
        <w:tc>
          <w:tcPr>
            <w:shd w:val="clear" w:color="auto" w:fill="1f5a73"/>
            <w:tcBorders/>
            <w:tcMar>
              <w:left w:w="70" w:type="dxa"/>
              <w:top w:w="60" w:type="dxa"/>
              <w:right w:w="70" w:type="dxa"/>
              <w:bottom w:w="60" w:type="dxa"/>
            </w:tcMar>
            <w:tcW w:w="2247" w:type="dxa"/>
            <w:vAlign w:val="top"/>
          </w:tcPr>
          <w:p>
            <w:pPr>
              <w:pStyle w:val="1298"/>
              <w:pBdr/>
              <w:spacing/>
              <w:ind/>
              <w:rPr/>
            </w:pPr>
            <w:r>
              <w:t xml:space="preserve">Coverage dimension</w:t>
            </w:r>
            <w:r/>
          </w:p>
        </w:tc>
        <w:tc>
          <w:tcPr>
            <w:shd w:val="clear" w:color="auto" w:fill="1f5a73"/>
            <w:tcBorders/>
            <w:tcMar>
              <w:left w:w="70" w:type="dxa"/>
              <w:top w:w="60" w:type="dxa"/>
              <w:right w:w="70" w:type="dxa"/>
              <w:bottom w:w="60" w:type="dxa"/>
            </w:tcMar>
            <w:tcW w:w="3262" w:type="dxa"/>
            <w:vAlign w:val="top"/>
          </w:tcPr>
          <w:p>
            <w:pPr>
              <w:pStyle w:val="1298"/>
              <w:pBdr/>
              <w:spacing/>
              <w:ind/>
              <w:rPr/>
            </w:pPr>
            <w:r>
              <w:t xml:space="preserve">Current assessment</w:t>
            </w:r>
            <w:r/>
          </w:p>
        </w:tc>
        <w:tc>
          <w:tcPr>
            <w:shd w:val="clear" w:color="auto" w:fill="1f5a73"/>
            <w:tcBorders/>
            <w:tcMar>
              <w:left w:w="70" w:type="dxa"/>
              <w:top w:w="60" w:type="dxa"/>
              <w:right w:w="70" w:type="dxa"/>
              <w:bottom w:w="60" w:type="dxa"/>
            </w:tcMar>
            <w:tcW w:w="943" w:type="dxa"/>
            <w:vAlign w:val="top"/>
          </w:tcPr>
          <w:p>
            <w:pPr>
              <w:pStyle w:val="1298"/>
              <w:pBdr/>
              <w:spacing/>
              <w:ind/>
              <w:rPr/>
            </w:pPr>
            <w:r>
              <w:t xml:space="preserve">Debt</w:t>
            </w:r>
            <w:r/>
          </w:p>
        </w:tc>
        <w:tc>
          <w:tcPr>
            <w:shd w:val="clear" w:color="auto" w:fill="1f5a73"/>
            <w:tcBorders/>
            <w:tcMar>
              <w:left w:w="70" w:type="dxa"/>
              <w:top w:w="60" w:type="dxa"/>
              <w:right w:w="70" w:type="dxa"/>
              <w:bottom w:w="60" w:type="dxa"/>
            </w:tcMar>
            <w:tcW w:w="3552" w:type="dxa"/>
            <w:vAlign w:val="top"/>
          </w:tcPr>
          <w:p>
            <w:pPr>
              <w:pStyle w:val="1298"/>
              <w:pBdr/>
              <w:spacing/>
              <w:ind/>
              <w:rPr/>
            </w:pPr>
            <w:r>
              <w:t xml:space="preserve">Publication response</w:t>
            </w:r>
            <w:r/>
          </w:p>
        </w:tc>
      </w:tr>
      <w:tr>
        <w:trPr>
          <w:cantSplit/>
        </w:trPr>
        <w:tc>
          <w:tcPr>
            <w:tcBorders/>
            <w:tcMar>
              <w:left w:w="70" w:type="dxa"/>
              <w:top w:w="60" w:type="dxa"/>
              <w:right w:w="70" w:type="dxa"/>
              <w:bottom w:w="60" w:type="dxa"/>
            </w:tcMar>
            <w:tcW w:w="2247" w:type="dxa"/>
            <w:vAlign w:val="top"/>
          </w:tcPr>
          <w:p>
            <w:pPr>
              <w:pStyle w:val="1296"/>
              <w:pBdr/>
              <w:spacing/>
              <w:ind/>
              <w:rPr/>
            </w:pPr>
            <w:r>
              <w:t xml:space="preserve">Macro-region</w:t>
            </w:r>
            <w:r/>
          </w:p>
        </w:tc>
        <w:tc>
          <w:tcPr>
            <w:tcBorders/>
            <w:tcMar>
              <w:left w:w="70" w:type="dxa"/>
              <w:top w:w="60" w:type="dxa"/>
              <w:right w:w="70" w:type="dxa"/>
              <w:bottom w:w="60" w:type="dxa"/>
            </w:tcMar>
            <w:tcW w:w="3262" w:type="dxa"/>
            <w:vAlign w:val="top"/>
          </w:tcPr>
          <w:p>
            <w:pPr>
              <w:pStyle w:val="1296"/>
              <w:pBdr/>
              <w:spacing/>
              <w:ind/>
              <w:rPr/>
            </w:pPr>
            <w:r>
              <w:t xml:space="preserve">Europe/Mediterranean, South Asia, East Asia, Islamic world, West Africa represented; Americas/Oceania weak in release-grade core</w:t>
            </w:r>
            <w:r/>
          </w:p>
        </w:tc>
        <w:tc>
          <w:tcPr>
            <w:tcBorders/>
            <w:tcMar>
              <w:left w:w="70" w:type="dxa"/>
              <w:top w:w="60" w:type="dxa"/>
              <w:right w:w="70" w:type="dxa"/>
              <w:bottom w:w="60" w:type="dxa"/>
            </w:tcMar>
            <w:tcW w:w="943" w:type="dxa"/>
            <w:vAlign w:val="top"/>
          </w:tcPr>
          <w:p>
            <w:pPr>
              <w:pStyle w:val="1296"/>
              <w:pBdr/>
              <w:spacing/>
              <w:ind/>
              <w:rPr/>
            </w:pPr>
            <w:r>
              <w:t xml:space="preserve">High</w:t>
            </w:r>
            <w:r/>
          </w:p>
        </w:tc>
        <w:tc>
          <w:tcPr>
            <w:tcBorders/>
            <w:tcMar>
              <w:left w:w="70" w:type="dxa"/>
              <w:top w:w="60" w:type="dxa"/>
              <w:right w:w="70" w:type="dxa"/>
              <w:bottom w:w="60" w:type="dxa"/>
            </w:tcMar>
            <w:tcW w:w="3552" w:type="dxa"/>
            <w:vAlign w:val="top"/>
          </w:tcPr>
          <w:p>
            <w:pPr>
              <w:pStyle w:val="1296"/>
              <w:pBdr/>
              <w:spacing/>
              <w:ind/>
              <w:rPr/>
            </w:pPr>
            <w:r>
              <w:t xml:space="preserve">Keep Nahua/Māori/Achuar as explicit HOLD research priorities; do not fill quotas with weak evidence.</w:t>
            </w:r>
            <w:r/>
          </w:p>
        </w:tc>
      </w:tr>
      <w:tr>
        <w:trPr>
          <w:cantSplit/>
        </w:trPr>
        <w:tc>
          <w:tcPr>
            <w:shd w:val="clear" w:color="auto" w:fill="f7f9fa"/>
            <w:tcBorders/>
            <w:tcMar>
              <w:left w:w="70" w:type="dxa"/>
              <w:top w:w="60" w:type="dxa"/>
              <w:right w:w="70" w:type="dxa"/>
              <w:bottom w:w="60" w:type="dxa"/>
            </w:tcMar>
            <w:tcW w:w="2247" w:type="dxa"/>
            <w:vAlign w:val="top"/>
          </w:tcPr>
          <w:p>
            <w:pPr>
              <w:pStyle w:val="1296"/>
              <w:pBdr/>
              <w:spacing/>
              <w:ind/>
              <w:rPr/>
            </w:pPr>
            <w:r>
              <w:t xml:space="preserve">Source language</w:t>
            </w:r>
            <w:r/>
          </w:p>
        </w:tc>
        <w:tc>
          <w:tcPr>
            <w:shd w:val="clear" w:color="auto" w:fill="f7f9fa"/>
            <w:tcBorders/>
            <w:tcMar>
              <w:left w:w="70" w:type="dxa"/>
              <w:top w:w="60" w:type="dxa"/>
              <w:right w:w="70" w:type="dxa"/>
              <w:bottom w:w="60" w:type="dxa"/>
            </w:tcMar>
            <w:tcW w:w="3262" w:type="dxa"/>
            <w:vAlign w:val="top"/>
          </w:tcPr>
          <w:p>
            <w:pPr>
              <w:pStyle w:val="1296"/>
              <w:pBdr/>
              <w:spacing/>
              <w:ind/>
              <w:rPr/>
            </w:pPr>
            <w:r>
              <w:t xml:space="preserve">Greek, Coptic, Sanskrit, Classical Chinese, Arabic, Latin, French, English, Punjabi/Yorùbá represented; Nahuatl/te reo Māori absent from core</w:t>
            </w:r>
            <w:r/>
          </w:p>
        </w:tc>
        <w:tc>
          <w:tcPr>
            <w:shd w:val="clear" w:color="auto" w:fill="f7f9fa"/>
            <w:tcBorders/>
            <w:tcMar>
              <w:left w:w="70" w:type="dxa"/>
              <w:top w:w="60" w:type="dxa"/>
              <w:right w:w="70" w:type="dxa"/>
              <w:bottom w:w="60" w:type="dxa"/>
            </w:tcMar>
            <w:tcW w:w="943" w:type="dxa"/>
            <w:vAlign w:val="top"/>
          </w:tcPr>
          <w:p>
            <w:pPr>
              <w:pStyle w:val="1296"/>
              <w:pBdr/>
              <w:spacing/>
              <w:ind/>
              <w:rPr/>
            </w:pPr>
            <w:r>
              <w:t xml:space="preserve">Moderate</w:t>
            </w:r>
            <w:r/>
          </w:p>
        </w:tc>
        <w:tc>
          <w:tcPr>
            <w:shd w:val="clear" w:color="auto" w:fill="f7f9fa"/>
            <w:tcBorders/>
            <w:tcMar>
              <w:left w:w="70" w:type="dxa"/>
              <w:top w:w="60" w:type="dxa"/>
              <w:right w:w="70" w:type="dxa"/>
              <w:bottom w:w="60" w:type="dxa"/>
            </w:tcMar>
            <w:tcW w:w="3552" w:type="dxa"/>
            <w:vAlign w:val="top"/>
          </w:tcPr>
          <w:p>
            <w:pPr>
              <w:pStyle w:val="1296"/>
              <w:pBdr/>
              <w:spacing/>
              <w:ind/>
              <w:rPr/>
            </w:pPr>
            <w:r>
              <w:t xml:space="preserve">Prioritize specialist language review for core concepts; HOLD expansion until feasible.</w:t>
            </w:r>
            <w:r/>
          </w:p>
        </w:tc>
      </w:tr>
      <w:tr>
        <w:trPr>
          <w:cantSplit/>
        </w:trPr>
        <w:tc>
          <w:tcPr>
            <w:tcBorders/>
            <w:tcMar>
              <w:left w:w="70" w:type="dxa"/>
              <w:top w:w="60" w:type="dxa"/>
              <w:right w:w="70" w:type="dxa"/>
              <w:bottom w:w="60" w:type="dxa"/>
            </w:tcMar>
            <w:tcW w:w="2247" w:type="dxa"/>
            <w:vAlign w:val="top"/>
          </w:tcPr>
          <w:p>
            <w:pPr>
              <w:pStyle w:val="1296"/>
              <w:pBdr/>
              <w:spacing/>
              <w:ind/>
              <w:rPr/>
            </w:pPr>
            <w:r>
              <w:t xml:space="preserve">Textual / oral / lived evidence</w:t>
            </w:r>
            <w:r/>
          </w:p>
        </w:tc>
        <w:tc>
          <w:tcPr>
            <w:tcBorders/>
            <w:tcMar>
              <w:left w:w="70" w:type="dxa"/>
              <w:top w:w="60" w:type="dxa"/>
              <w:right w:w="70" w:type="dxa"/>
              <w:bottom w:w="60" w:type="dxa"/>
            </w:tcMar>
            <w:tcW w:w="3262" w:type="dxa"/>
            <w:vAlign w:val="top"/>
          </w:tcPr>
          <w:p>
            <w:pPr>
              <w:pStyle w:val="1296"/>
              <w:pBdr/>
              <w:spacing/>
              <w:ind/>
              <w:rPr/>
            </w:pPr>
            <w:r>
              <w:t xml:space="preserve">Textual evidence dominates; source-bounded Ifá is the only current CORE Position whose print treatment depends on oral/performance capability and unit-level governance evidence.</w:t>
            </w:r>
            <w:r/>
          </w:p>
        </w:tc>
        <w:tc>
          <w:tcPr>
            <w:tcBorders/>
            <w:tcMar>
              <w:left w:w="70" w:type="dxa"/>
              <w:top w:w="60" w:type="dxa"/>
              <w:right w:w="70" w:type="dxa"/>
              <w:bottom w:w="60" w:type="dxa"/>
            </w:tcMar>
            <w:tcW w:w="943" w:type="dxa"/>
            <w:vAlign w:val="top"/>
          </w:tcPr>
          <w:p>
            <w:pPr>
              <w:pStyle w:val="1296"/>
              <w:pBdr/>
              <w:spacing/>
              <w:ind/>
              <w:rPr/>
            </w:pPr>
            <w:r>
              <w:t xml:space="preserve">High</w:t>
            </w:r>
            <w:r/>
          </w:p>
        </w:tc>
        <w:tc>
          <w:tcPr>
            <w:tcBorders/>
            <w:tcMar>
              <w:left w:w="70" w:type="dxa"/>
              <w:top w:w="60" w:type="dxa"/>
              <w:right w:w="70" w:type="dxa"/>
              <w:bottom w:w="60" w:type="dxa"/>
            </w:tcMar>
            <w:tcW w:w="3552" w:type="dxa"/>
            <w:vAlign w:val="top"/>
          </w:tcPr>
          <w:p>
            <w:pPr>
              <w:pStyle w:val="1296"/>
              <w:pBdr/>
              <w:spacing/>
              <w:ind/>
              <w:rPr/>
            </w:pPr>
            <w:r>
              <w:t xml:space="preserve">G4/G5 capability and per-unit readiness are decisive; retain Oruka/Achuar/Māori only as digital or HOLD-FUTURE until provenance, authority and rights evidence improves.</w:t>
            </w:r>
            <w:r/>
          </w:p>
        </w:tc>
      </w:tr>
      <w:tr>
        <w:trPr>
          <w:cantSplit/>
        </w:trPr>
        <w:tc>
          <w:tcPr>
            <w:shd w:val="clear" w:color="auto" w:fill="f7f9fa"/>
            <w:tcBorders/>
            <w:tcMar>
              <w:left w:w="70" w:type="dxa"/>
              <w:top w:w="60" w:type="dxa"/>
              <w:right w:w="70" w:type="dxa"/>
              <w:bottom w:w="60" w:type="dxa"/>
            </w:tcMar>
            <w:tcW w:w="2247" w:type="dxa"/>
            <w:vAlign w:val="top"/>
          </w:tcPr>
          <w:p>
            <w:pPr>
              <w:pStyle w:val="1296"/>
              <w:pBdr/>
              <w:spacing/>
              <w:ind/>
              <w:rPr/>
            </w:pPr>
            <w:r>
              <w:t xml:space="preserve">Philosophical genre</w:t>
            </w:r>
            <w:r/>
          </w:p>
        </w:tc>
        <w:tc>
          <w:tcPr>
            <w:shd w:val="clear" w:color="auto" w:fill="f7f9fa"/>
            <w:tcBorders/>
            <w:tcMar>
              <w:left w:w="70" w:type="dxa"/>
              <w:top w:w="60" w:type="dxa"/>
              <w:right w:w="70" w:type="dxa"/>
              <w:bottom w:w="60" w:type="dxa"/>
            </w:tcMar>
            <w:tcW w:w="3262" w:type="dxa"/>
            <w:vAlign w:val="top"/>
          </w:tcPr>
          <w:p>
            <w:pPr>
              <w:pStyle w:val="1296"/>
              <w:pBdr/>
              <w:spacing/>
              <w:ind/>
              <w:rPr/>
            </w:pPr>
            <w:r>
              <w:t xml:space="preserve">Systematic treatise, aphoristic/dialogical, scriptural, commentary, analytic paper represented; ritual/performance thin</w:t>
            </w:r>
            <w:r/>
          </w:p>
        </w:tc>
        <w:tc>
          <w:tcPr>
            <w:shd w:val="clear" w:color="auto" w:fill="f7f9fa"/>
            <w:tcBorders/>
            <w:tcMar>
              <w:left w:w="70" w:type="dxa"/>
              <w:top w:w="60" w:type="dxa"/>
              <w:right w:w="70" w:type="dxa"/>
              <w:bottom w:w="60" w:type="dxa"/>
            </w:tcMar>
            <w:tcW w:w="943" w:type="dxa"/>
            <w:vAlign w:val="top"/>
          </w:tcPr>
          <w:p>
            <w:pPr>
              <w:pStyle w:val="1296"/>
              <w:pBdr/>
              <w:spacing/>
              <w:ind/>
              <w:rPr/>
            </w:pPr>
            <w:r>
              <w:t xml:space="preserve">Moderate</w:t>
            </w:r>
            <w:r/>
          </w:p>
        </w:tc>
        <w:tc>
          <w:tcPr>
            <w:shd w:val="clear" w:color="auto" w:fill="f7f9fa"/>
            <w:tcBorders/>
            <w:tcMar>
              <w:left w:w="70" w:type="dxa"/>
              <w:top w:w="60" w:type="dxa"/>
              <w:right w:w="70" w:type="dxa"/>
              <w:bottom w:w="60" w:type="dxa"/>
            </w:tcMar>
            <w:tcW w:w="3552" w:type="dxa"/>
            <w:vAlign w:val="top"/>
          </w:tcPr>
          <w:p>
            <w:pPr>
              <w:pStyle w:val="1296"/>
              <w:pBdr/>
              <w:spacing/>
              <w:ind/>
              <w:rPr/>
            </w:pPr>
            <w:r>
              <w:t xml:space="preserve">Use chapter design to expose genre differences rather than normalize them away.</w:t>
            </w:r>
            <w:r/>
          </w:p>
        </w:tc>
      </w:tr>
      <w:tr>
        <w:trPr>
          <w:cantSplit/>
        </w:trPr>
        <w:tc>
          <w:tcPr>
            <w:tcBorders/>
            <w:tcMar>
              <w:left w:w="70" w:type="dxa"/>
              <w:top w:w="60" w:type="dxa"/>
              <w:right w:w="70" w:type="dxa"/>
              <w:bottom w:w="60" w:type="dxa"/>
            </w:tcMar>
            <w:tcW w:w="2247" w:type="dxa"/>
            <w:vAlign w:val="top"/>
          </w:tcPr>
          <w:p>
            <w:pPr>
              <w:pStyle w:val="1296"/>
              <w:pBdr/>
              <w:spacing/>
              <w:ind/>
              <w:rPr/>
            </w:pPr>
            <w:r>
              <w:t xml:space="preserve">Intellectual lineage</w:t>
            </w:r>
            <w:r/>
          </w:p>
        </w:tc>
        <w:tc>
          <w:tcPr>
            <w:tcBorders/>
            <w:tcMar>
              <w:left w:w="70" w:type="dxa"/>
              <w:top w:w="60" w:type="dxa"/>
              <w:right w:w="70" w:type="dxa"/>
              <w:bottom w:w="60" w:type="dxa"/>
            </w:tcMar>
            <w:tcW w:w="3262" w:type="dxa"/>
            <w:vAlign w:val="top"/>
          </w:tcPr>
          <w:p>
            <w:pPr>
              <w:pStyle w:val="1296"/>
              <w:pBdr/>
              <w:spacing/>
              <w:ind/>
              <w:rPr/>
            </w:pPr>
            <w:r>
              <w:t xml:space="preserve">Indian, Chinese, Abrahamic/Islamic, Greco-European lineages strong; African and Indigenous lineages underrepresented</w:t>
            </w:r>
            <w:r/>
          </w:p>
        </w:tc>
        <w:tc>
          <w:tcPr>
            <w:tcBorders/>
            <w:tcMar>
              <w:left w:w="70" w:type="dxa"/>
              <w:top w:w="60" w:type="dxa"/>
              <w:right w:w="70" w:type="dxa"/>
              <w:bottom w:w="60" w:type="dxa"/>
            </w:tcMar>
            <w:tcW w:w="943" w:type="dxa"/>
            <w:vAlign w:val="top"/>
          </w:tcPr>
          <w:p>
            <w:pPr>
              <w:pStyle w:val="1296"/>
              <w:pBdr/>
              <w:spacing/>
              <w:ind/>
              <w:rPr/>
            </w:pPr>
            <w:r>
              <w:t xml:space="preserve">High</w:t>
            </w:r>
            <w:r/>
          </w:p>
        </w:tc>
        <w:tc>
          <w:tcPr>
            <w:tcBorders/>
            <w:tcMar>
              <w:left w:w="70" w:type="dxa"/>
              <w:top w:w="60" w:type="dxa"/>
              <w:right w:w="70" w:type="dxa"/>
              <w:bottom w:w="60" w:type="dxa"/>
            </w:tcMar>
            <w:tcW w:w="3552" w:type="dxa"/>
            <w:vAlign w:val="top"/>
          </w:tcPr>
          <w:p>
            <w:pPr>
              <w:pStyle w:val="1296"/>
              <w:pBdr/>
              <w:spacing/>
              <w:ind/>
              <w:rPr/>
            </w:pPr>
            <w:r>
              <w:t xml:space="preserve">Target source-feasible bounded African positions and community-grounded local research in next cycle.</w:t>
            </w:r>
            <w:r/>
          </w:p>
        </w:tc>
      </w:tr>
      <w:tr>
        <w:trPr>
          <w:cantSplit/>
        </w:trPr>
        <w:tc>
          <w:tcPr>
            <w:shd w:val="clear" w:color="auto" w:fill="f7f9fa"/>
            <w:tcBorders/>
            <w:tcMar>
              <w:left w:w="70" w:type="dxa"/>
              <w:top w:w="60" w:type="dxa"/>
              <w:right w:w="70" w:type="dxa"/>
              <w:bottom w:w="60" w:type="dxa"/>
            </w:tcMar>
            <w:tcW w:w="2247" w:type="dxa"/>
            <w:vAlign w:val="top"/>
          </w:tcPr>
          <w:p>
            <w:pPr>
              <w:pStyle w:val="1296"/>
              <w:pBdr/>
              <w:spacing/>
              <w:ind/>
              <w:rPr/>
            </w:pPr>
            <w:r>
              <w:t xml:space="preserve">Self/personhood architecture</w:t>
            </w:r>
            <w:r/>
          </w:p>
        </w:tc>
        <w:tc>
          <w:tcPr>
            <w:shd w:val="clear" w:color="auto" w:fill="f7f9fa"/>
            <w:tcBorders/>
            <w:tcMar>
              <w:left w:w="70" w:type="dxa"/>
              <w:top w:w="60" w:type="dxa"/>
              <w:right w:w="70" w:type="dxa"/>
              <w:bottom w:w="60" w:type="dxa"/>
            </w:tcMar>
            <w:tcW w:w="3262" w:type="dxa"/>
            <w:vAlign w:val="top"/>
          </w:tcPr>
          <w:p>
            <w:pPr>
              <w:pStyle w:val="1296"/>
              <w:pBdr/>
              <w:spacing/>
              <w:ind/>
              <w:rPr/>
            </w:pPr>
            <w:r>
              <w:t xml:space="preserve">Substantial self, no-self, bundle/project, relational/normative, immortal soul, distributed personhood represented</w:t>
            </w:r>
            <w:r/>
          </w:p>
        </w:tc>
        <w:tc>
          <w:tcPr>
            <w:shd w:val="clear" w:color="auto" w:fill="f7f9fa"/>
            <w:tcBorders/>
            <w:tcMar>
              <w:left w:w="70" w:type="dxa"/>
              <w:top w:w="60" w:type="dxa"/>
              <w:right w:w="70" w:type="dxa"/>
              <w:bottom w:w="60" w:type="dxa"/>
            </w:tcMar>
            <w:tcW w:w="943" w:type="dxa"/>
            <w:vAlign w:val="top"/>
          </w:tcPr>
          <w:p>
            <w:pPr>
              <w:pStyle w:val="1296"/>
              <w:pBdr/>
              <w:spacing/>
              <w:ind/>
              <w:rPr/>
            </w:pPr>
            <w:r>
              <w:t xml:space="preserve">Moderate</w:t>
            </w:r>
            <w:r/>
          </w:p>
        </w:tc>
        <w:tc>
          <w:tcPr>
            <w:shd w:val="clear" w:color="auto" w:fill="f7f9fa"/>
            <w:tcBorders/>
            <w:tcMar>
              <w:left w:w="70" w:type="dxa"/>
              <w:top w:w="60" w:type="dxa"/>
              <w:right w:w="70" w:type="dxa"/>
              <w:bottom w:w="60" w:type="dxa"/>
            </w:tcMar>
            <w:tcW w:w="3552" w:type="dxa"/>
            <w:vAlign w:val="top"/>
          </w:tcPr>
          <w:p>
            <w:pPr>
              <w:pStyle w:val="1296"/>
              <w:pBdr/>
              <w:spacing/>
              <w:ind/>
              <w:rPr/>
            </w:pPr>
            <w:r>
              <w:t xml:space="preserve">Local/community-grounded personhood evidence remains thin.</w:t>
            </w:r>
            <w:r/>
          </w:p>
        </w:tc>
      </w:tr>
      <w:tr>
        <w:trPr>
          <w:cantSplit/>
        </w:trPr>
        <w:tc>
          <w:tcPr>
            <w:tcBorders/>
            <w:tcMar>
              <w:left w:w="70" w:type="dxa"/>
              <w:top w:w="60" w:type="dxa"/>
              <w:right w:w="70" w:type="dxa"/>
              <w:bottom w:w="60" w:type="dxa"/>
            </w:tcMar>
            <w:tcW w:w="2247" w:type="dxa"/>
            <w:vAlign w:val="top"/>
          </w:tcPr>
          <w:p>
            <w:pPr>
              <w:pStyle w:val="1296"/>
              <w:pBdr/>
              <w:spacing/>
              <w:ind/>
              <w:rPr/>
            </w:pPr>
            <w:r>
              <w:t xml:space="preserve">Praxis model</w:t>
            </w:r>
            <w:r/>
          </w:p>
        </w:tc>
        <w:tc>
          <w:tcPr>
            <w:tcBorders/>
            <w:tcMar>
              <w:left w:w="70" w:type="dxa"/>
              <w:top w:w="60" w:type="dxa"/>
              <w:right w:w="70" w:type="dxa"/>
              <w:bottom w:w="60" w:type="dxa"/>
            </w:tcMar>
            <w:tcW w:w="3262" w:type="dxa"/>
            <w:vAlign w:val="top"/>
          </w:tcPr>
          <w:p>
            <w:pPr>
              <w:pStyle w:val="1296"/>
              <w:pBdr/>
              <w:spacing/>
              <w:ind/>
              <w:rPr/>
            </w:pPr>
            <w:r>
              <w:t xml:space="preserve">Knowledge, contemplation, virtue, ritual, remembrance, divination, philosophical therapy represented</w:t>
            </w:r>
            <w:r/>
          </w:p>
        </w:tc>
        <w:tc>
          <w:tcPr>
            <w:tcBorders/>
            <w:tcMar>
              <w:left w:w="70" w:type="dxa"/>
              <w:top w:w="60" w:type="dxa"/>
              <w:right w:w="70" w:type="dxa"/>
              <w:bottom w:w="60" w:type="dxa"/>
            </w:tcMar>
            <w:tcW w:w="943" w:type="dxa"/>
            <w:vAlign w:val="top"/>
          </w:tcPr>
          <w:p>
            <w:pPr>
              <w:pStyle w:val="1296"/>
              <w:pBdr/>
              <w:spacing/>
              <w:ind/>
              <w:rPr/>
            </w:pPr>
            <w:r>
              <w:t xml:space="preserve">Moderate</w:t>
            </w:r>
            <w:r/>
          </w:p>
        </w:tc>
        <w:tc>
          <w:tcPr>
            <w:tcBorders/>
            <w:tcMar>
              <w:left w:w="70" w:type="dxa"/>
              <w:top w:w="60" w:type="dxa"/>
              <w:right w:w="70" w:type="dxa"/>
              <w:bottom w:w="60" w:type="dxa"/>
            </w:tcMar>
            <w:tcW w:w="3552" w:type="dxa"/>
            <w:vAlign w:val="top"/>
          </w:tcPr>
          <w:p>
            <w:pPr>
              <w:pStyle w:val="1296"/>
              <w:pBdr/>
              <w:spacing/>
              <w:ind/>
              <w:rPr/>
            </w:pPr>
            <w:r>
              <w:t xml:space="preserve">Performance and lived-practice source depth remains uneven.</w:t>
            </w:r>
            <w:r/>
          </w:p>
        </w:tc>
      </w:tr>
      <w:tr>
        <w:trPr>
          <w:cantSplit/>
        </w:trPr>
        <w:tc>
          <w:tcPr>
            <w:shd w:val="clear" w:color="auto" w:fill="f7f9fa"/>
            <w:tcBorders/>
            <w:tcMar>
              <w:left w:w="70" w:type="dxa"/>
              <w:top w:w="60" w:type="dxa"/>
              <w:right w:w="70" w:type="dxa"/>
              <w:bottom w:w="60" w:type="dxa"/>
            </w:tcMar>
            <w:tcW w:w="2247" w:type="dxa"/>
            <w:vAlign w:val="top"/>
          </w:tcPr>
          <w:p>
            <w:pPr>
              <w:pStyle w:val="1296"/>
              <w:pBdr/>
              <w:spacing/>
              <w:ind/>
              <w:rPr/>
            </w:pPr>
            <w:r>
              <w:t xml:space="preserve">World relation</w:t>
            </w:r>
            <w:r/>
          </w:p>
        </w:tc>
        <w:tc>
          <w:tcPr>
            <w:shd w:val="clear" w:color="auto" w:fill="f7f9fa"/>
            <w:tcBorders/>
            <w:tcMar>
              <w:left w:w="70" w:type="dxa"/>
              <w:top w:w="60" w:type="dxa"/>
              <w:right w:w="70" w:type="dxa"/>
              <w:bottom w:w="60" w:type="dxa"/>
            </w:tcMar>
            <w:tcW w:w="3262" w:type="dxa"/>
            <w:vAlign w:val="top"/>
          </w:tcPr>
          <w:p>
            <w:pPr>
              <w:pStyle w:val="1296"/>
              <w:pBdr/>
              <w:spacing/>
              <w:ind/>
              <w:rPr/>
            </w:pPr>
            <w:r>
              <w:t xml:space="preserve">Exit, participation, transfiguration, nonattachment, harmony, household engagement, non-providential enjoyment represented</w:t>
            </w:r>
            <w:r/>
          </w:p>
        </w:tc>
        <w:tc>
          <w:tcPr>
            <w:shd w:val="clear" w:color="auto" w:fill="f7f9fa"/>
            <w:tcBorders/>
            <w:tcMar>
              <w:left w:w="70" w:type="dxa"/>
              <w:top w:w="60" w:type="dxa"/>
              <w:right w:w="70" w:type="dxa"/>
              <w:bottom w:w="60" w:type="dxa"/>
            </w:tcMar>
            <w:tcW w:w="943" w:type="dxa"/>
            <w:vAlign w:val="top"/>
          </w:tcPr>
          <w:p>
            <w:pPr>
              <w:pStyle w:val="1296"/>
              <w:pBdr/>
              <w:spacing/>
              <w:ind/>
              <w:rPr/>
            </w:pPr>
            <w:r>
              <w:t xml:space="preserve">Moderate</w:t>
            </w:r>
            <w:r/>
          </w:p>
        </w:tc>
        <w:tc>
          <w:tcPr>
            <w:shd w:val="clear" w:color="auto" w:fill="f7f9fa"/>
            <w:tcBorders/>
            <w:tcMar>
              <w:left w:w="70" w:type="dxa"/>
              <w:top w:w="60" w:type="dxa"/>
              <w:right w:w="70" w:type="dxa"/>
              <w:bottom w:w="60" w:type="dxa"/>
            </w:tcMar>
            <w:tcW w:w="3552" w:type="dxa"/>
            <w:vAlign w:val="top"/>
          </w:tcPr>
          <w:p>
            <w:pPr>
              <w:pStyle w:val="1296"/>
              <w:pBdr/>
              <w:spacing/>
              <w:ind/>
              <w:rPr/>
            </w:pPr>
            <w:r>
              <w:t xml:space="preserve">Indigenous/local relational world-orientations remain under-validated.</w:t>
            </w:r>
            <w:r/>
          </w:p>
        </w:tc>
      </w:tr>
      <w:tr>
        <w:trPr>
          <w:cantSplit/>
        </w:trPr>
        <w:tc>
          <w:tcPr>
            <w:tcBorders/>
            <w:tcMar>
              <w:left w:w="70" w:type="dxa"/>
              <w:top w:w="60" w:type="dxa"/>
              <w:right w:w="70" w:type="dxa"/>
              <w:bottom w:w="60" w:type="dxa"/>
            </w:tcMar>
            <w:tcW w:w="2247" w:type="dxa"/>
            <w:vAlign w:val="top"/>
          </w:tcPr>
          <w:p>
            <w:pPr>
              <w:pStyle w:val="1296"/>
              <w:pBdr/>
              <w:spacing/>
              <w:ind/>
              <w:rPr/>
            </w:pPr>
            <w:r>
              <w:t xml:space="preserve">Underrepresented solution-spaces</w:t>
            </w:r>
            <w:r/>
          </w:p>
        </w:tc>
        <w:tc>
          <w:tcPr>
            <w:tcBorders/>
            <w:tcMar>
              <w:left w:w="70" w:type="dxa"/>
              <w:top w:w="60" w:type="dxa"/>
              <w:right w:w="70" w:type="dxa"/>
              <w:bottom w:w="60" w:type="dxa"/>
            </w:tcMar>
            <w:tcW w:w="3262" w:type="dxa"/>
            <w:vAlign w:val="top"/>
          </w:tcPr>
          <w:p>
            <w:pPr>
              <w:pStyle w:val="1296"/>
              <w:pBdr/>
              <w:spacing/>
              <w:ind/>
              <w:rPr/>
            </w:pPr>
            <w:r>
              <w:t xml:space="preserve">Relational Indigenous/local ontologies; some African metaphysical systems; Mesoamerican philosophical reconstruction</w:t>
            </w:r>
            <w:r/>
          </w:p>
        </w:tc>
        <w:tc>
          <w:tcPr>
            <w:tcBorders/>
            <w:tcMar>
              <w:left w:w="70" w:type="dxa"/>
              <w:top w:w="60" w:type="dxa"/>
              <w:right w:w="70" w:type="dxa"/>
              <w:bottom w:w="60" w:type="dxa"/>
            </w:tcMar>
            <w:tcW w:w="943" w:type="dxa"/>
            <w:vAlign w:val="top"/>
          </w:tcPr>
          <w:p>
            <w:pPr>
              <w:pStyle w:val="1296"/>
              <w:pBdr/>
              <w:spacing/>
              <w:ind/>
              <w:rPr/>
            </w:pPr>
            <w:r>
              <w:t xml:space="preserve">High</w:t>
            </w:r>
            <w:r/>
          </w:p>
        </w:tc>
        <w:tc>
          <w:tcPr>
            <w:tcBorders/>
            <w:tcMar>
              <w:left w:w="70" w:type="dxa"/>
              <w:top w:w="60" w:type="dxa"/>
              <w:right w:w="70" w:type="dxa"/>
              <w:bottom w:w="60" w:type="dxa"/>
            </w:tcMar>
            <w:tcW w:w="3552" w:type="dxa"/>
            <w:vAlign w:val="top"/>
          </w:tcPr>
          <w:p>
            <w:pPr>
              <w:pStyle w:val="1296"/>
              <w:pBdr/>
              <w:spacing/>
              <w:ind/>
              <w:rPr/>
            </w:pPr>
            <w:r>
              <w:t xml:space="preserve">Research queue rather than print inflation; promotion only after evidence/representation gates.</w:t>
            </w:r>
            <w:r/>
          </w:p>
        </w:tc>
      </w:tr>
    </w:tbl>
    <w:p>
      <w:pPr>
        <w:pStyle w:val="1300"/>
        <w:pBdr/>
        <w:spacing/>
        <w:ind/>
        <w:rPr/>
      </w:pPr>
      <w:r/>
      <w:r/>
    </w:p>
    <w:p>
      <w:pPr>
        <w:pStyle w:val="1136"/>
        <w:keepNext w:val="true"/>
        <w:keepLines w:val="true"/>
        <w:pBdr/>
        <w:spacing/>
        <w:ind/>
        <w:rPr/>
      </w:pPr>
      <w:r/>
      <w:bookmarkStart w:id="116" w:name="SEC_5"/>
      <w:r>
        <w:t xml:space="preserve">5. Adopted publication corpus</w:t>
      </w:r>
      <w:bookmarkEnd w:id="116"/>
      <w:r/>
      <w:r/>
    </w:p>
    <w:p>
      <w:pPr>
        <w:pBdr/>
        <w:spacing/>
        <w:ind/>
        <w:rPr/>
      </w:pPr>
      <w:r>
        <w:t xml:space="preserve">The adopted corpus table is authoritative for editorial role. Editorial role is determined by comparative function, source feasibility and representation burden; it is independent of plannin</w:t>
      </w:r>
      <w:r>
        <w:t xml:space="preserve">g confidence, validation dependency, per-record readiness and release eligibility. Unless an exception is stated, all Positions remain subject to the standard per-record evidence, review, rights and release rules in Research Specification §§5, 7, 9 and 10.</w:t>
      </w:r>
      <w:r/>
    </w:p>
    <w:p>
      <w:pPr>
        <w:pBdr/>
        <w:spacing/>
        <w:ind/>
        <w:rPr/>
      </w:pPr>
      <w:r>
        <w:rPr>
          <w:b/>
        </w:rPr>
        <w:t xml:space="preserve">Current role distribution:</w:t>
      </w:r>
      <w:r>
        <w:t xml:space="preserve"> 18 CORE Positions, 11 MAJOR COMPARATOR Positions, 3 COUNTEREXAMPLE-STRESS Positions, 5 DIGITAL-REFERENCE Positions and 3 HOLD-FUTURE Positions.</w:t>
      </w:r>
      <w:r/>
    </w:p>
    <w:p>
      <w:pPr>
        <w:pBdr/>
        <w:spacing/>
        <w:ind/>
        <w:rPr/>
        <w:sectPr>
          <w:headerReference w:type="default" r:id="rId12"/>
          <w:footerReference w:type="default" r:id="rId23"/>
          <w:footnotePr/>
          <w:endnotePr/>
          <w:type w:val="nextPage"/>
          <w:pgSz w:h="16838" w:orient="portrait" w:w="11906"/>
          <w:pgMar w:top="979" w:right="950" w:bottom="893" w:left="950" w:header="403" w:footer="403" w:gutter="0"/>
          <w:cols w:num="1" w:sep="0" w:space="720" w:equalWidth="1"/>
        </w:sectPr>
      </w:pPr>
      <w:r/>
      <w:r/>
    </w:p>
    <w:p>
      <w:pPr>
        <w:pStyle w:val="1184"/>
        <w:keepNext w:val="true"/>
        <w:keepLines w:val="true"/>
        <w:pBdr/>
        <w:spacing/>
        <w:ind/>
        <w:rPr/>
      </w:pPr>
      <w:r/>
      <w:bookmarkStart w:id="117" w:name="T_CORPUS"/>
      <w:r>
        <w:t xml:space="preserve">Governing — Adopted publication corpus</w:t>
      </w:r>
      <w:bookmarkEnd w:id="117"/>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3629"/>
        <w:gridCol w:w="1703"/>
        <w:gridCol w:w="4073"/>
        <w:gridCol w:w="1703"/>
        <w:gridCol w:w="4147"/>
      </w:tblGrid>
      <w:tr>
        <w:trPr>
          <w:cantSplit/>
          <w:tblHeader/>
        </w:trPr>
        <w:tc>
          <w:tcPr>
            <w:shd w:val="clear" w:color="auto" w:fill="1f5a73"/>
            <w:tcBorders/>
            <w:tcMar>
              <w:left w:w="70" w:type="dxa"/>
              <w:top w:w="60" w:type="dxa"/>
              <w:right w:w="70" w:type="dxa"/>
              <w:bottom w:w="60" w:type="dxa"/>
            </w:tcMar>
            <w:tcW w:w="3629" w:type="dxa"/>
            <w:vAlign w:val="top"/>
          </w:tcPr>
          <w:p>
            <w:pPr>
              <w:pStyle w:val="1299"/>
              <w:pBdr/>
              <w:spacing/>
              <w:ind/>
              <w:rPr/>
            </w:pPr>
            <w:r>
              <w:t xml:space="preserve">Position</w:t>
            </w:r>
            <w:r/>
          </w:p>
        </w:tc>
        <w:tc>
          <w:tcPr>
            <w:shd w:val="clear" w:color="auto" w:fill="1f5a73"/>
            <w:tcBorders/>
            <w:tcMar>
              <w:left w:w="70" w:type="dxa"/>
              <w:top w:w="60" w:type="dxa"/>
              <w:right w:w="70" w:type="dxa"/>
              <w:bottom w:w="60" w:type="dxa"/>
            </w:tcMar>
            <w:tcW w:w="1703" w:type="dxa"/>
            <w:vAlign w:val="top"/>
          </w:tcPr>
          <w:p>
            <w:pPr>
              <w:pStyle w:val="1299"/>
              <w:pBdr/>
              <w:spacing/>
              <w:ind/>
              <w:rPr/>
            </w:pPr>
            <w:r>
              <w:t xml:space="preserve">Editorial role</w:t>
            </w:r>
            <w:r/>
          </w:p>
        </w:tc>
        <w:tc>
          <w:tcPr>
            <w:shd w:val="clear" w:color="auto" w:fill="1f5a73"/>
            <w:tcBorders/>
            <w:tcMar>
              <w:left w:w="70" w:type="dxa"/>
              <w:top w:w="60" w:type="dxa"/>
              <w:right w:w="70" w:type="dxa"/>
              <w:bottom w:w="60" w:type="dxa"/>
            </w:tcMar>
            <w:tcW w:w="4073" w:type="dxa"/>
            <w:vAlign w:val="top"/>
          </w:tcPr>
          <w:p>
            <w:pPr>
              <w:pStyle w:val="1299"/>
              <w:pBdr/>
              <w:spacing/>
              <w:ind/>
              <w:rPr/>
            </w:pPr>
            <w:r>
              <w:t xml:space="preserve">Comparative function</w:t>
            </w:r>
            <w:r/>
          </w:p>
        </w:tc>
        <w:tc>
          <w:tcPr>
            <w:shd w:val="clear" w:color="auto" w:fill="1f5a73"/>
            <w:tcBorders/>
            <w:tcMar>
              <w:left w:w="70" w:type="dxa"/>
              <w:top w:w="60" w:type="dxa"/>
              <w:right w:w="70" w:type="dxa"/>
              <w:bottom w:w="60" w:type="dxa"/>
            </w:tcMar>
            <w:tcW w:w="1703" w:type="dxa"/>
            <w:vAlign w:val="top"/>
          </w:tcPr>
          <w:p>
            <w:pPr>
              <w:pStyle w:val="1299"/>
              <w:pBdr/>
              <w:spacing/>
              <w:ind/>
              <w:rPr/>
            </w:pPr>
            <w:r>
              <w:t xml:space="preserve">Primary chapters</w:t>
            </w:r>
            <w:r/>
          </w:p>
        </w:tc>
        <w:tc>
          <w:tcPr>
            <w:shd w:val="clear" w:color="auto" w:fill="1f5a73"/>
            <w:tcBorders/>
            <w:tcMar>
              <w:left w:w="70" w:type="dxa"/>
              <w:top w:w="60" w:type="dxa"/>
              <w:right w:w="70" w:type="dxa"/>
              <w:bottom w:w="60" w:type="dxa"/>
            </w:tcMar>
            <w:tcW w:w="4147" w:type="dxa"/>
            <w:vAlign w:val="top"/>
          </w:tcPr>
          <w:p>
            <w:pPr>
              <w:pStyle w:val="1299"/>
              <w:pBdr/>
              <w:spacing/>
              <w:ind/>
              <w:rPr/>
            </w:pPr>
            <w:r>
              <w:t xml:space="preserve">Exceptional dependency or restriction</w:t>
            </w:r>
            <w:r/>
          </w:p>
        </w:tc>
      </w:tr>
      <w:tr>
        <w:trPr>
          <w:cantSplit/>
        </w:trPr>
        <w:tc>
          <w:tcPr>
            <w:tcBorders/>
            <w:tcMar>
              <w:left w:w="70" w:type="dxa"/>
              <w:top w:w="60" w:type="dxa"/>
              <w:right w:w="70" w:type="dxa"/>
              <w:bottom w:w="60" w:type="dxa"/>
            </w:tcMar>
            <w:tcW w:w="3629" w:type="dxa"/>
            <w:vAlign w:val="top"/>
          </w:tcPr>
          <w:p>
            <w:pPr>
              <w:pStyle w:val="1297"/>
              <w:pBdr/>
              <w:spacing/>
              <w:ind/>
              <w:rPr/>
            </w:pPr>
            <w:r>
              <w:t xml:space="preserve">Apocryphon of John, long-recension position</w:t>
            </w:r>
            <w:r/>
          </w:p>
        </w:tc>
        <w:tc>
          <w:tcPr>
            <w:tcBorders/>
            <w:tcMar>
              <w:left w:w="70" w:type="dxa"/>
              <w:top w:w="60" w:type="dxa"/>
              <w:right w:w="70" w:type="dxa"/>
              <w:bottom w:w="60" w:type="dxa"/>
            </w:tcMar>
            <w:tcW w:w="1703" w:type="dxa"/>
            <w:vAlign w:val="top"/>
          </w:tcPr>
          <w:p>
            <w:pPr>
              <w:pStyle w:val="1297"/>
              <w:pBdr/>
              <w:spacing/>
              <w:ind/>
              <w:rPr/>
            </w:pPr>
            <w:r>
              <w:t xml:space="preserve">CORE</w:t>
            </w:r>
            <w:r/>
          </w:p>
        </w:tc>
        <w:tc>
          <w:tcPr>
            <w:tcBorders/>
            <w:tcMar>
              <w:left w:w="70" w:type="dxa"/>
              <w:top w:w="60" w:type="dxa"/>
              <w:right w:w="70" w:type="dxa"/>
              <w:bottom w:w="60" w:type="dxa"/>
            </w:tcMar>
            <w:tcW w:w="4073" w:type="dxa"/>
            <w:vAlign w:val="top"/>
          </w:tcPr>
          <w:p>
            <w:pPr>
              <w:pStyle w:val="1297"/>
              <w:pBdr/>
              <w:spacing/>
              <w:ind/>
              <w:rPr/>
            </w:pPr>
            <w:r>
              <w:t xml:space="preserve">Created-good/defective-world fault line; exit orientation</w:t>
            </w:r>
            <w:r/>
          </w:p>
        </w:tc>
        <w:tc>
          <w:tcPr>
            <w:tcBorders/>
            <w:tcMar>
              <w:left w:w="70" w:type="dxa"/>
              <w:top w:w="60" w:type="dxa"/>
              <w:right w:w="70" w:type="dxa"/>
              <w:bottom w:w="60" w:type="dxa"/>
            </w:tcMar>
            <w:tcW w:w="1703" w:type="dxa"/>
            <w:vAlign w:val="top"/>
          </w:tcPr>
          <w:p>
            <w:pPr>
              <w:pStyle w:val="1297"/>
              <w:pBdr/>
              <w:spacing/>
              <w:ind/>
              <w:rPr/>
            </w:pPr>
            <w:r>
              <w:t xml:space="preserve">2, 5, 6, 12, 16, 17</w:t>
            </w:r>
            <w:r/>
          </w:p>
        </w:tc>
        <w:tc>
          <w:tcPr>
            <w:tcBorders/>
            <w:tcMar>
              <w:left w:w="70" w:type="dxa"/>
              <w:top w:w="60" w:type="dxa"/>
              <w:right w:w="70" w:type="dxa"/>
              <w:bottom w:w="60" w:type="dxa"/>
            </w:tcMar>
            <w:tcW w:w="4147" w:type="dxa"/>
            <w:vAlign w:val="top"/>
          </w:tcPr>
          <w:p>
            <w:pPr>
              <w:pStyle w:val="1297"/>
              <w:pBdr/>
              <w:spacing/>
              <w:ind/>
              <w:rPr/>
            </w:pPr>
            <w:r>
              <w:t xml:space="preserve">—</w:t>
            </w:r>
            <w:r/>
          </w:p>
        </w:tc>
      </w:tr>
      <w:tr>
        <w:trPr>
          <w:cantSplit/>
        </w:trPr>
        <w:tc>
          <w:tcPr>
            <w:shd w:val="clear" w:color="auto" w:fill="f7f9fa"/>
            <w:tcBorders/>
            <w:tcMar>
              <w:left w:w="70" w:type="dxa"/>
              <w:top w:w="60" w:type="dxa"/>
              <w:right w:w="70" w:type="dxa"/>
              <w:bottom w:w="60" w:type="dxa"/>
            </w:tcMar>
            <w:tcW w:w="3629" w:type="dxa"/>
            <w:vAlign w:val="top"/>
          </w:tcPr>
          <w:p>
            <w:pPr>
              <w:pStyle w:val="1297"/>
              <w:pBdr/>
              <w:spacing/>
              <w:ind/>
              <w:rPr/>
            </w:pPr>
            <w:r>
              <w:t xml:space="preserve">Gregory of Nyssa, mature anthropology/eschatology</w:t>
            </w:r>
            <w:r/>
          </w:p>
        </w:tc>
        <w:tc>
          <w:tcPr>
            <w:shd w:val="clear" w:color="auto" w:fill="f7f9fa"/>
            <w:tcBorders/>
            <w:tcMar>
              <w:left w:w="70" w:type="dxa"/>
              <w:top w:w="60" w:type="dxa"/>
              <w:right w:w="70" w:type="dxa"/>
              <w:bottom w:w="60" w:type="dxa"/>
            </w:tcMar>
            <w:tcW w:w="1703" w:type="dxa"/>
            <w:vAlign w:val="top"/>
          </w:tcPr>
          <w:p>
            <w:pPr>
              <w:pStyle w:val="1297"/>
              <w:pBdr/>
              <w:spacing/>
              <w:ind/>
              <w:rPr/>
            </w:pPr>
            <w:r>
              <w:t xml:space="preserve">CORE</w:t>
            </w:r>
            <w:r/>
          </w:p>
        </w:tc>
        <w:tc>
          <w:tcPr>
            <w:shd w:val="clear" w:color="auto" w:fill="f7f9fa"/>
            <w:tcBorders/>
            <w:tcMar>
              <w:left w:w="70" w:type="dxa"/>
              <w:top w:w="60" w:type="dxa"/>
              <w:right w:w="70" w:type="dxa"/>
              <w:bottom w:w="60" w:type="dxa"/>
            </w:tcMar>
            <w:tcW w:w="4073" w:type="dxa"/>
            <w:vAlign w:val="top"/>
          </w:tcPr>
          <w:p>
            <w:pPr>
              <w:pStyle w:val="1297"/>
              <w:pBdr/>
              <w:spacing/>
              <w:ind/>
              <w:rPr/>
            </w:pPr>
            <w:r>
              <w:t xml:space="preserve">Embodiment/death/telos; direct counter to Sethian world rejection</w:t>
            </w:r>
            <w:r/>
          </w:p>
        </w:tc>
        <w:tc>
          <w:tcPr>
            <w:shd w:val="clear" w:color="auto" w:fill="f7f9fa"/>
            <w:tcBorders/>
            <w:tcMar>
              <w:left w:w="70" w:type="dxa"/>
              <w:top w:w="60" w:type="dxa"/>
              <w:right w:w="70" w:type="dxa"/>
              <w:bottom w:w="60" w:type="dxa"/>
            </w:tcMar>
            <w:tcW w:w="1703" w:type="dxa"/>
            <w:vAlign w:val="top"/>
          </w:tcPr>
          <w:p>
            <w:pPr>
              <w:pStyle w:val="1297"/>
              <w:pBdr/>
              <w:spacing/>
              <w:ind/>
              <w:rPr/>
            </w:pPr>
            <w:r>
              <w:t xml:space="preserve">1, 2, 5, 6, 9, 11, 12, 13, 15, 16, 17, 18</w:t>
            </w:r>
            <w:r/>
          </w:p>
        </w:tc>
        <w:tc>
          <w:tcPr>
            <w:shd w:val="clear" w:color="auto" w:fill="f7f9fa"/>
            <w:tcBorders/>
            <w:tcMar>
              <w:left w:w="70" w:type="dxa"/>
              <w:top w:w="60" w:type="dxa"/>
              <w:right w:w="70" w:type="dxa"/>
              <w:bottom w:w="60" w:type="dxa"/>
            </w:tcMar>
            <w:tcW w:w="4147" w:type="dxa"/>
            <w:vAlign w:val="top"/>
          </w:tcPr>
          <w:p>
            <w:pPr>
              <w:pStyle w:val="1297"/>
              <w:pBdr/>
              <w:spacing/>
              <w:ind/>
              <w:rPr/>
            </w:pPr>
            <w:r>
              <w:t xml:space="preserve">—</w:t>
            </w:r>
            <w:r/>
          </w:p>
        </w:tc>
      </w:tr>
      <w:tr>
        <w:trPr>
          <w:cantSplit/>
        </w:trPr>
        <w:tc>
          <w:tcPr>
            <w:tcBorders/>
            <w:tcMar>
              <w:left w:w="70" w:type="dxa"/>
              <w:top w:w="60" w:type="dxa"/>
              <w:right w:w="70" w:type="dxa"/>
              <w:bottom w:w="60" w:type="dxa"/>
            </w:tcMar>
            <w:tcW w:w="3629" w:type="dxa"/>
            <w:vAlign w:val="top"/>
          </w:tcPr>
          <w:p>
            <w:pPr>
              <w:pStyle w:val="1297"/>
              <w:pBdr/>
              <w:spacing/>
              <w:ind/>
              <w:rPr/>
            </w:pPr>
            <w:r>
              <w:t xml:space="preserve">Śaṅkara, securely attributed Advaita position</w:t>
            </w:r>
            <w:r/>
          </w:p>
        </w:tc>
        <w:tc>
          <w:tcPr>
            <w:tcBorders/>
            <w:tcMar>
              <w:left w:w="70" w:type="dxa"/>
              <w:top w:w="60" w:type="dxa"/>
              <w:right w:w="70" w:type="dxa"/>
              <w:bottom w:w="60" w:type="dxa"/>
            </w:tcMar>
            <w:tcW w:w="1703" w:type="dxa"/>
            <w:vAlign w:val="top"/>
          </w:tcPr>
          <w:p>
            <w:pPr>
              <w:pStyle w:val="1297"/>
              <w:pBdr/>
              <w:spacing/>
              <w:ind/>
              <w:rPr/>
            </w:pPr>
            <w:r>
              <w:t xml:space="preserve">CORE</w:t>
            </w:r>
            <w:r/>
          </w:p>
        </w:tc>
        <w:tc>
          <w:tcPr>
            <w:tcBorders/>
            <w:tcMar>
              <w:left w:w="70" w:type="dxa"/>
              <w:top w:w="60" w:type="dxa"/>
              <w:right w:w="70" w:type="dxa"/>
              <w:bottom w:w="60" w:type="dxa"/>
            </w:tcMar>
            <w:tcW w:w="4073" w:type="dxa"/>
            <w:vAlign w:val="top"/>
          </w:tcPr>
          <w:p>
            <w:pPr>
              <w:pStyle w:val="1297"/>
              <w:pBdr/>
              <w:spacing/>
              <w:ind/>
              <w:rPr/>
            </w:pPr>
            <w:r>
              <w:t xml:space="preserve">Ultimate Self vs emptiness/no-self; appearance/ignorance</w:t>
            </w:r>
            <w:r/>
          </w:p>
        </w:tc>
        <w:tc>
          <w:tcPr>
            <w:tcBorders/>
            <w:tcMar>
              <w:left w:w="70" w:type="dxa"/>
              <w:top w:w="60" w:type="dxa"/>
              <w:right w:w="70" w:type="dxa"/>
              <w:bottom w:w="60" w:type="dxa"/>
            </w:tcMar>
            <w:tcW w:w="1703" w:type="dxa"/>
            <w:vAlign w:val="top"/>
          </w:tcPr>
          <w:p>
            <w:pPr>
              <w:pStyle w:val="1297"/>
              <w:pBdr/>
              <w:spacing/>
              <w:ind/>
              <w:rPr/>
            </w:pPr>
            <w:r>
              <w:t xml:space="preserve">2, 3, 8, 11, 12, 13, 16, 17, 18</w:t>
            </w:r>
            <w:r/>
          </w:p>
        </w:tc>
        <w:tc>
          <w:tcPr>
            <w:tcBorders/>
            <w:tcMar>
              <w:left w:w="70" w:type="dxa"/>
              <w:top w:w="60" w:type="dxa"/>
              <w:right w:w="70" w:type="dxa"/>
              <w:bottom w:w="60" w:type="dxa"/>
            </w:tcMar>
            <w:tcW w:w="4147" w:type="dxa"/>
            <w:vAlign w:val="top"/>
          </w:tcPr>
          <w:p>
            <w:pPr>
              <w:pStyle w:val="1297"/>
              <w:pBdr/>
              <w:spacing/>
              <w:ind/>
              <w:rPr/>
            </w:pPr>
            <w:r>
              <w:t xml:space="preserve">—</w:t>
            </w:r>
            <w:r/>
          </w:p>
        </w:tc>
      </w:tr>
      <w:tr>
        <w:trPr>
          <w:cantSplit/>
        </w:trPr>
        <w:tc>
          <w:tcPr>
            <w:shd w:val="clear" w:color="auto" w:fill="f7f9fa"/>
            <w:tcBorders/>
            <w:tcMar>
              <w:left w:w="70" w:type="dxa"/>
              <w:top w:w="60" w:type="dxa"/>
              <w:right w:w="70" w:type="dxa"/>
              <w:bottom w:w="60" w:type="dxa"/>
            </w:tcMar>
            <w:tcW w:w="3629" w:type="dxa"/>
            <w:vAlign w:val="top"/>
          </w:tcPr>
          <w:p>
            <w:pPr>
              <w:pStyle w:val="1297"/>
              <w:pBdr/>
              <w:spacing/>
              <w:ind/>
              <w:rPr/>
            </w:pPr>
            <w:r>
              <w:t xml:space="preserve">Nāgārjuna, Mūlamadhyamakakārikā position</w:t>
            </w:r>
            <w:r/>
          </w:p>
        </w:tc>
        <w:tc>
          <w:tcPr>
            <w:shd w:val="clear" w:color="auto" w:fill="f7f9fa"/>
            <w:tcBorders/>
            <w:tcMar>
              <w:left w:w="70" w:type="dxa"/>
              <w:top w:w="60" w:type="dxa"/>
              <w:right w:w="70" w:type="dxa"/>
              <w:bottom w:w="60" w:type="dxa"/>
            </w:tcMar>
            <w:tcW w:w="1703" w:type="dxa"/>
            <w:vAlign w:val="top"/>
          </w:tcPr>
          <w:p>
            <w:pPr>
              <w:pStyle w:val="1297"/>
              <w:pBdr/>
              <w:spacing/>
              <w:ind/>
              <w:rPr/>
            </w:pPr>
            <w:r>
              <w:t xml:space="preserve">CORE</w:t>
            </w:r>
            <w:r/>
          </w:p>
        </w:tc>
        <w:tc>
          <w:tcPr>
            <w:shd w:val="clear" w:color="auto" w:fill="f7f9fa"/>
            <w:tcBorders/>
            <w:tcMar>
              <w:left w:w="70" w:type="dxa"/>
              <w:top w:w="60" w:type="dxa"/>
              <w:right w:w="70" w:type="dxa"/>
              <w:bottom w:w="60" w:type="dxa"/>
            </w:tcMar>
            <w:tcW w:w="4073" w:type="dxa"/>
            <w:vAlign w:val="top"/>
          </w:tcPr>
          <w:p>
            <w:pPr>
              <w:pStyle w:val="1297"/>
              <w:pBdr/>
              <w:spacing/>
              <w:ind/>
              <w:rPr/>
            </w:pPr>
            <w:r>
              <w:t xml:space="preserve">Groundlessness; Advaita fault line; category-refusal leverage</w:t>
            </w:r>
            <w:r/>
          </w:p>
        </w:tc>
        <w:tc>
          <w:tcPr>
            <w:shd w:val="clear" w:color="auto" w:fill="f7f9fa"/>
            <w:tcBorders/>
            <w:tcMar>
              <w:left w:w="70" w:type="dxa"/>
              <w:top w:w="60" w:type="dxa"/>
              <w:right w:w="70" w:type="dxa"/>
              <w:bottom w:w="60" w:type="dxa"/>
            </w:tcMar>
            <w:tcW w:w="1703" w:type="dxa"/>
            <w:vAlign w:val="top"/>
          </w:tcPr>
          <w:p>
            <w:pPr>
              <w:pStyle w:val="1297"/>
              <w:pBdr/>
              <w:spacing/>
              <w:ind/>
              <w:rPr/>
            </w:pPr>
            <w:r>
              <w:t xml:space="preserve">1, 2, 3, 5, 8, 11, 12, 13, 16, 18, 19</w:t>
            </w:r>
            <w:r/>
          </w:p>
        </w:tc>
        <w:tc>
          <w:tcPr>
            <w:shd w:val="clear" w:color="auto" w:fill="f7f9fa"/>
            <w:tcBorders/>
            <w:tcMar>
              <w:left w:w="70" w:type="dxa"/>
              <w:top w:w="60" w:type="dxa"/>
              <w:right w:w="70" w:type="dxa"/>
              <w:bottom w:w="60" w:type="dxa"/>
            </w:tcMar>
            <w:tcW w:w="4147" w:type="dxa"/>
            <w:vAlign w:val="top"/>
          </w:tcPr>
          <w:p>
            <w:pPr>
              <w:pStyle w:val="1297"/>
              <w:pBdr/>
              <w:spacing/>
              <w:ind/>
              <w:rPr/>
            </w:pPr>
            <w:r>
              <w:t xml:space="preserve">—</w:t>
            </w:r>
            <w:r/>
          </w:p>
        </w:tc>
      </w:tr>
      <w:tr>
        <w:trPr>
          <w:cantSplit/>
        </w:trPr>
        <w:tc>
          <w:tcPr>
            <w:tcBorders/>
            <w:tcMar>
              <w:left w:w="70" w:type="dxa"/>
              <w:top w:w="60" w:type="dxa"/>
              <w:right w:w="70" w:type="dxa"/>
              <w:bottom w:w="60" w:type="dxa"/>
            </w:tcMar>
            <w:tcW w:w="3629" w:type="dxa"/>
            <w:vAlign w:val="top"/>
          </w:tcPr>
          <w:p>
            <w:pPr>
              <w:pStyle w:val="1297"/>
              <w:pBdr/>
              <w:spacing/>
              <w:ind/>
              <w:rPr/>
            </w:pPr>
            <w:r>
              <w:t xml:space="preserve">Zhuangzi Inner-Chapter position</w:t>
            </w:r>
            <w:r/>
          </w:p>
        </w:tc>
        <w:tc>
          <w:tcPr>
            <w:tcBorders/>
            <w:tcMar>
              <w:left w:w="70" w:type="dxa"/>
              <w:top w:w="60" w:type="dxa"/>
              <w:right w:w="70" w:type="dxa"/>
              <w:bottom w:w="60" w:type="dxa"/>
            </w:tcMar>
            <w:tcW w:w="1703" w:type="dxa"/>
            <w:vAlign w:val="top"/>
          </w:tcPr>
          <w:p>
            <w:pPr>
              <w:pStyle w:val="1297"/>
              <w:pBdr/>
              <w:spacing/>
              <w:ind/>
              <w:rPr/>
            </w:pPr>
            <w:r>
              <w:t xml:space="preserve">CORE</w:t>
            </w:r>
            <w:r/>
          </w:p>
        </w:tc>
        <w:tc>
          <w:tcPr>
            <w:tcBorders/>
            <w:tcMar>
              <w:left w:w="70" w:type="dxa"/>
              <w:top w:w="60" w:type="dxa"/>
              <w:right w:w="70" w:type="dxa"/>
              <w:bottom w:w="60" w:type="dxa"/>
            </w:tcMar>
            <w:tcW w:w="4073" w:type="dxa"/>
            <w:vAlign w:val="top"/>
          </w:tcPr>
          <w:p>
            <w:pPr>
              <w:pStyle w:val="1297"/>
              <w:pBdr/>
              <w:spacing/>
              <w:ind/>
              <w:rPr/>
            </w:pPr>
            <w:r>
              <w:t xml:space="preserve">Knowing/agency/world-relation; anti-fixity comparator</w:t>
            </w:r>
            <w:r/>
          </w:p>
        </w:tc>
        <w:tc>
          <w:tcPr>
            <w:tcBorders/>
            <w:tcMar>
              <w:left w:w="70" w:type="dxa"/>
              <w:top w:w="60" w:type="dxa"/>
              <w:right w:w="70" w:type="dxa"/>
              <w:bottom w:w="60" w:type="dxa"/>
            </w:tcMar>
            <w:tcW w:w="1703" w:type="dxa"/>
            <w:vAlign w:val="top"/>
          </w:tcPr>
          <w:p>
            <w:pPr>
              <w:pStyle w:val="1297"/>
              <w:pBdr/>
              <w:spacing/>
              <w:ind/>
              <w:rPr/>
            </w:pPr>
            <w:r>
              <w:t xml:space="preserve">3, 6, 15, 16, 18</w:t>
            </w:r>
            <w:r/>
          </w:p>
        </w:tc>
        <w:tc>
          <w:tcPr>
            <w:tcBorders/>
            <w:tcMar>
              <w:left w:w="70" w:type="dxa"/>
              <w:top w:w="60" w:type="dxa"/>
              <w:right w:w="70" w:type="dxa"/>
              <w:bottom w:w="60" w:type="dxa"/>
            </w:tcMar>
            <w:tcW w:w="4147" w:type="dxa"/>
            <w:vAlign w:val="top"/>
          </w:tcPr>
          <w:p>
            <w:pPr>
              <w:pStyle w:val="1297"/>
              <w:pBdr/>
              <w:spacing/>
              <w:ind/>
              <w:rPr/>
            </w:pPr>
            <w:r>
              <w:t xml:space="preserve">—</w:t>
            </w:r>
            <w:r/>
          </w:p>
        </w:tc>
      </w:tr>
      <w:tr>
        <w:trPr>
          <w:cantSplit/>
        </w:trPr>
        <w:tc>
          <w:tcPr>
            <w:shd w:val="clear" w:color="auto" w:fill="f7f9fa"/>
            <w:tcBorders/>
            <w:tcMar>
              <w:left w:w="70" w:type="dxa"/>
              <w:top w:w="60" w:type="dxa"/>
              <w:right w:w="70" w:type="dxa"/>
              <w:bottom w:w="60" w:type="dxa"/>
            </w:tcMar>
            <w:tcW w:w="3629" w:type="dxa"/>
            <w:vAlign w:val="top"/>
          </w:tcPr>
          <w:p>
            <w:pPr>
              <w:pStyle w:val="1297"/>
              <w:pBdr/>
              <w:spacing/>
              <w:ind/>
              <w:rPr/>
            </w:pPr>
            <w:r>
              <w:t xml:space="preserve">Zhu Xi, mature Neo-Confucian synthesis</w:t>
            </w:r>
            <w:r/>
          </w:p>
        </w:tc>
        <w:tc>
          <w:tcPr>
            <w:shd w:val="clear" w:color="auto" w:fill="f7f9fa"/>
            <w:tcBorders/>
            <w:tcMar>
              <w:left w:w="70" w:type="dxa"/>
              <w:top w:w="60" w:type="dxa"/>
              <w:right w:w="70" w:type="dxa"/>
              <w:bottom w:w="60" w:type="dxa"/>
            </w:tcMar>
            <w:tcW w:w="1703" w:type="dxa"/>
            <w:vAlign w:val="top"/>
          </w:tcPr>
          <w:p>
            <w:pPr>
              <w:pStyle w:val="1297"/>
              <w:pBdr/>
              <w:spacing/>
              <w:ind/>
              <w:rPr/>
            </w:pPr>
            <w:r>
              <w:t xml:space="preserve">CORE</w:t>
            </w:r>
            <w:r/>
          </w:p>
        </w:tc>
        <w:tc>
          <w:tcPr>
            <w:shd w:val="clear" w:color="auto" w:fill="f7f9fa"/>
            <w:tcBorders/>
            <w:tcMar>
              <w:left w:w="70" w:type="dxa"/>
              <w:top w:w="60" w:type="dxa"/>
              <w:right w:w="70" w:type="dxa"/>
              <w:bottom w:w="60" w:type="dxa"/>
            </w:tcMar>
            <w:tcW w:w="4073" w:type="dxa"/>
            <w:vAlign w:val="top"/>
          </w:tcPr>
          <w:p>
            <w:pPr>
              <w:pStyle w:val="1297"/>
              <w:pBdr/>
              <w:spacing/>
              <w:ind/>
              <w:rPr/>
            </w:pPr>
            <w:r>
              <w:t xml:space="preserve">Patterned immanence; cultivation; knowledge-transformation</w:t>
            </w:r>
            <w:r/>
          </w:p>
        </w:tc>
        <w:tc>
          <w:tcPr>
            <w:shd w:val="clear" w:color="auto" w:fill="f7f9fa"/>
            <w:tcBorders/>
            <w:tcMar>
              <w:left w:w="70" w:type="dxa"/>
              <w:top w:w="60" w:type="dxa"/>
              <w:right w:w="70" w:type="dxa"/>
              <w:bottom w:w="60" w:type="dxa"/>
            </w:tcMar>
            <w:tcW w:w="1703" w:type="dxa"/>
            <w:vAlign w:val="top"/>
          </w:tcPr>
          <w:p>
            <w:pPr>
              <w:pStyle w:val="1297"/>
              <w:pBdr/>
              <w:spacing/>
              <w:ind/>
              <w:rPr/>
            </w:pPr>
            <w:r>
              <w:t xml:space="preserve">5, 6, 10, 11, 13, 16, 18, 19</w:t>
            </w:r>
            <w:r/>
          </w:p>
        </w:tc>
        <w:tc>
          <w:tcPr>
            <w:shd w:val="clear" w:color="auto" w:fill="f7f9fa"/>
            <w:tcBorders/>
            <w:tcMar>
              <w:left w:w="70" w:type="dxa"/>
              <w:top w:w="60" w:type="dxa"/>
              <w:right w:w="70" w:type="dxa"/>
              <w:bottom w:w="60" w:type="dxa"/>
            </w:tcMar>
            <w:tcW w:w="4147" w:type="dxa"/>
            <w:vAlign w:val="top"/>
          </w:tcPr>
          <w:p>
            <w:pPr>
              <w:pStyle w:val="1297"/>
              <w:pBdr/>
              <w:spacing/>
              <w:ind/>
              <w:rPr/>
            </w:pPr>
            <w:r>
              <w:t xml:space="preserve">—</w:t>
            </w:r>
            <w:r/>
          </w:p>
        </w:tc>
      </w:tr>
      <w:tr>
        <w:trPr>
          <w:cantSplit/>
        </w:trPr>
        <w:tc>
          <w:tcPr>
            <w:tcBorders/>
            <w:tcMar>
              <w:left w:w="70" w:type="dxa"/>
              <w:top w:w="60" w:type="dxa"/>
              <w:right w:w="70" w:type="dxa"/>
              <w:bottom w:w="60" w:type="dxa"/>
            </w:tcMar>
            <w:tcW w:w="3629" w:type="dxa"/>
            <w:vAlign w:val="top"/>
          </w:tcPr>
          <w:p>
            <w:pPr>
              <w:pStyle w:val="1297"/>
              <w:pBdr/>
              <w:spacing/>
              <w:ind/>
              <w:rPr/>
            </w:pPr>
            <w:r>
              <w:t xml:space="preserve">Ibn ʿArabī on divine self-disclosure</w:t>
            </w:r>
            <w:r/>
          </w:p>
        </w:tc>
        <w:tc>
          <w:tcPr>
            <w:tcBorders/>
            <w:tcMar>
              <w:left w:w="70" w:type="dxa"/>
              <w:top w:w="60" w:type="dxa"/>
              <w:right w:w="70" w:type="dxa"/>
              <w:bottom w:w="60" w:type="dxa"/>
            </w:tcMar>
            <w:tcW w:w="1703" w:type="dxa"/>
            <w:vAlign w:val="top"/>
          </w:tcPr>
          <w:p>
            <w:pPr>
              <w:pStyle w:val="1297"/>
              <w:pBdr/>
              <w:spacing/>
              <w:ind/>
              <w:rPr/>
            </w:pPr>
            <w:r>
              <w:t xml:space="preserve">CORE</w:t>
            </w:r>
            <w:r/>
          </w:p>
        </w:tc>
        <w:tc>
          <w:tcPr>
            <w:tcBorders/>
            <w:tcMar>
              <w:left w:w="70" w:type="dxa"/>
              <w:top w:w="60" w:type="dxa"/>
              <w:right w:w="70" w:type="dxa"/>
              <w:bottom w:w="60" w:type="dxa"/>
            </w:tcMar>
            <w:tcW w:w="4073" w:type="dxa"/>
            <w:vAlign w:val="top"/>
          </w:tcPr>
          <w:p>
            <w:pPr>
              <w:pStyle w:val="1297"/>
              <w:pBdr/>
              <w:spacing/>
              <w:ind/>
              <w:rPr/>
            </w:pPr>
            <w:r>
              <w:t xml:space="preserve">Disclosure/participation motif; unity-with-difference</w:t>
            </w:r>
            <w:r/>
          </w:p>
        </w:tc>
        <w:tc>
          <w:tcPr>
            <w:tcBorders/>
            <w:tcMar>
              <w:left w:w="70" w:type="dxa"/>
              <w:top w:w="60" w:type="dxa"/>
              <w:right w:w="70" w:type="dxa"/>
              <w:bottom w:w="60" w:type="dxa"/>
            </w:tcMar>
            <w:tcW w:w="1703" w:type="dxa"/>
            <w:vAlign w:val="top"/>
          </w:tcPr>
          <w:p>
            <w:pPr>
              <w:pStyle w:val="1297"/>
              <w:pBdr/>
              <w:spacing/>
              <w:ind/>
              <w:rPr/>
            </w:pPr>
            <w:r>
              <w:t xml:space="preserve">2, 4, 13, 19</w:t>
            </w:r>
            <w:r/>
          </w:p>
        </w:tc>
        <w:tc>
          <w:tcPr>
            <w:tcBorders/>
            <w:tcMar>
              <w:left w:w="70" w:type="dxa"/>
              <w:top w:w="60" w:type="dxa"/>
              <w:right w:w="70" w:type="dxa"/>
              <w:bottom w:w="60" w:type="dxa"/>
            </w:tcMar>
            <w:tcW w:w="4147" w:type="dxa"/>
            <w:vAlign w:val="top"/>
          </w:tcPr>
          <w:p>
            <w:pPr>
              <w:pStyle w:val="1297"/>
              <w:pBdr/>
              <w:spacing/>
              <w:ind/>
              <w:rPr/>
            </w:pPr>
            <w:r>
              <w:t xml:space="preserve">—</w:t>
            </w:r>
            <w:r/>
          </w:p>
        </w:tc>
      </w:tr>
      <w:tr>
        <w:trPr>
          <w:cantSplit/>
        </w:trPr>
        <w:tc>
          <w:tcPr>
            <w:shd w:val="clear" w:color="auto" w:fill="f7f9fa"/>
            <w:tcBorders/>
            <w:tcMar>
              <w:left w:w="70" w:type="dxa"/>
              <w:top w:w="60" w:type="dxa"/>
              <w:right w:w="70" w:type="dxa"/>
              <w:bottom w:w="60" w:type="dxa"/>
            </w:tcMar>
            <w:tcW w:w="3629" w:type="dxa"/>
            <w:vAlign w:val="top"/>
          </w:tcPr>
          <w:p>
            <w:pPr>
              <w:pStyle w:val="1297"/>
              <w:pBdr/>
              <w:spacing/>
              <w:ind/>
              <w:rPr/>
            </w:pPr>
            <w:r>
              <w:t xml:space="preserve">Source-bounded Ifá position</w:t>
            </w:r>
            <w:r/>
          </w:p>
        </w:tc>
        <w:tc>
          <w:tcPr>
            <w:shd w:val="clear" w:color="auto" w:fill="f7f9fa"/>
            <w:tcBorders/>
            <w:tcMar>
              <w:left w:w="70" w:type="dxa"/>
              <w:top w:w="60" w:type="dxa"/>
              <w:right w:w="70" w:type="dxa"/>
              <w:bottom w:w="60" w:type="dxa"/>
            </w:tcMar>
            <w:tcW w:w="1703" w:type="dxa"/>
            <w:vAlign w:val="top"/>
          </w:tcPr>
          <w:p>
            <w:pPr>
              <w:pStyle w:val="1297"/>
              <w:pBdr/>
              <w:spacing/>
              <w:ind/>
              <w:rPr/>
            </w:pPr>
            <w:r>
              <w:t xml:space="preserve">CORE</w:t>
            </w:r>
            <w:r/>
          </w:p>
        </w:tc>
        <w:tc>
          <w:tcPr>
            <w:shd w:val="clear" w:color="auto" w:fill="f7f9fa"/>
            <w:tcBorders/>
            <w:tcMar>
              <w:left w:w="70" w:type="dxa"/>
              <w:top w:w="60" w:type="dxa"/>
              <w:right w:w="70" w:type="dxa"/>
              <w:bottom w:w="60" w:type="dxa"/>
            </w:tcMar>
            <w:tcW w:w="4073" w:type="dxa"/>
            <w:vAlign w:val="top"/>
          </w:tcPr>
          <w:p>
            <w:pPr>
              <w:pStyle w:val="1297"/>
              <w:pBdr/>
              <w:spacing/>
              <w:ind/>
              <w:rPr/>
            </w:pPr>
            <w:r>
              <w:t xml:space="preserve">Non-textual authority; agency/fate; performed knowledge</w:t>
            </w:r>
            <w:r/>
          </w:p>
        </w:tc>
        <w:tc>
          <w:tcPr>
            <w:shd w:val="clear" w:color="auto" w:fill="f7f9fa"/>
            <w:tcBorders/>
            <w:tcMar>
              <w:left w:w="70" w:type="dxa"/>
              <w:top w:w="60" w:type="dxa"/>
              <w:right w:w="70" w:type="dxa"/>
              <w:bottom w:w="60" w:type="dxa"/>
            </w:tcMar>
            <w:tcW w:w="1703" w:type="dxa"/>
            <w:vAlign w:val="top"/>
          </w:tcPr>
          <w:p>
            <w:pPr>
              <w:pStyle w:val="1297"/>
              <w:pBdr/>
              <w:spacing/>
              <w:ind/>
              <w:rPr/>
            </w:pPr>
            <w:r>
              <w:t xml:space="preserve">1, 6, 10, 11, 13, 14, 15</w:t>
            </w:r>
            <w:r/>
          </w:p>
        </w:tc>
        <w:tc>
          <w:tcPr>
            <w:shd w:val="clear" w:color="auto" w:fill="f7f9fa"/>
            <w:tcBorders/>
            <w:tcMar>
              <w:left w:w="70" w:type="dxa"/>
              <w:top w:w="60" w:type="dxa"/>
              <w:right w:w="70" w:type="dxa"/>
              <w:bottom w:w="60" w:type="dxa"/>
            </w:tcMar>
            <w:tcW w:w="4147" w:type="dxa"/>
            <w:vAlign w:val="top"/>
          </w:tcPr>
          <w:p>
            <w:pPr>
              <w:pStyle w:val="1297"/>
              <w:pBdr/>
              <w:spacing/>
              <w:ind/>
              <w:rPr/>
            </w:pPr>
            <w:r>
              <w:t xml:space="preserve">Subject to RG-01 and RG-02 and to Research Specification oral/performance, source-community, rights and unit-release rules; editorial role remains CORE.</w:t>
            </w:r>
            <w:r/>
          </w:p>
        </w:tc>
      </w:tr>
      <w:tr>
        <w:trPr>
          <w:cantSplit/>
        </w:trPr>
        <w:tc>
          <w:tcPr>
            <w:tcBorders/>
            <w:tcMar>
              <w:left w:w="70" w:type="dxa"/>
              <w:top w:w="60" w:type="dxa"/>
              <w:right w:w="70" w:type="dxa"/>
              <w:bottom w:w="60" w:type="dxa"/>
            </w:tcMar>
            <w:tcW w:w="3629" w:type="dxa"/>
            <w:vAlign w:val="top"/>
          </w:tcPr>
          <w:p>
            <w:pPr>
              <w:pStyle w:val="1297"/>
              <w:pBdr/>
              <w:spacing/>
              <w:ind/>
              <w:rPr/>
            </w:pPr>
            <w:r>
              <w:t xml:space="preserve">Achuar relational ontology as Descola reconstruction</w:t>
            </w:r>
            <w:r/>
          </w:p>
        </w:tc>
        <w:tc>
          <w:tcPr>
            <w:tcBorders/>
            <w:tcMar>
              <w:left w:w="70" w:type="dxa"/>
              <w:top w:w="60" w:type="dxa"/>
              <w:right w:w="70" w:type="dxa"/>
              <w:bottom w:w="60" w:type="dxa"/>
            </w:tcMar>
            <w:tcW w:w="1703" w:type="dxa"/>
            <w:vAlign w:val="top"/>
          </w:tcPr>
          <w:p>
            <w:pPr>
              <w:pStyle w:val="1297"/>
              <w:pBdr/>
              <w:spacing/>
              <w:ind/>
              <w:rPr/>
            </w:pPr>
            <w:r>
              <w:t xml:space="preserve">HOLD-FUTURE</w:t>
            </w:r>
            <w:r/>
          </w:p>
        </w:tc>
        <w:tc>
          <w:tcPr>
            <w:tcBorders/>
            <w:tcMar>
              <w:left w:w="70" w:type="dxa"/>
              <w:top w:w="60" w:type="dxa"/>
              <w:right w:w="70" w:type="dxa"/>
              <w:bottom w:w="60" w:type="dxa"/>
            </w:tcMar>
            <w:tcW w:w="4073" w:type="dxa"/>
            <w:vAlign w:val="top"/>
          </w:tcPr>
          <w:p>
            <w:pPr>
              <w:pStyle w:val="1297"/>
              <w:pBdr/>
              <w:spacing/>
              <w:ind/>
              <w:rPr/>
            </w:pPr>
            <w:r>
              <w:t xml:space="preserve">Human/nonhuman subjecthood counterexample</w:t>
            </w:r>
            <w:r/>
          </w:p>
        </w:tc>
        <w:tc>
          <w:tcPr>
            <w:tcBorders/>
            <w:tcMar>
              <w:left w:w="70" w:type="dxa"/>
              <w:top w:w="60" w:type="dxa"/>
              <w:right w:w="70" w:type="dxa"/>
              <w:bottom w:w="60" w:type="dxa"/>
            </w:tcMar>
            <w:tcW w:w="1703" w:type="dxa"/>
            <w:vAlign w:val="top"/>
          </w:tcPr>
          <w:p>
            <w:pPr>
              <w:pStyle w:val="1297"/>
              <w:pBdr/>
              <w:spacing/>
              <w:ind/>
              <w:rPr/>
            </w:pPr>
            <w:r>
              <w:t xml:space="preserve">1, 6, 10</w:t>
            </w:r>
            <w:r/>
          </w:p>
        </w:tc>
        <w:tc>
          <w:tcPr>
            <w:tcBorders/>
            <w:tcMar>
              <w:left w:w="70" w:type="dxa"/>
              <w:top w:w="60" w:type="dxa"/>
              <w:right w:w="70" w:type="dxa"/>
              <w:bottom w:w="60" w:type="dxa"/>
            </w:tcMar>
            <w:tcW w:w="4147" w:type="dxa"/>
            <w:vAlign w:val="top"/>
          </w:tcPr>
          <w:p>
            <w:pPr>
              <w:pStyle w:val="1297"/>
              <w:pBdr/>
              <w:spacing/>
              <w:ind/>
              <w:rPr/>
            </w:pPr>
            <w:r>
              <w:t xml:space="preserve">Promotion requires direct or community-grounded evidence, defined authority scope and rights review under RG-03.</w:t>
            </w:r>
            <w:r/>
          </w:p>
        </w:tc>
      </w:tr>
      <w:tr>
        <w:trPr>
          <w:cantSplit/>
        </w:trPr>
        <w:tc>
          <w:tcPr>
            <w:shd w:val="clear" w:color="auto" w:fill="f7f9fa"/>
            <w:tcBorders/>
            <w:tcMar>
              <w:left w:w="70" w:type="dxa"/>
              <w:top w:w="60" w:type="dxa"/>
              <w:right w:w="70" w:type="dxa"/>
              <w:bottom w:w="60" w:type="dxa"/>
            </w:tcMar>
            <w:tcW w:w="3629" w:type="dxa"/>
            <w:vAlign w:val="top"/>
          </w:tcPr>
          <w:p>
            <w:pPr>
              <w:pStyle w:val="1297"/>
              <w:pBdr/>
              <w:spacing/>
              <w:ind/>
              <w:rPr/>
            </w:pPr>
            <w:r>
              <w:t xml:space="preserve">Sartrean existentialism, Being and Nothingness-centered</w:t>
            </w:r>
            <w:r/>
          </w:p>
        </w:tc>
        <w:tc>
          <w:tcPr>
            <w:shd w:val="clear" w:color="auto" w:fill="f7f9fa"/>
            <w:tcBorders/>
            <w:tcMar>
              <w:left w:w="70" w:type="dxa"/>
              <w:top w:w="60" w:type="dxa"/>
              <w:right w:w="70" w:type="dxa"/>
              <w:bottom w:w="60" w:type="dxa"/>
            </w:tcMar>
            <w:tcW w:w="1703" w:type="dxa"/>
            <w:vAlign w:val="top"/>
          </w:tcPr>
          <w:p>
            <w:pPr>
              <w:pStyle w:val="1297"/>
              <w:pBdr/>
              <w:spacing/>
              <w:ind/>
              <w:rPr/>
            </w:pPr>
            <w:r>
              <w:t xml:space="preserve">CORE</w:t>
            </w:r>
            <w:r/>
          </w:p>
        </w:tc>
        <w:tc>
          <w:tcPr>
            <w:shd w:val="clear" w:color="auto" w:fill="f7f9fa"/>
            <w:tcBorders/>
            <w:tcMar>
              <w:left w:w="70" w:type="dxa"/>
              <w:top w:w="60" w:type="dxa"/>
              <w:right w:w="70" w:type="dxa"/>
              <w:bottom w:w="60" w:type="dxa"/>
            </w:tcMar>
            <w:tcW w:w="4073" w:type="dxa"/>
            <w:vAlign w:val="top"/>
          </w:tcPr>
          <w:p>
            <w:pPr>
              <w:pStyle w:val="1297"/>
              <w:pBdr/>
              <w:spacing/>
              <w:ind/>
              <w:rPr/>
            </w:pPr>
            <w:r>
              <w:t xml:space="preserve">Freedom/telos; self as project; secular comparator</w:t>
            </w:r>
            <w:r/>
          </w:p>
        </w:tc>
        <w:tc>
          <w:tcPr>
            <w:shd w:val="clear" w:color="auto" w:fill="f7f9fa"/>
            <w:tcBorders/>
            <w:tcMar>
              <w:left w:w="70" w:type="dxa"/>
              <w:top w:w="60" w:type="dxa"/>
              <w:right w:w="70" w:type="dxa"/>
              <w:bottom w:w="60" w:type="dxa"/>
            </w:tcMar>
            <w:tcW w:w="1703" w:type="dxa"/>
            <w:vAlign w:val="top"/>
          </w:tcPr>
          <w:p>
            <w:pPr>
              <w:pStyle w:val="1297"/>
              <w:pBdr/>
              <w:spacing/>
              <w:ind/>
              <w:rPr/>
            </w:pPr>
            <w:r>
              <w:t xml:space="preserve">8, 9, 12, 15, 16, 18, 19</w:t>
            </w:r>
            <w:r/>
          </w:p>
        </w:tc>
        <w:tc>
          <w:tcPr>
            <w:shd w:val="clear" w:color="auto" w:fill="f7f9fa"/>
            <w:tcBorders/>
            <w:tcMar>
              <w:left w:w="70" w:type="dxa"/>
              <w:top w:w="60" w:type="dxa"/>
              <w:right w:w="70" w:type="dxa"/>
              <w:bottom w:w="60" w:type="dxa"/>
            </w:tcMar>
            <w:tcW w:w="4147" w:type="dxa"/>
            <w:vAlign w:val="top"/>
          </w:tcPr>
          <w:p>
            <w:pPr>
              <w:pStyle w:val="1297"/>
              <w:pBdr/>
              <w:spacing/>
              <w:ind/>
              <w:rPr/>
            </w:pPr>
            <w:r>
              <w:t xml:space="preserve">—</w:t>
            </w:r>
            <w:r/>
          </w:p>
        </w:tc>
      </w:tr>
      <w:tr>
        <w:trPr>
          <w:cantSplit/>
        </w:trPr>
        <w:tc>
          <w:tcPr>
            <w:tcBorders/>
            <w:tcMar>
              <w:left w:w="70" w:type="dxa"/>
              <w:top w:w="60" w:type="dxa"/>
              <w:right w:w="70" w:type="dxa"/>
              <w:bottom w:w="60" w:type="dxa"/>
            </w:tcMar>
            <w:tcW w:w="3629" w:type="dxa"/>
            <w:vAlign w:val="top"/>
          </w:tcPr>
          <w:p>
            <w:pPr>
              <w:pStyle w:val="1297"/>
              <w:pBdr/>
              <w:spacing/>
              <w:ind/>
              <w:rPr/>
            </w:pPr>
            <w:r>
              <w:t xml:space="preserve">Papineau-style contemporary physicalism</w:t>
            </w:r>
            <w:r/>
          </w:p>
        </w:tc>
        <w:tc>
          <w:tcPr>
            <w:tcBorders/>
            <w:tcMar>
              <w:left w:w="70" w:type="dxa"/>
              <w:top w:w="60" w:type="dxa"/>
              <w:right w:w="70" w:type="dxa"/>
              <w:bottom w:w="60" w:type="dxa"/>
            </w:tcMar>
            <w:tcW w:w="1703" w:type="dxa"/>
            <w:vAlign w:val="top"/>
          </w:tcPr>
          <w:p>
            <w:pPr>
              <w:pStyle w:val="1297"/>
              <w:pBdr/>
              <w:spacing/>
              <w:ind/>
              <w:rPr/>
            </w:pPr>
            <w:r>
              <w:t xml:space="preserve">CORE</w:t>
            </w:r>
            <w:r/>
          </w:p>
        </w:tc>
        <w:tc>
          <w:tcPr>
            <w:tcBorders/>
            <w:tcMar>
              <w:left w:w="70" w:type="dxa"/>
              <w:top w:w="60" w:type="dxa"/>
              <w:right w:w="70" w:type="dxa"/>
              <w:bottom w:w="60" w:type="dxa"/>
            </w:tcMar>
            <w:tcW w:w="4073" w:type="dxa"/>
            <w:vAlign w:val="top"/>
          </w:tcPr>
          <w:p>
            <w:pPr>
              <w:pStyle w:val="1297"/>
              <w:pBdr/>
              <w:spacing/>
              <w:ind/>
              <w:rPr/>
            </w:pPr>
            <w:r>
              <w:t xml:space="preserve">Science/metaphysics boundary; physicalism vs panpsychism/dualism</w:t>
            </w:r>
            <w:r/>
          </w:p>
        </w:tc>
        <w:tc>
          <w:tcPr>
            <w:tcBorders/>
            <w:tcMar>
              <w:left w:w="70" w:type="dxa"/>
              <w:top w:w="60" w:type="dxa"/>
              <w:right w:w="70" w:type="dxa"/>
              <w:bottom w:w="60" w:type="dxa"/>
            </w:tcMar>
            <w:tcW w:w="1703" w:type="dxa"/>
            <w:vAlign w:val="top"/>
          </w:tcPr>
          <w:p>
            <w:pPr>
              <w:pStyle w:val="1297"/>
              <w:pBdr/>
              <w:spacing/>
              <w:ind/>
              <w:rPr/>
            </w:pPr>
            <w:r>
              <w:t xml:space="preserve">1, 7, 14, 17</w:t>
            </w:r>
            <w:r/>
          </w:p>
        </w:tc>
        <w:tc>
          <w:tcPr>
            <w:tcBorders/>
            <w:tcMar>
              <w:left w:w="70" w:type="dxa"/>
              <w:top w:w="60" w:type="dxa"/>
              <w:right w:w="70" w:type="dxa"/>
              <w:bottom w:w="60" w:type="dxa"/>
            </w:tcMar>
            <w:tcW w:w="4147" w:type="dxa"/>
            <w:vAlign w:val="top"/>
          </w:tcPr>
          <w:p>
            <w:pPr>
              <w:pStyle w:val="1297"/>
              <w:pBdr/>
              <w:spacing/>
              <w:ind/>
              <w:rPr/>
            </w:pPr>
            <w:r>
              <w:t xml:space="preserve">—</w:t>
            </w:r>
            <w:r/>
          </w:p>
        </w:tc>
      </w:tr>
      <w:tr>
        <w:trPr>
          <w:cantSplit/>
        </w:trPr>
        <w:tc>
          <w:tcPr>
            <w:shd w:val="clear" w:color="auto" w:fill="f7f9fa"/>
            <w:tcBorders/>
            <w:tcMar>
              <w:left w:w="70" w:type="dxa"/>
              <w:top w:w="60" w:type="dxa"/>
              <w:right w:w="70" w:type="dxa"/>
              <w:bottom w:w="60" w:type="dxa"/>
            </w:tcMar>
            <w:tcW w:w="3629" w:type="dxa"/>
            <w:vAlign w:val="top"/>
          </w:tcPr>
          <w:p>
            <w:pPr>
              <w:pStyle w:val="1297"/>
              <w:pBdr/>
              <w:spacing/>
              <w:ind/>
              <w:rPr/>
            </w:pPr>
            <w:r>
              <w:t xml:space="preserve">Constitutive micropsychism</w:t>
            </w:r>
            <w:r/>
          </w:p>
        </w:tc>
        <w:tc>
          <w:tcPr>
            <w:shd w:val="clear" w:color="auto" w:fill="f7f9fa"/>
            <w:tcBorders/>
            <w:tcMar>
              <w:left w:w="70" w:type="dxa"/>
              <w:top w:w="60" w:type="dxa"/>
              <w:right w:w="70" w:type="dxa"/>
              <w:bottom w:w="60" w:type="dxa"/>
            </w:tcMar>
            <w:tcW w:w="1703" w:type="dxa"/>
            <w:vAlign w:val="top"/>
          </w:tcPr>
          <w:p>
            <w:pPr>
              <w:pStyle w:val="1297"/>
              <w:pBdr/>
              <w:spacing/>
              <w:ind/>
              <w:rPr/>
            </w:pPr>
            <w:r>
              <w:t xml:space="preserve">CORE</w:t>
            </w:r>
            <w:r/>
          </w:p>
        </w:tc>
        <w:tc>
          <w:tcPr>
            <w:shd w:val="clear" w:color="auto" w:fill="f7f9fa"/>
            <w:tcBorders/>
            <w:tcMar>
              <w:left w:w="70" w:type="dxa"/>
              <w:top w:w="60" w:type="dxa"/>
              <w:right w:w="70" w:type="dxa"/>
              <w:bottom w:w="60" w:type="dxa"/>
            </w:tcMar>
            <w:tcW w:w="4073" w:type="dxa"/>
            <w:vAlign w:val="top"/>
          </w:tcPr>
          <w:p>
            <w:pPr>
              <w:pStyle w:val="1297"/>
              <w:pBdr/>
              <w:spacing/>
              <w:ind/>
              <w:rPr/>
            </w:pPr>
            <w:r>
              <w:t xml:space="preserve">Fundamental-consciousness fault line; combination problem</w:t>
            </w:r>
            <w:r/>
          </w:p>
        </w:tc>
        <w:tc>
          <w:tcPr>
            <w:shd w:val="clear" w:color="auto" w:fill="f7f9fa"/>
            <w:tcBorders/>
            <w:tcMar>
              <w:left w:w="70" w:type="dxa"/>
              <w:top w:w="60" w:type="dxa"/>
              <w:right w:w="70" w:type="dxa"/>
              <w:bottom w:w="60" w:type="dxa"/>
            </w:tcMar>
            <w:tcW w:w="1703" w:type="dxa"/>
            <w:vAlign w:val="top"/>
          </w:tcPr>
          <w:p>
            <w:pPr>
              <w:pStyle w:val="1297"/>
              <w:pBdr/>
              <w:spacing/>
              <w:ind/>
              <w:rPr/>
            </w:pPr>
            <w:r>
              <w:t xml:space="preserve">1, 2, 4, 7, 19</w:t>
            </w:r>
            <w:r/>
          </w:p>
        </w:tc>
        <w:tc>
          <w:tcPr>
            <w:shd w:val="clear" w:color="auto" w:fill="f7f9fa"/>
            <w:tcBorders/>
            <w:tcMar>
              <w:left w:w="70" w:type="dxa"/>
              <w:top w:w="60" w:type="dxa"/>
              <w:right w:w="70" w:type="dxa"/>
              <w:bottom w:w="60" w:type="dxa"/>
            </w:tcMar>
            <w:tcW w:w="4147" w:type="dxa"/>
            <w:vAlign w:val="top"/>
          </w:tcPr>
          <w:p>
            <w:pPr>
              <w:pStyle w:val="1297"/>
              <w:pBdr/>
              <w:spacing/>
              <w:ind/>
              <w:rPr/>
            </w:pPr>
            <w:r>
              <w:t xml:space="preserve">—</w:t>
            </w:r>
            <w:r/>
          </w:p>
        </w:tc>
      </w:tr>
      <w:tr>
        <w:trPr>
          <w:cantSplit/>
        </w:trPr>
        <w:tc>
          <w:tcPr>
            <w:tcBorders/>
            <w:tcMar>
              <w:left w:w="70" w:type="dxa"/>
              <w:top w:w="60" w:type="dxa"/>
              <w:right w:w="70" w:type="dxa"/>
              <w:bottom w:w="60" w:type="dxa"/>
            </w:tcMar>
            <w:tcW w:w="3629" w:type="dxa"/>
            <w:vAlign w:val="top"/>
          </w:tcPr>
          <w:p>
            <w:pPr>
              <w:pStyle w:val="1297"/>
              <w:pBdr/>
              <w:spacing/>
              <w:ind/>
              <w:rPr/>
            </w:pPr>
            <w:r>
              <w:t xml:space="preserve">Īśvarakṛṣṇa, Sāṃkhyakārikā classical Sāṃkhya</w:t>
            </w:r>
            <w:r/>
          </w:p>
        </w:tc>
        <w:tc>
          <w:tcPr>
            <w:tcBorders/>
            <w:tcMar>
              <w:left w:w="70" w:type="dxa"/>
              <w:top w:w="60" w:type="dxa"/>
              <w:right w:w="70" w:type="dxa"/>
              <w:bottom w:w="60" w:type="dxa"/>
            </w:tcMar>
            <w:tcW w:w="1703" w:type="dxa"/>
            <w:vAlign w:val="top"/>
          </w:tcPr>
          <w:p>
            <w:pPr>
              <w:pStyle w:val="1297"/>
              <w:pBdr/>
              <w:spacing/>
              <w:ind/>
              <w:rPr/>
            </w:pPr>
            <w:r>
              <w:t xml:space="preserve">CORE</w:t>
            </w:r>
            <w:r/>
          </w:p>
        </w:tc>
        <w:tc>
          <w:tcPr>
            <w:tcBorders/>
            <w:tcMar>
              <w:left w:w="70" w:type="dxa"/>
              <w:top w:w="60" w:type="dxa"/>
              <w:right w:w="70" w:type="dxa"/>
              <w:bottom w:w="60" w:type="dxa"/>
            </w:tcMar>
            <w:tcW w:w="4073" w:type="dxa"/>
            <w:vAlign w:val="top"/>
          </w:tcPr>
          <w:p>
            <w:pPr>
              <w:pStyle w:val="1297"/>
              <w:pBdr/>
              <w:spacing/>
              <w:ind/>
              <w:rPr/>
            </w:pPr>
            <w:r>
              <w:t xml:space="preserve">Plural consciousness; causation; liberation; contrast with Advaita</w:t>
            </w:r>
            <w:r/>
          </w:p>
        </w:tc>
        <w:tc>
          <w:tcPr>
            <w:tcBorders/>
            <w:tcMar>
              <w:left w:w="70" w:type="dxa"/>
              <w:top w:w="60" w:type="dxa"/>
              <w:right w:w="70" w:type="dxa"/>
              <w:bottom w:w="60" w:type="dxa"/>
            </w:tcMar>
            <w:tcW w:w="1703" w:type="dxa"/>
            <w:vAlign w:val="top"/>
          </w:tcPr>
          <w:p>
            <w:pPr>
              <w:pStyle w:val="1297"/>
              <w:pBdr/>
              <w:spacing/>
              <w:ind/>
              <w:rPr/>
            </w:pPr>
            <w:r>
              <w:t xml:space="preserve">4, 7, 8, 19</w:t>
            </w:r>
            <w:r/>
          </w:p>
        </w:tc>
        <w:tc>
          <w:tcPr>
            <w:tcBorders/>
            <w:tcMar>
              <w:left w:w="70" w:type="dxa"/>
              <w:top w:w="60" w:type="dxa"/>
              <w:right w:w="70" w:type="dxa"/>
              <w:bottom w:w="60" w:type="dxa"/>
            </w:tcMar>
            <w:tcW w:w="4147" w:type="dxa"/>
            <w:vAlign w:val="top"/>
          </w:tcPr>
          <w:p>
            <w:pPr>
              <w:pStyle w:val="1297"/>
              <w:pBdr/>
              <w:spacing/>
              <w:ind/>
              <w:rPr/>
            </w:pPr>
            <w:r>
              <w:t xml:space="preserve">—</w:t>
            </w:r>
            <w:r/>
          </w:p>
        </w:tc>
      </w:tr>
      <w:tr>
        <w:trPr>
          <w:cantSplit/>
        </w:trPr>
        <w:tc>
          <w:tcPr>
            <w:shd w:val="clear" w:color="auto" w:fill="f7f9fa"/>
            <w:tcBorders/>
            <w:tcMar>
              <w:left w:w="70" w:type="dxa"/>
              <w:top w:w="60" w:type="dxa"/>
              <w:right w:w="70" w:type="dxa"/>
              <w:bottom w:w="60" w:type="dxa"/>
            </w:tcMar>
            <w:tcW w:w="3629" w:type="dxa"/>
            <w:vAlign w:val="top"/>
          </w:tcPr>
          <w:p>
            <w:pPr>
              <w:pStyle w:val="1297"/>
              <w:pBdr/>
              <w:spacing/>
              <w:ind/>
              <w:rPr/>
            </w:pPr>
            <w:r>
              <w:t xml:space="preserve">Tattvārthasūtra-centered Jaina synthesis</w:t>
            </w:r>
            <w:r/>
          </w:p>
        </w:tc>
        <w:tc>
          <w:tcPr>
            <w:shd w:val="clear" w:color="auto" w:fill="f7f9fa"/>
            <w:tcBorders/>
            <w:tcMar>
              <w:left w:w="70" w:type="dxa"/>
              <w:top w:w="60" w:type="dxa"/>
              <w:right w:w="70" w:type="dxa"/>
              <w:bottom w:w="60" w:type="dxa"/>
            </w:tcMar>
            <w:tcW w:w="1703" w:type="dxa"/>
            <w:vAlign w:val="top"/>
          </w:tcPr>
          <w:p>
            <w:pPr>
              <w:pStyle w:val="1297"/>
              <w:pBdr/>
              <w:spacing/>
              <w:ind/>
              <w:rPr/>
            </w:pPr>
            <w:r>
              <w:t xml:space="preserve">CORE</w:t>
            </w:r>
            <w:r/>
          </w:p>
        </w:tc>
        <w:tc>
          <w:tcPr>
            <w:shd w:val="clear" w:color="auto" w:fill="f7f9fa"/>
            <w:tcBorders/>
            <w:tcMar>
              <w:left w:w="70" w:type="dxa"/>
              <w:top w:w="60" w:type="dxa"/>
              <w:right w:w="70" w:type="dxa"/>
              <w:bottom w:w="60" w:type="dxa"/>
            </w:tcMar>
            <w:tcW w:w="4073" w:type="dxa"/>
            <w:vAlign w:val="top"/>
          </w:tcPr>
          <w:p>
            <w:pPr>
              <w:pStyle w:val="1297"/>
              <w:pBdr/>
              <w:spacing/>
              <w:ind/>
              <w:rPr/>
            </w:pPr>
            <w:r>
              <w:t xml:space="preserve">Self/karma/agency/death; pluralism; non-Buddhist South Asian counterexample</w:t>
            </w:r>
            <w:r/>
          </w:p>
        </w:tc>
        <w:tc>
          <w:tcPr>
            <w:shd w:val="clear" w:color="auto" w:fill="f7f9fa"/>
            <w:tcBorders/>
            <w:tcMar>
              <w:left w:w="70" w:type="dxa"/>
              <w:top w:w="60" w:type="dxa"/>
              <w:right w:w="70" w:type="dxa"/>
              <w:bottom w:w="60" w:type="dxa"/>
            </w:tcMar>
            <w:tcW w:w="1703" w:type="dxa"/>
            <w:vAlign w:val="top"/>
          </w:tcPr>
          <w:p>
            <w:pPr>
              <w:pStyle w:val="1297"/>
              <w:pBdr/>
              <w:spacing/>
              <w:ind/>
              <w:rPr/>
            </w:pPr>
            <w:r>
              <w:t xml:space="preserve">4, 9, 10, 14, 15, 17, 18</w:t>
            </w:r>
            <w:r/>
          </w:p>
        </w:tc>
        <w:tc>
          <w:tcPr>
            <w:shd w:val="clear" w:color="auto" w:fill="f7f9fa"/>
            <w:tcBorders/>
            <w:tcMar>
              <w:left w:w="70" w:type="dxa"/>
              <w:top w:w="60" w:type="dxa"/>
              <w:right w:w="70" w:type="dxa"/>
              <w:bottom w:w="60" w:type="dxa"/>
            </w:tcMar>
            <w:tcW w:w="4147" w:type="dxa"/>
            <w:vAlign w:val="top"/>
          </w:tcPr>
          <w:p>
            <w:pPr>
              <w:pStyle w:val="1297"/>
              <w:pBdr/>
              <w:spacing/>
              <w:ind/>
              <w:rPr/>
            </w:pPr>
            <w:r>
              <w:t xml:space="preserve">—</w:t>
            </w:r>
            <w:r/>
          </w:p>
        </w:tc>
      </w:tr>
      <w:tr>
        <w:trPr>
          <w:cantSplit/>
        </w:trPr>
        <w:tc>
          <w:tcPr>
            <w:tcBorders/>
            <w:tcMar>
              <w:left w:w="70" w:type="dxa"/>
              <w:top w:w="60" w:type="dxa"/>
              <w:right w:w="70" w:type="dxa"/>
              <w:bottom w:w="60" w:type="dxa"/>
            </w:tcMar>
            <w:tcW w:w="3629" w:type="dxa"/>
            <w:vAlign w:val="top"/>
          </w:tcPr>
          <w:p>
            <w:pPr>
              <w:pStyle w:val="1297"/>
              <w:pBdr/>
              <w:spacing/>
              <w:ind/>
              <w:rPr/>
            </w:pPr>
            <w:r>
              <w:t xml:space="preserve">Vasubandhu, Viṃśikā/Triṃśikā Yogācāra position</w:t>
            </w:r>
            <w:r/>
          </w:p>
        </w:tc>
        <w:tc>
          <w:tcPr>
            <w:tcBorders/>
            <w:tcMar>
              <w:left w:w="70" w:type="dxa"/>
              <w:top w:w="60" w:type="dxa"/>
              <w:right w:w="70" w:type="dxa"/>
              <w:bottom w:w="60" w:type="dxa"/>
            </w:tcMar>
            <w:tcW w:w="1703" w:type="dxa"/>
            <w:vAlign w:val="top"/>
          </w:tcPr>
          <w:p>
            <w:pPr>
              <w:pStyle w:val="1297"/>
              <w:pBdr/>
              <w:spacing/>
              <w:ind/>
              <w:rPr/>
            </w:pPr>
            <w:r>
              <w:t xml:space="preserve">CORE</w:t>
            </w:r>
            <w:r/>
          </w:p>
        </w:tc>
        <w:tc>
          <w:tcPr>
            <w:tcBorders/>
            <w:tcMar>
              <w:left w:w="70" w:type="dxa"/>
              <w:top w:w="60" w:type="dxa"/>
              <w:right w:w="70" w:type="dxa"/>
              <w:bottom w:w="60" w:type="dxa"/>
            </w:tcMar>
            <w:tcW w:w="4073" w:type="dxa"/>
            <w:vAlign w:val="top"/>
          </w:tcPr>
          <w:p>
            <w:pPr>
              <w:pStyle w:val="1297"/>
              <w:pBdr/>
              <w:spacing/>
              <w:ind/>
              <w:rPr/>
            </w:pPr>
            <w:r>
              <w:t xml:space="preserve">Mind-world relation; no-self with consciousness architecture</w:t>
            </w:r>
            <w:r/>
          </w:p>
        </w:tc>
        <w:tc>
          <w:tcPr>
            <w:tcBorders/>
            <w:tcMar>
              <w:left w:w="70" w:type="dxa"/>
              <w:top w:w="60" w:type="dxa"/>
              <w:right w:w="70" w:type="dxa"/>
              <w:bottom w:w="60" w:type="dxa"/>
            </w:tcMar>
            <w:tcW w:w="1703" w:type="dxa"/>
            <w:vAlign w:val="top"/>
          </w:tcPr>
          <w:p>
            <w:pPr>
              <w:pStyle w:val="1297"/>
              <w:pBdr/>
              <w:spacing/>
              <w:ind/>
              <w:rPr/>
            </w:pPr>
            <w:r>
              <w:t xml:space="preserve">8, 9, 17, 19</w:t>
            </w:r>
            <w:r/>
          </w:p>
        </w:tc>
        <w:tc>
          <w:tcPr>
            <w:tcBorders/>
            <w:tcMar>
              <w:left w:w="70" w:type="dxa"/>
              <w:top w:w="60" w:type="dxa"/>
              <w:right w:w="70" w:type="dxa"/>
              <w:bottom w:w="60" w:type="dxa"/>
            </w:tcMar>
            <w:tcW w:w="4147" w:type="dxa"/>
            <w:vAlign w:val="top"/>
          </w:tcPr>
          <w:p>
            <w:pPr>
              <w:pStyle w:val="1297"/>
              <w:pBdr/>
              <w:spacing/>
              <w:ind/>
              <w:rPr/>
            </w:pPr>
            <w:r>
              <w:t xml:space="preserve">—</w:t>
            </w:r>
            <w:r/>
          </w:p>
        </w:tc>
      </w:tr>
      <w:tr>
        <w:trPr>
          <w:cantSplit/>
        </w:trPr>
        <w:tc>
          <w:tcPr>
            <w:shd w:val="clear" w:color="auto" w:fill="f7f9fa"/>
            <w:tcBorders/>
            <w:tcMar>
              <w:left w:w="70" w:type="dxa"/>
              <w:top w:w="60" w:type="dxa"/>
              <w:right w:w="70" w:type="dxa"/>
              <w:bottom w:w="60" w:type="dxa"/>
            </w:tcMar>
            <w:tcW w:w="3629" w:type="dxa"/>
            <w:vAlign w:val="top"/>
          </w:tcPr>
          <w:p>
            <w:pPr>
              <w:pStyle w:val="1297"/>
              <w:pBdr/>
              <w:spacing/>
              <w:ind/>
              <w:rPr/>
            </w:pPr>
            <w:r>
              <w:t xml:space="preserve">Guru Nanak / early gurmat position</w:t>
            </w:r>
            <w:r/>
          </w:p>
        </w:tc>
        <w:tc>
          <w:tcPr>
            <w:shd w:val="clear" w:color="auto" w:fill="f7f9fa"/>
            <w:tcBorders/>
            <w:tcMar>
              <w:left w:w="70" w:type="dxa"/>
              <w:top w:w="60" w:type="dxa"/>
              <w:right w:w="70" w:type="dxa"/>
              <w:bottom w:w="60" w:type="dxa"/>
            </w:tcMar>
            <w:tcW w:w="1703" w:type="dxa"/>
            <w:vAlign w:val="top"/>
          </w:tcPr>
          <w:p>
            <w:pPr>
              <w:pStyle w:val="1297"/>
              <w:pBdr/>
              <w:spacing/>
              <w:ind/>
              <w:rPr/>
            </w:pPr>
            <w:r>
              <w:t xml:space="preserve">CORE</w:t>
            </w:r>
            <w:r/>
          </w:p>
        </w:tc>
        <w:tc>
          <w:tcPr>
            <w:shd w:val="clear" w:color="auto" w:fill="f7f9fa"/>
            <w:tcBorders/>
            <w:tcMar>
              <w:left w:w="70" w:type="dxa"/>
              <w:top w:w="60" w:type="dxa"/>
              <w:right w:w="70" w:type="dxa"/>
              <w:bottom w:w="60" w:type="dxa"/>
            </w:tcMar>
            <w:tcW w:w="4073" w:type="dxa"/>
            <w:vAlign w:val="top"/>
          </w:tcPr>
          <w:p>
            <w:pPr>
              <w:pStyle w:val="1297"/>
              <w:pBdr/>
              <w:spacing/>
              <w:ind/>
              <w:rPr/>
            </w:pPr>
            <w:r>
              <w:t xml:space="preserve">Immanence/transcendence; order/agency; praxis; world-affirming liberation</w:t>
            </w:r>
            <w:r/>
          </w:p>
        </w:tc>
        <w:tc>
          <w:tcPr>
            <w:shd w:val="clear" w:color="auto" w:fill="f7f9fa"/>
            <w:tcBorders/>
            <w:tcMar>
              <w:left w:w="70" w:type="dxa"/>
              <w:top w:w="60" w:type="dxa"/>
              <w:right w:w="70" w:type="dxa"/>
              <w:bottom w:w="60" w:type="dxa"/>
            </w:tcMar>
            <w:tcW w:w="1703" w:type="dxa"/>
            <w:vAlign w:val="top"/>
          </w:tcPr>
          <w:p>
            <w:pPr>
              <w:pStyle w:val="1297"/>
              <w:pBdr/>
              <w:spacing/>
              <w:ind/>
              <w:rPr/>
            </w:pPr>
            <w:r>
              <w:t xml:space="preserve">6, 11, 13, 16, 18, 19</w:t>
            </w:r>
            <w:r/>
          </w:p>
        </w:tc>
        <w:tc>
          <w:tcPr>
            <w:shd w:val="clear" w:color="auto" w:fill="f7f9fa"/>
            <w:tcBorders/>
            <w:tcMar>
              <w:left w:w="70" w:type="dxa"/>
              <w:top w:w="60" w:type="dxa"/>
              <w:right w:w="70" w:type="dxa"/>
              <w:bottom w:w="60" w:type="dxa"/>
            </w:tcMar>
            <w:tcW w:w="4147" w:type="dxa"/>
            <w:vAlign w:val="top"/>
          </w:tcPr>
          <w:p>
            <w:pPr>
              <w:pStyle w:val="1297"/>
              <w:pBdr/>
              <w:spacing/>
              <w:ind/>
              <w:rPr/>
            </w:pPr>
            <w:r>
              <w:t xml:space="preserve">—</w:t>
            </w:r>
            <w:r/>
          </w:p>
        </w:tc>
      </w:tr>
      <w:tr>
        <w:trPr>
          <w:cantSplit/>
        </w:trPr>
        <w:tc>
          <w:tcPr>
            <w:tcBorders/>
            <w:tcMar>
              <w:left w:w="70" w:type="dxa"/>
              <w:top w:w="60" w:type="dxa"/>
              <w:right w:w="70" w:type="dxa"/>
              <w:bottom w:w="60" w:type="dxa"/>
            </w:tcMar>
            <w:tcW w:w="3629" w:type="dxa"/>
            <w:vAlign w:val="top"/>
          </w:tcPr>
          <w:p>
            <w:pPr>
              <w:pStyle w:val="1297"/>
              <w:pBdr/>
              <w:spacing/>
              <w:ind/>
              <w:rPr/>
            </w:pPr>
            <w:r>
              <w:t xml:space="preserve">Avicenna, mature metaphysical psychology</w:t>
            </w:r>
            <w:r/>
          </w:p>
        </w:tc>
        <w:tc>
          <w:tcPr>
            <w:tcBorders/>
            <w:tcMar>
              <w:left w:w="70" w:type="dxa"/>
              <w:top w:w="60" w:type="dxa"/>
              <w:right w:w="70" w:type="dxa"/>
              <w:bottom w:w="60" w:type="dxa"/>
            </w:tcMar>
            <w:tcW w:w="1703" w:type="dxa"/>
            <w:vAlign w:val="top"/>
          </w:tcPr>
          <w:p>
            <w:pPr>
              <w:pStyle w:val="1297"/>
              <w:pBdr/>
              <w:spacing/>
              <w:ind/>
              <w:rPr/>
            </w:pPr>
            <w:r>
              <w:t xml:space="preserve">CORE</w:t>
            </w:r>
            <w:r/>
          </w:p>
        </w:tc>
        <w:tc>
          <w:tcPr>
            <w:tcBorders/>
            <w:tcMar>
              <w:left w:w="70" w:type="dxa"/>
              <w:top w:w="60" w:type="dxa"/>
              <w:right w:w="70" w:type="dxa"/>
              <w:bottom w:w="60" w:type="dxa"/>
            </w:tcMar>
            <w:tcW w:w="4073" w:type="dxa"/>
            <w:vAlign w:val="top"/>
          </w:tcPr>
          <w:p>
            <w:pPr>
              <w:pStyle w:val="1297"/>
              <w:pBdr/>
              <w:spacing/>
              <w:ind/>
              <w:rPr/>
            </w:pPr>
            <w:r>
              <w:t xml:space="preserve">Necessary existence; causation; soul; major genealogy node</w:t>
            </w:r>
            <w:r/>
          </w:p>
        </w:tc>
        <w:tc>
          <w:tcPr>
            <w:tcBorders/>
            <w:tcMar>
              <w:left w:w="70" w:type="dxa"/>
              <w:top w:w="60" w:type="dxa"/>
              <w:right w:w="70" w:type="dxa"/>
              <w:bottom w:w="60" w:type="dxa"/>
            </w:tcMar>
            <w:tcW w:w="1703" w:type="dxa"/>
            <w:vAlign w:val="top"/>
          </w:tcPr>
          <w:p>
            <w:pPr>
              <w:pStyle w:val="1297"/>
              <w:pBdr/>
              <w:spacing/>
              <w:ind/>
              <w:rPr/>
            </w:pPr>
            <w:r>
              <w:t xml:space="preserve">5, 9, 14, 17</w:t>
            </w:r>
            <w:r/>
          </w:p>
        </w:tc>
        <w:tc>
          <w:tcPr>
            <w:tcBorders/>
            <w:tcMar>
              <w:left w:w="70" w:type="dxa"/>
              <w:top w:w="60" w:type="dxa"/>
              <w:right w:w="70" w:type="dxa"/>
              <w:bottom w:w="60" w:type="dxa"/>
            </w:tcMar>
            <w:tcW w:w="4147" w:type="dxa"/>
            <w:vAlign w:val="top"/>
          </w:tcPr>
          <w:p>
            <w:pPr>
              <w:pStyle w:val="1297"/>
              <w:pBdr/>
              <w:spacing/>
              <w:ind/>
              <w:rPr/>
            </w:pPr>
            <w:r>
              <w:t xml:space="preserve">—</w:t>
            </w:r>
            <w:r/>
          </w:p>
        </w:tc>
      </w:tr>
      <w:tr>
        <w:trPr>
          <w:cantSplit/>
        </w:trPr>
        <w:tc>
          <w:tcPr>
            <w:shd w:val="clear" w:color="auto" w:fill="f7f9fa"/>
            <w:tcBorders/>
            <w:tcMar>
              <w:left w:w="70" w:type="dxa"/>
              <w:top w:w="60" w:type="dxa"/>
              <w:right w:w="70" w:type="dxa"/>
              <w:bottom w:w="60" w:type="dxa"/>
            </w:tcMar>
            <w:tcW w:w="3629" w:type="dxa"/>
            <w:vAlign w:val="top"/>
          </w:tcPr>
          <w:p>
            <w:pPr>
              <w:pStyle w:val="1297"/>
              <w:pBdr/>
              <w:spacing/>
              <w:ind/>
              <w:rPr/>
            </w:pPr>
            <w:r>
              <w:t xml:space="preserve">Maimonides, Guide-centered negative theology</w:t>
            </w:r>
            <w:r/>
          </w:p>
        </w:tc>
        <w:tc>
          <w:tcPr>
            <w:shd w:val="clear" w:color="auto" w:fill="f7f9fa"/>
            <w:tcBorders/>
            <w:tcMar>
              <w:left w:w="70" w:type="dxa"/>
              <w:top w:w="60" w:type="dxa"/>
              <w:right w:w="70" w:type="dxa"/>
              <w:bottom w:w="60" w:type="dxa"/>
            </w:tcMar>
            <w:tcW w:w="1703" w:type="dxa"/>
            <w:vAlign w:val="top"/>
          </w:tcPr>
          <w:p>
            <w:pPr>
              <w:pStyle w:val="1297"/>
              <w:pBdr/>
              <w:spacing/>
              <w:ind/>
              <w:rPr/>
            </w:pPr>
            <w:r>
              <w:t xml:space="preserve">CORE</w:t>
            </w:r>
            <w:r/>
          </w:p>
        </w:tc>
        <w:tc>
          <w:tcPr>
            <w:shd w:val="clear" w:color="auto" w:fill="f7f9fa"/>
            <w:tcBorders/>
            <w:tcMar>
              <w:left w:w="70" w:type="dxa"/>
              <w:top w:w="60" w:type="dxa"/>
              <w:right w:w="70" w:type="dxa"/>
              <w:bottom w:w="60" w:type="dxa"/>
            </w:tcMar>
            <w:tcW w:w="4073" w:type="dxa"/>
            <w:vAlign w:val="top"/>
          </w:tcPr>
          <w:p>
            <w:pPr>
              <w:pStyle w:val="1297"/>
              <w:pBdr/>
              <w:spacing/>
              <w:ind/>
              <w:rPr/>
            </w:pPr>
            <w:r>
              <w:t xml:space="preserve">Negative theology; revelation/reason; creation uncertainty</w:t>
            </w:r>
            <w:r/>
          </w:p>
        </w:tc>
        <w:tc>
          <w:tcPr>
            <w:shd w:val="clear" w:color="auto" w:fill="f7f9fa"/>
            <w:tcBorders/>
            <w:tcMar>
              <w:left w:w="70" w:type="dxa"/>
              <w:top w:w="60" w:type="dxa"/>
              <w:right w:w="70" w:type="dxa"/>
              <w:bottom w:w="60" w:type="dxa"/>
            </w:tcMar>
            <w:tcW w:w="1703" w:type="dxa"/>
            <w:vAlign w:val="top"/>
          </w:tcPr>
          <w:p>
            <w:pPr>
              <w:pStyle w:val="1297"/>
              <w:pBdr/>
              <w:spacing/>
              <w:ind/>
              <w:rPr/>
            </w:pPr>
            <w:r>
              <w:t xml:space="preserve">3, 11</w:t>
            </w:r>
            <w:r/>
          </w:p>
        </w:tc>
        <w:tc>
          <w:tcPr>
            <w:shd w:val="clear" w:color="auto" w:fill="f7f9fa"/>
            <w:tcBorders/>
            <w:tcMar>
              <w:left w:w="70" w:type="dxa"/>
              <w:top w:w="60" w:type="dxa"/>
              <w:right w:w="70" w:type="dxa"/>
              <w:bottom w:w="60" w:type="dxa"/>
            </w:tcMar>
            <w:tcW w:w="4147" w:type="dxa"/>
            <w:vAlign w:val="top"/>
          </w:tcPr>
          <w:p>
            <w:pPr>
              <w:pStyle w:val="1297"/>
              <w:pBdr/>
              <w:spacing/>
              <w:ind/>
              <w:rPr/>
            </w:pPr>
            <w:r>
              <w:t xml:space="preserve">—</w:t>
            </w:r>
            <w:r/>
          </w:p>
        </w:tc>
      </w:tr>
      <w:tr>
        <w:trPr>
          <w:cantSplit/>
        </w:trPr>
        <w:tc>
          <w:tcPr>
            <w:tcBorders/>
            <w:tcMar>
              <w:left w:w="70" w:type="dxa"/>
              <w:top w:w="60" w:type="dxa"/>
              <w:right w:w="70" w:type="dxa"/>
              <w:bottom w:w="60" w:type="dxa"/>
            </w:tcMar>
            <w:tcW w:w="3629" w:type="dxa"/>
            <w:vAlign w:val="top"/>
          </w:tcPr>
          <w:p>
            <w:pPr>
              <w:pStyle w:val="1297"/>
              <w:pBdr/>
              <w:spacing/>
              <w:ind/>
              <w:rPr/>
            </w:pPr>
            <w:r>
              <w:t xml:space="preserve">Spinoza, Ethics-centered position</w:t>
            </w:r>
            <w:r/>
          </w:p>
        </w:tc>
        <w:tc>
          <w:tcPr>
            <w:tcBorders/>
            <w:tcMar>
              <w:left w:w="70" w:type="dxa"/>
              <w:top w:w="60" w:type="dxa"/>
              <w:right w:w="70" w:type="dxa"/>
              <w:bottom w:w="60" w:type="dxa"/>
            </w:tcMar>
            <w:tcW w:w="1703" w:type="dxa"/>
            <w:vAlign w:val="top"/>
          </w:tcPr>
          <w:p>
            <w:pPr>
              <w:pStyle w:val="1297"/>
              <w:pBdr/>
              <w:spacing/>
              <w:ind/>
              <w:rPr/>
            </w:pPr>
            <w:r>
              <w:t xml:space="preserve">CORE</w:t>
            </w:r>
            <w:r/>
          </w:p>
        </w:tc>
        <w:tc>
          <w:tcPr>
            <w:tcBorders/>
            <w:tcMar>
              <w:left w:w="70" w:type="dxa"/>
              <w:top w:w="60" w:type="dxa"/>
              <w:right w:w="70" w:type="dxa"/>
              <w:bottom w:w="60" w:type="dxa"/>
            </w:tcMar>
            <w:tcW w:w="4073" w:type="dxa"/>
            <w:vAlign w:val="top"/>
          </w:tcPr>
          <w:p>
            <w:pPr>
              <w:pStyle w:val="1297"/>
              <w:pBdr/>
              <w:spacing/>
              <w:ind/>
              <w:rPr/>
            </w:pPr>
            <w:r>
              <w:t xml:space="preserve">Monism/order/freedom; potent comparator to Advaita without equivalence</w:t>
            </w:r>
            <w:r/>
          </w:p>
        </w:tc>
        <w:tc>
          <w:tcPr>
            <w:tcBorders/>
            <w:tcMar>
              <w:left w:w="70" w:type="dxa"/>
              <w:top w:w="60" w:type="dxa"/>
              <w:right w:w="70" w:type="dxa"/>
              <w:bottom w:w="60" w:type="dxa"/>
            </w:tcMar>
            <w:tcW w:w="1703" w:type="dxa"/>
            <w:vAlign w:val="top"/>
          </w:tcPr>
          <w:p>
            <w:pPr>
              <w:pStyle w:val="1297"/>
              <w:pBdr/>
              <w:spacing/>
              <w:ind/>
              <w:rPr/>
            </w:pPr>
            <w:r>
              <w:t xml:space="preserve">3, 4, 12, 14, 15, 18, 19</w:t>
            </w:r>
            <w:r/>
          </w:p>
        </w:tc>
        <w:tc>
          <w:tcPr>
            <w:tcBorders/>
            <w:tcMar>
              <w:left w:w="70" w:type="dxa"/>
              <w:top w:w="60" w:type="dxa"/>
              <w:right w:w="70" w:type="dxa"/>
              <w:bottom w:w="60" w:type="dxa"/>
            </w:tcMar>
            <w:tcW w:w="4147" w:type="dxa"/>
            <w:vAlign w:val="top"/>
          </w:tcPr>
          <w:p>
            <w:pPr>
              <w:pStyle w:val="1297"/>
              <w:pBdr/>
              <w:spacing/>
              <w:ind/>
              <w:rPr/>
            </w:pPr>
            <w:r>
              <w:t xml:space="preserve">—</w:t>
            </w:r>
            <w:r/>
          </w:p>
        </w:tc>
      </w:tr>
      <w:tr>
        <w:trPr>
          <w:cantSplit/>
        </w:trPr>
        <w:tc>
          <w:tcPr>
            <w:shd w:val="clear" w:color="auto" w:fill="f7f9fa"/>
            <w:tcBorders/>
            <w:tcMar>
              <w:left w:w="70" w:type="dxa"/>
              <w:top w:w="60" w:type="dxa"/>
              <w:right w:w="70" w:type="dxa"/>
              <w:bottom w:w="60" w:type="dxa"/>
            </w:tcMar>
            <w:tcW w:w="3629" w:type="dxa"/>
            <w:vAlign w:val="top"/>
          </w:tcPr>
          <w:p>
            <w:pPr>
              <w:pStyle w:val="1297"/>
              <w:pBdr/>
              <w:spacing/>
              <w:ind/>
              <w:rPr/>
            </w:pPr>
            <w:r>
              <w:t xml:space="preserve">Plotinus, Enneads-centered metaphysics</w:t>
            </w:r>
            <w:r/>
          </w:p>
        </w:tc>
        <w:tc>
          <w:tcPr>
            <w:shd w:val="clear" w:color="auto" w:fill="f7f9fa"/>
            <w:tcBorders/>
            <w:tcMar>
              <w:left w:w="70" w:type="dxa"/>
              <w:top w:w="60" w:type="dxa"/>
              <w:right w:w="70" w:type="dxa"/>
              <w:bottom w:w="60" w:type="dxa"/>
            </w:tcMar>
            <w:tcW w:w="1703" w:type="dxa"/>
            <w:vAlign w:val="top"/>
          </w:tcPr>
          <w:p>
            <w:pPr>
              <w:pStyle w:val="1297"/>
              <w:pBdr/>
              <w:spacing/>
              <w:ind/>
              <w:rPr/>
            </w:pPr>
            <w:r>
              <w:t xml:space="preserve">MAJOR COMPARATOR</w:t>
            </w:r>
            <w:r/>
          </w:p>
        </w:tc>
        <w:tc>
          <w:tcPr>
            <w:shd w:val="clear" w:color="auto" w:fill="f7f9fa"/>
            <w:tcBorders/>
            <w:tcMar>
              <w:left w:w="70" w:type="dxa"/>
              <w:top w:w="60" w:type="dxa"/>
              <w:right w:w="70" w:type="dxa"/>
              <w:bottom w:w="60" w:type="dxa"/>
            </w:tcMar>
            <w:tcW w:w="4073" w:type="dxa"/>
            <w:vAlign w:val="top"/>
          </w:tcPr>
          <w:p>
            <w:pPr>
              <w:pStyle w:val="1297"/>
              <w:pBdr/>
              <w:spacing/>
              <w:ind/>
              <w:rPr/>
            </w:pPr>
            <w:r>
              <w:t xml:space="preserve">Genealogical/structural bridge for emanation and return</w:t>
            </w:r>
            <w:r/>
          </w:p>
        </w:tc>
        <w:tc>
          <w:tcPr>
            <w:shd w:val="clear" w:color="auto" w:fill="f7f9fa"/>
            <w:tcBorders/>
            <w:tcMar>
              <w:left w:w="70" w:type="dxa"/>
              <w:top w:w="60" w:type="dxa"/>
              <w:right w:w="70" w:type="dxa"/>
              <w:bottom w:w="60" w:type="dxa"/>
            </w:tcMar>
            <w:tcW w:w="1703" w:type="dxa"/>
            <w:vAlign w:val="top"/>
          </w:tcPr>
          <w:p>
            <w:pPr>
              <w:pStyle w:val="1297"/>
              <w:pBdr/>
              <w:spacing/>
              <w:ind/>
              <w:rPr/>
            </w:pPr>
            <w:r>
              <w:t xml:space="preserve">2, 4, 5, 19</w:t>
            </w:r>
            <w:r/>
          </w:p>
        </w:tc>
        <w:tc>
          <w:tcPr>
            <w:shd w:val="clear" w:color="auto" w:fill="f7f9fa"/>
            <w:tcBorders/>
            <w:tcMar>
              <w:left w:w="70" w:type="dxa"/>
              <w:top w:w="60" w:type="dxa"/>
              <w:right w:w="70" w:type="dxa"/>
              <w:bottom w:w="60" w:type="dxa"/>
            </w:tcMar>
            <w:tcW w:w="4147" w:type="dxa"/>
            <w:vAlign w:val="top"/>
          </w:tcPr>
          <w:p>
            <w:pPr>
              <w:pStyle w:val="1297"/>
              <w:pBdr/>
              <w:spacing/>
              <w:ind/>
              <w:rPr/>
            </w:pPr>
            <w:r>
              <w:t xml:space="preserve">—</w:t>
            </w:r>
            <w:r/>
          </w:p>
        </w:tc>
      </w:tr>
      <w:tr>
        <w:trPr>
          <w:cantSplit/>
        </w:trPr>
        <w:tc>
          <w:tcPr>
            <w:tcBorders/>
            <w:tcMar>
              <w:left w:w="70" w:type="dxa"/>
              <w:top w:w="60" w:type="dxa"/>
              <w:right w:w="70" w:type="dxa"/>
              <w:bottom w:w="60" w:type="dxa"/>
            </w:tcMar>
            <w:tcW w:w="3629" w:type="dxa"/>
            <w:vAlign w:val="top"/>
          </w:tcPr>
          <w:p>
            <w:pPr>
              <w:pStyle w:val="1297"/>
              <w:pBdr/>
              <w:spacing/>
              <w:ind/>
              <w:rPr/>
            </w:pPr>
            <w:r>
              <w:t xml:space="preserve">Descartes, Meditations/Passions mind-body position</w:t>
            </w:r>
            <w:r/>
          </w:p>
        </w:tc>
        <w:tc>
          <w:tcPr>
            <w:tcBorders/>
            <w:tcMar>
              <w:left w:w="70" w:type="dxa"/>
              <w:top w:w="60" w:type="dxa"/>
              <w:right w:w="70" w:type="dxa"/>
              <w:bottom w:w="60" w:type="dxa"/>
            </w:tcMar>
            <w:tcW w:w="1703" w:type="dxa"/>
            <w:vAlign w:val="top"/>
          </w:tcPr>
          <w:p>
            <w:pPr>
              <w:pStyle w:val="1297"/>
              <w:pBdr/>
              <w:spacing/>
              <w:ind/>
              <w:rPr/>
            </w:pPr>
            <w:r>
              <w:t xml:space="preserve">MAJOR COMPARATOR</w:t>
            </w:r>
            <w:r/>
          </w:p>
        </w:tc>
        <w:tc>
          <w:tcPr>
            <w:tcBorders/>
            <w:tcMar>
              <w:left w:w="70" w:type="dxa"/>
              <w:top w:w="60" w:type="dxa"/>
              <w:right w:w="70" w:type="dxa"/>
              <w:bottom w:w="60" w:type="dxa"/>
            </w:tcMar>
            <w:tcW w:w="4073" w:type="dxa"/>
            <w:vAlign w:val="top"/>
          </w:tcPr>
          <w:p>
            <w:pPr>
              <w:pStyle w:val="1297"/>
              <w:pBdr/>
              <w:spacing/>
              <w:ind/>
              <w:rPr/>
            </w:pPr>
            <w:r>
              <w:t xml:space="preserve">Mind/body and subjecthood benchmark</w:t>
            </w:r>
            <w:r/>
          </w:p>
        </w:tc>
        <w:tc>
          <w:tcPr>
            <w:tcBorders/>
            <w:tcMar>
              <w:left w:w="70" w:type="dxa"/>
              <w:top w:w="60" w:type="dxa"/>
              <w:right w:w="70" w:type="dxa"/>
              <w:bottom w:w="60" w:type="dxa"/>
            </w:tcMar>
            <w:tcW w:w="1703" w:type="dxa"/>
            <w:vAlign w:val="top"/>
          </w:tcPr>
          <w:p>
            <w:pPr>
              <w:pStyle w:val="1297"/>
              <w:pBdr/>
              <w:spacing/>
              <w:ind/>
              <w:rPr/>
            </w:pPr>
            <w:r>
              <w:t xml:space="preserve">8, 9</w:t>
            </w:r>
            <w:r/>
          </w:p>
        </w:tc>
        <w:tc>
          <w:tcPr>
            <w:tcBorders/>
            <w:tcMar>
              <w:left w:w="70" w:type="dxa"/>
              <w:top w:w="60" w:type="dxa"/>
              <w:right w:w="70" w:type="dxa"/>
              <w:bottom w:w="60" w:type="dxa"/>
            </w:tcMar>
            <w:tcW w:w="4147" w:type="dxa"/>
            <w:vAlign w:val="top"/>
          </w:tcPr>
          <w:p>
            <w:pPr>
              <w:pStyle w:val="1297"/>
              <w:pBdr/>
              <w:spacing/>
              <w:ind/>
              <w:rPr/>
            </w:pPr>
            <w:r>
              <w:t xml:space="preserve">—</w:t>
            </w:r>
            <w:r/>
          </w:p>
        </w:tc>
      </w:tr>
      <w:tr>
        <w:trPr>
          <w:cantSplit/>
        </w:trPr>
        <w:tc>
          <w:tcPr>
            <w:shd w:val="clear" w:color="auto" w:fill="f7f9fa"/>
            <w:tcBorders/>
            <w:tcMar>
              <w:left w:w="70" w:type="dxa"/>
              <w:top w:w="60" w:type="dxa"/>
              <w:right w:w="70" w:type="dxa"/>
              <w:bottom w:w="60" w:type="dxa"/>
            </w:tcMar>
            <w:tcW w:w="3629" w:type="dxa"/>
            <w:vAlign w:val="top"/>
          </w:tcPr>
          <w:p>
            <w:pPr>
              <w:pStyle w:val="1297"/>
              <w:pBdr/>
              <w:spacing/>
              <w:ind/>
              <w:rPr/>
            </w:pPr>
            <w:r>
              <w:t xml:space="preserve">Leibniz, mature monadology</w:t>
            </w:r>
            <w:r/>
          </w:p>
        </w:tc>
        <w:tc>
          <w:tcPr>
            <w:shd w:val="clear" w:color="auto" w:fill="f7f9fa"/>
            <w:tcBorders/>
            <w:tcMar>
              <w:left w:w="70" w:type="dxa"/>
              <w:top w:w="60" w:type="dxa"/>
              <w:right w:w="70" w:type="dxa"/>
              <w:bottom w:w="60" w:type="dxa"/>
            </w:tcMar>
            <w:tcW w:w="1703" w:type="dxa"/>
            <w:vAlign w:val="top"/>
          </w:tcPr>
          <w:p>
            <w:pPr>
              <w:pStyle w:val="1297"/>
              <w:pBdr/>
              <w:spacing/>
              <w:ind/>
              <w:rPr/>
            </w:pPr>
            <w:r>
              <w:t xml:space="preserve">MAJOR COMPARATOR</w:t>
            </w:r>
            <w:r/>
          </w:p>
        </w:tc>
        <w:tc>
          <w:tcPr>
            <w:shd w:val="clear" w:color="auto" w:fill="f7f9fa"/>
            <w:tcBorders/>
            <w:tcMar>
              <w:left w:w="70" w:type="dxa"/>
              <w:top w:w="60" w:type="dxa"/>
              <w:right w:w="70" w:type="dxa"/>
              <w:bottom w:w="60" w:type="dxa"/>
            </w:tcMar>
            <w:tcW w:w="4073" w:type="dxa"/>
            <w:vAlign w:val="top"/>
          </w:tcPr>
          <w:p>
            <w:pPr>
              <w:pStyle w:val="1297"/>
              <w:pBdr/>
              <w:spacing/>
              <w:ind/>
              <w:rPr/>
            </w:pPr>
            <w:r>
              <w:t xml:space="preserve">Distributed perception; causal architecture; comparison with panpsychism</w:t>
            </w:r>
            <w:r/>
          </w:p>
        </w:tc>
        <w:tc>
          <w:tcPr>
            <w:shd w:val="clear" w:color="auto" w:fill="f7f9fa"/>
            <w:tcBorders/>
            <w:tcMar>
              <w:left w:w="70" w:type="dxa"/>
              <w:top w:w="60" w:type="dxa"/>
              <w:right w:w="70" w:type="dxa"/>
              <w:bottom w:w="60" w:type="dxa"/>
            </w:tcMar>
            <w:tcW w:w="1703" w:type="dxa"/>
            <w:vAlign w:val="top"/>
          </w:tcPr>
          <w:p>
            <w:pPr>
              <w:pStyle w:val="1297"/>
              <w:pBdr/>
              <w:spacing/>
              <w:ind/>
              <w:rPr/>
            </w:pPr>
            <w:r>
              <w:t xml:space="preserve">2, 7, 10, 19</w:t>
            </w:r>
            <w:r/>
          </w:p>
        </w:tc>
        <w:tc>
          <w:tcPr>
            <w:shd w:val="clear" w:color="auto" w:fill="f7f9fa"/>
            <w:tcBorders/>
            <w:tcMar>
              <w:left w:w="70" w:type="dxa"/>
              <w:top w:w="60" w:type="dxa"/>
              <w:right w:w="70" w:type="dxa"/>
              <w:bottom w:w="60" w:type="dxa"/>
            </w:tcMar>
            <w:tcW w:w="4147" w:type="dxa"/>
            <w:vAlign w:val="top"/>
          </w:tcPr>
          <w:p>
            <w:pPr>
              <w:pStyle w:val="1297"/>
              <w:pBdr/>
              <w:spacing/>
              <w:ind/>
              <w:rPr/>
            </w:pPr>
            <w:r>
              <w:t xml:space="preserve">—</w:t>
            </w:r>
            <w:r/>
          </w:p>
        </w:tc>
      </w:tr>
      <w:tr>
        <w:trPr>
          <w:cantSplit/>
        </w:trPr>
        <w:tc>
          <w:tcPr>
            <w:tcBorders/>
            <w:tcMar>
              <w:left w:w="70" w:type="dxa"/>
              <w:top w:w="60" w:type="dxa"/>
              <w:right w:w="70" w:type="dxa"/>
              <w:bottom w:w="60" w:type="dxa"/>
            </w:tcMar>
            <w:tcW w:w="3629" w:type="dxa"/>
            <w:vAlign w:val="top"/>
          </w:tcPr>
          <w:p>
            <w:pPr>
              <w:pStyle w:val="1297"/>
              <w:pBdr/>
              <w:spacing/>
              <w:ind/>
              <w:rPr/>
            </w:pPr>
            <w:r>
              <w:t xml:space="preserve">Whitehead, Process and Reality position</w:t>
            </w:r>
            <w:r/>
          </w:p>
        </w:tc>
        <w:tc>
          <w:tcPr>
            <w:tcBorders/>
            <w:tcMar>
              <w:left w:w="70" w:type="dxa"/>
              <w:top w:w="60" w:type="dxa"/>
              <w:right w:w="70" w:type="dxa"/>
              <w:bottom w:w="60" w:type="dxa"/>
            </w:tcMar>
            <w:tcW w:w="1703" w:type="dxa"/>
            <w:vAlign w:val="top"/>
          </w:tcPr>
          <w:p>
            <w:pPr>
              <w:pStyle w:val="1297"/>
              <w:pBdr/>
              <w:spacing/>
              <w:ind/>
              <w:rPr/>
            </w:pPr>
            <w:r>
              <w:t xml:space="preserve">MAJOR COMPARATOR</w:t>
            </w:r>
            <w:r/>
          </w:p>
        </w:tc>
        <w:tc>
          <w:tcPr>
            <w:tcBorders/>
            <w:tcMar>
              <w:left w:w="70" w:type="dxa"/>
              <w:top w:w="60" w:type="dxa"/>
              <w:right w:w="70" w:type="dxa"/>
              <w:bottom w:w="60" w:type="dxa"/>
            </w:tcMar>
            <w:tcW w:w="4073" w:type="dxa"/>
            <w:vAlign w:val="top"/>
          </w:tcPr>
          <w:p>
            <w:pPr>
              <w:pStyle w:val="1297"/>
              <w:pBdr/>
              <w:spacing/>
              <w:ind/>
              <w:rPr/>
            </w:pPr>
            <w:r>
              <w:t xml:space="preserve">Process ontology; consciousness/fundamentality; world relation</w:t>
            </w:r>
            <w:r/>
          </w:p>
        </w:tc>
        <w:tc>
          <w:tcPr>
            <w:tcBorders/>
            <w:tcMar>
              <w:left w:w="70" w:type="dxa"/>
              <w:top w:w="60" w:type="dxa"/>
              <w:right w:w="70" w:type="dxa"/>
              <w:bottom w:w="60" w:type="dxa"/>
            </w:tcMar>
            <w:tcW w:w="1703" w:type="dxa"/>
            <w:vAlign w:val="top"/>
          </w:tcPr>
          <w:p>
            <w:pPr>
              <w:pStyle w:val="1297"/>
              <w:pBdr/>
              <w:spacing/>
              <w:ind/>
              <w:rPr/>
            </w:pPr>
            <w:r>
              <w:t xml:space="preserve">7, 10, 19</w:t>
            </w:r>
            <w:r/>
          </w:p>
        </w:tc>
        <w:tc>
          <w:tcPr>
            <w:tcBorders/>
            <w:tcMar>
              <w:left w:w="70" w:type="dxa"/>
              <w:top w:w="60" w:type="dxa"/>
              <w:right w:w="70" w:type="dxa"/>
              <w:bottom w:w="60" w:type="dxa"/>
            </w:tcMar>
            <w:tcW w:w="4147" w:type="dxa"/>
            <w:vAlign w:val="top"/>
          </w:tcPr>
          <w:p>
            <w:pPr>
              <w:pStyle w:val="1297"/>
              <w:pBdr/>
              <w:spacing/>
              <w:ind/>
              <w:rPr/>
            </w:pPr>
            <w:r>
              <w:t xml:space="preserve">—</w:t>
            </w:r>
            <w:r/>
          </w:p>
        </w:tc>
      </w:tr>
      <w:tr>
        <w:trPr>
          <w:cantSplit/>
        </w:trPr>
        <w:tc>
          <w:tcPr>
            <w:shd w:val="clear" w:color="auto" w:fill="f7f9fa"/>
            <w:tcBorders/>
            <w:tcMar>
              <w:left w:w="70" w:type="dxa"/>
              <w:top w:w="60" w:type="dxa"/>
              <w:right w:w="70" w:type="dxa"/>
              <w:bottom w:w="60" w:type="dxa"/>
            </w:tcMar>
            <w:tcW w:w="3629" w:type="dxa"/>
            <w:vAlign w:val="top"/>
          </w:tcPr>
          <w:p>
            <w:pPr>
              <w:pStyle w:val="1297"/>
              <w:pBdr/>
              <w:spacing/>
              <w:ind/>
              <w:rPr/>
            </w:pPr>
            <w:r>
              <w:t xml:space="preserve">Epicurean atomism, Lucretius/Epicurus bounded synthesis</w:t>
            </w:r>
            <w:r/>
          </w:p>
        </w:tc>
        <w:tc>
          <w:tcPr>
            <w:shd w:val="clear" w:color="auto" w:fill="f7f9fa"/>
            <w:tcBorders/>
            <w:tcMar>
              <w:left w:w="70" w:type="dxa"/>
              <w:top w:w="60" w:type="dxa"/>
              <w:right w:w="70" w:type="dxa"/>
              <w:bottom w:w="60" w:type="dxa"/>
            </w:tcMar>
            <w:tcW w:w="1703" w:type="dxa"/>
            <w:vAlign w:val="top"/>
          </w:tcPr>
          <w:p>
            <w:pPr>
              <w:pStyle w:val="1297"/>
              <w:pBdr/>
              <w:spacing/>
              <w:ind/>
              <w:rPr/>
            </w:pPr>
            <w:r>
              <w:t xml:space="preserve">MAJOR COMPARATOR</w:t>
            </w:r>
            <w:r/>
          </w:p>
        </w:tc>
        <w:tc>
          <w:tcPr>
            <w:shd w:val="clear" w:color="auto" w:fill="f7f9fa"/>
            <w:tcBorders/>
            <w:tcMar>
              <w:left w:w="70" w:type="dxa"/>
              <w:top w:w="60" w:type="dxa"/>
              <w:right w:w="70" w:type="dxa"/>
              <w:bottom w:w="60" w:type="dxa"/>
            </w:tcMar>
            <w:tcW w:w="4073" w:type="dxa"/>
            <w:vAlign w:val="top"/>
          </w:tcPr>
          <w:p>
            <w:pPr>
              <w:pStyle w:val="1297"/>
              <w:pBdr/>
              <w:spacing/>
              <w:ind/>
              <w:rPr/>
            </w:pPr>
            <w:r>
              <w:t xml:space="preserve">Ancient naturalism; death; anti-teleology</w:t>
            </w:r>
            <w:r/>
          </w:p>
        </w:tc>
        <w:tc>
          <w:tcPr>
            <w:shd w:val="clear" w:color="auto" w:fill="f7f9fa"/>
            <w:tcBorders/>
            <w:tcMar>
              <w:left w:w="70" w:type="dxa"/>
              <w:top w:w="60" w:type="dxa"/>
              <w:right w:w="70" w:type="dxa"/>
              <w:bottom w:w="60" w:type="dxa"/>
            </w:tcMar>
            <w:tcW w:w="1703" w:type="dxa"/>
            <w:vAlign w:val="top"/>
          </w:tcPr>
          <w:p>
            <w:pPr>
              <w:pStyle w:val="1297"/>
              <w:pBdr/>
              <w:spacing/>
              <w:ind/>
              <w:rPr/>
            </w:pPr>
            <w:r>
              <w:t xml:space="preserve">5, 6, 12, 14, 16, 17, 18</w:t>
            </w:r>
            <w:r/>
          </w:p>
        </w:tc>
        <w:tc>
          <w:tcPr>
            <w:shd w:val="clear" w:color="auto" w:fill="f7f9fa"/>
            <w:tcBorders/>
            <w:tcMar>
              <w:left w:w="70" w:type="dxa"/>
              <w:top w:w="60" w:type="dxa"/>
              <w:right w:w="70" w:type="dxa"/>
              <w:bottom w:w="60" w:type="dxa"/>
            </w:tcMar>
            <w:tcW w:w="4147" w:type="dxa"/>
            <w:vAlign w:val="top"/>
          </w:tcPr>
          <w:p>
            <w:pPr>
              <w:pStyle w:val="1297"/>
              <w:pBdr/>
              <w:spacing/>
              <w:ind/>
              <w:rPr/>
            </w:pPr>
            <w:r>
              <w:t xml:space="preserve">—</w:t>
            </w:r>
            <w:r/>
          </w:p>
        </w:tc>
      </w:tr>
      <w:tr>
        <w:trPr>
          <w:cantSplit/>
        </w:trPr>
        <w:tc>
          <w:tcPr>
            <w:tcBorders/>
            <w:tcMar>
              <w:left w:w="70" w:type="dxa"/>
              <w:top w:w="60" w:type="dxa"/>
              <w:right w:w="70" w:type="dxa"/>
              <w:bottom w:w="60" w:type="dxa"/>
            </w:tcMar>
            <w:tcW w:w="3629" w:type="dxa"/>
            <w:vAlign w:val="top"/>
          </w:tcPr>
          <w:p>
            <w:pPr>
              <w:pStyle w:val="1297"/>
              <w:pBdr/>
              <w:spacing/>
              <w:ind/>
              <w:rPr/>
            </w:pPr>
            <w:r>
              <w:t xml:space="preserve">Chrysippan Stoic causal/agency synthesis</w:t>
            </w:r>
            <w:r/>
          </w:p>
        </w:tc>
        <w:tc>
          <w:tcPr>
            <w:tcBorders/>
            <w:tcMar>
              <w:left w:w="70" w:type="dxa"/>
              <w:top w:w="60" w:type="dxa"/>
              <w:right w:w="70" w:type="dxa"/>
              <w:bottom w:w="60" w:type="dxa"/>
            </w:tcMar>
            <w:tcW w:w="1703" w:type="dxa"/>
            <w:vAlign w:val="top"/>
          </w:tcPr>
          <w:p>
            <w:pPr>
              <w:pStyle w:val="1297"/>
              <w:pBdr/>
              <w:spacing/>
              <w:ind/>
              <w:rPr/>
            </w:pPr>
            <w:r>
              <w:t xml:space="preserve">MAJOR COMPARATOR</w:t>
            </w:r>
            <w:r/>
          </w:p>
        </w:tc>
        <w:tc>
          <w:tcPr>
            <w:tcBorders/>
            <w:tcMar>
              <w:left w:w="70" w:type="dxa"/>
              <w:top w:w="60" w:type="dxa"/>
              <w:right w:w="70" w:type="dxa"/>
              <w:bottom w:w="60" w:type="dxa"/>
            </w:tcMar>
            <w:tcW w:w="4073" w:type="dxa"/>
            <w:vAlign w:val="top"/>
          </w:tcPr>
          <w:p>
            <w:pPr>
              <w:pStyle w:val="1297"/>
              <w:pBdr/>
              <w:spacing/>
              <w:ind/>
              <w:rPr/>
            </w:pPr>
            <w:r>
              <w:t xml:space="preserve">Fate/freedom; world participation</w:t>
            </w:r>
            <w:r/>
          </w:p>
        </w:tc>
        <w:tc>
          <w:tcPr>
            <w:tcBorders/>
            <w:tcMar>
              <w:left w:w="70" w:type="dxa"/>
              <w:top w:w="60" w:type="dxa"/>
              <w:right w:w="70" w:type="dxa"/>
              <w:bottom w:w="60" w:type="dxa"/>
            </w:tcMar>
            <w:tcW w:w="1703" w:type="dxa"/>
            <w:vAlign w:val="top"/>
          </w:tcPr>
          <w:p>
            <w:pPr>
              <w:pStyle w:val="1297"/>
              <w:pBdr/>
              <w:spacing/>
              <w:ind/>
              <w:rPr/>
            </w:pPr>
            <w:r>
              <w:t xml:space="preserve">14, 15</w:t>
            </w:r>
            <w:r/>
          </w:p>
        </w:tc>
        <w:tc>
          <w:tcPr>
            <w:tcBorders/>
            <w:tcMar>
              <w:left w:w="70" w:type="dxa"/>
              <w:top w:w="60" w:type="dxa"/>
              <w:right w:w="70" w:type="dxa"/>
              <w:bottom w:w="60" w:type="dxa"/>
            </w:tcMar>
            <w:tcW w:w="4147" w:type="dxa"/>
            <w:vAlign w:val="top"/>
          </w:tcPr>
          <w:p>
            <w:pPr>
              <w:pStyle w:val="1297"/>
              <w:pBdr/>
              <w:spacing/>
              <w:ind/>
              <w:rPr/>
            </w:pPr>
            <w:r>
              <w:t xml:space="preserve">—</w:t>
            </w:r>
            <w:r/>
          </w:p>
        </w:tc>
      </w:tr>
      <w:tr>
        <w:trPr>
          <w:cantSplit/>
        </w:trPr>
        <w:tc>
          <w:tcPr>
            <w:shd w:val="clear" w:color="auto" w:fill="f7f9fa"/>
            <w:tcBorders/>
            <w:tcMar>
              <w:left w:w="70" w:type="dxa"/>
              <w:top w:w="60" w:type="dxa"/>
              <w:right w:w="70" w:type="dxa"/>
              <w:bottom w:w="60" w:type="dxa"/>
            </w:tcMar>
            <w:tcW w:w="3629" w:type="dxa"/>
            <w:vAlign w:val="top"/>
          </w:tcPr>
          <w:p>
            <w:pPr>
              <w:pStyle w:val="1297"/>
              <w:pBdr/>
              <w:spacing/>
              <w:ind/>
              <w:rPr/>
            </w:pPr>
            <w:r>
              <w:t xml:space="preserve">al-Ghazālī, Tahāfut causal critique</w:t>
            </w:r>
            <w:r/>
          </w:p>
        </w:tc>
        <w:tc>
          <w:tcPr>
            <w:shd w:val="clear" w:color="auto" w:fill="f7f9fa"/>
            <w:tcBorders/>
            <w:tcMar>
              <w:left w:w="70" w:type="dxa"/>
              <w:top w:w="60" w:type="dxa"/>
              <w:right w:w="70" w:type="dxa"/>
              <w:bottom w:w="60" w:type="dxa"/>
            </w:tcMar>
            <w:tcW w:w="1703" w:type="dxa"/>
            <w:vAlign w:val="top"/>
          </w:tcPr>
          <w:p>
            <w:pPr>
              <w:pStyle w:val="1297"/>
              <w:pBdr/>
              <w:spacing/>
              <w:ind/>
              <w:rPr/>
            </w:pPr>
            <w:r>
              <w:t xml:space="preserve">MAJOR COMPARATOR</w:t>
            </w:r>
            <w:r/>
          </w:p>
        </w:tc>
        <w:tc>
          <w:tcPr>
            <w:shd w:val="clear" w:color="auto" w:fill="f7f9fa"/>
            <w:tcBorders/>
            <w:tcMar>
              <w:left w:w="70" w:type="dxa"/>
              <w:top w:w="60" w:type="dxa"/>
              <w:right w:w="70" w:type="dxa"/>
              <w:bottom w:w="60" w:type="dxa"/>
            </w:tcMar>
            <w:tcW w:w="4073" w:type="dxa"/>
            <w:vAlign w:val="top"/>
          </w:tcPr>
          <w:p>
            <w:pPr>
              <w:pStyle w:val="1297"/>
              <w:pBdr/>
              <w:spacing/>
              <w:ind/>
              <w:rPr/>
            </w:pPr>
            <w:r>
              <w:t xml:space="preserve">Causation/agency fault line and Avicennan genealogy</w:t>
            </w:r>
            <w:r/>
          </w:p>
        </w:tc>
        <w:tc>
          <w:tcPr>
            <w:shd w:val="clear" w:color="auto" w:fill="f7f9fa"/>
            <w:tcBorders/>
            <w:tcMar>
              <w:left w:w="70" w:type="dxa"/>
              <w:top w:w="60" w:type="dxa"/>
              <w:right w:w="70" w:type="dxa"/>
              <w:bottom w:w="60" w:type="dxa"/>
            </w:tcMar>
            <w:tcW w:w="1703" w:type="dxa"/>
            <w:vAlign w:val="top"/>
          </w:tcPr>
          <w:p>
            <w:pPr>
              <w:pStyle w:val="1297"/>
              <w:pBdr/>
              <w:spacing/>
              <w:ind/>
              <w:rPr/>
            </w:pPr>
            <w:r>
              <w:t xml:space="preserve">14</w:t>
            </w:r>
            <w:r/>
          </w:p>
        </w:tc>
        <w:tc>
          <w:tcPr>
            <w:shd w:val="clear" w:color="auto" w:fill="f7f9fa"/>
            <w:tcBorders/>
            <w:tcMar>
              <w:left w:w="70" w:type="dxa"/>
              <w:top w:w="60" w:type="dxa"/>
              <w:right w:w="70" w:type="dxa"/>
              <w:bottom w:w="60" w:type="dxa"/>
            </w:tcMar>
            <w:tcW w:w="4147" w:type="dxa"/>
            <w:vAlign w:val="top"/>
          </w:tcPr>
          <w:p>
            <w:pPr>
              <w:pStyle w:val="1297"/>
              <w:pBdr/>
              <w:spacing/>
              <w:ind/>
              <w:rPr/>
            </w:pPr>
            <w:r>
              <w:t xml:space="preserve">—</w:t>
            </w:r>
            <w:r/>
          </w:p>
        </w:tc>
      </w:tr>
      <w:tr>
        <w:trPr>
          <w:cantSplit/>
        </w:trPr>
        <w:tc>
          <w:tcPr>
            <w:tcBorders/>
            <w:tcMar>
              <w:left w:w="70" w:type="dxa"/>
              <w:top w:w="60" w:type="dxa"/>
              <w:right w:w="70" w:type="dxa"/>
              <w:bottom w:w="60" w:type="dxa"/>
            </w:tcMar>
            <w:tcW w:w="3629" w:type="dxa"/>
            <w:vAlign w:val="top"/>
          </w:tcPr>
          <w:p>
            <w:pPr>
              <w:pStyle w:val="1297"/>
              <w:pBdr/>
              <w:spacing/>
              <w:ind/>
              <w:rPr/>
            </w:pPr>
            <w:r>
              <w:t xml:space="preserve">Utpaladeva, Īśvarapratyabhijñā position</w:t>
            </w:r>
            <w:r/>
          </w:p>
        </w:tc>
        <w:tc>
          <w:tcPr>
            <w:tcBorders/>
            <w:tcMar>
              <w:left w:w="70" w:type="dxa"/>
              <w:top w:w="60" w:type="dxa"/>
              <w:right w:w="70" w:type="dxa"/>
              <w:bottom w:w="60" w:type="dxa"/>
            </w:tcMar>
            <w:tcW w:w="1703" w:type="dxa"/>
            <w:vAlign w:val="top"/>
          </w:tcPr>
          <w:p>
            <w:pPr>
              <w:pStyle w:val="1297"/>
              <w:pBdr/>
              <w:spacing/>
              <w:ind/>
              <w:rPr/>
            </w:pPr>
            <w:r>
              <w:t xml:space="preserve">MAJOR COMPARATOR</w:t>
            </w:r>
            <w:r/>
          </w:p>
        </w:tc>
        <w:tc>
          <w:tcPr>
            <w:tcBorders/>
            <w:tcMar>
              <w:left w:w="70" w:type="dxa"/>
              <w:top w:w="60" w:type="dxa"/>
              <w:right w:w="70" w:type="dxa"/>
              <w:bottom w:w="60" w:type="dxa"/>
            </w:tcMar>
            <w:tcW w:w="4073" w:type="dxa"/>
            <w:vAlign w:val="top"/>
          </w:tcPr>
          <w:p>
            <w:pPr>
              <w:pStyle w:val="1297"/>
              <w:pBdr/>
              <w:spacing/>
              <w:ind/>
              <w:rPr/>
            </w:pPr>
            <w:r>
              <w:t xml:space="preserve">Fundamental consciousness + agency; contrast with Advaita and micropsychism</w:t>
            </w:r>
            <w:r/>
          </w:p>
        </w:tc>
        <w:tc>
          <w:tcPr>
            <w:tcBorders/>
            <w:tcMar>
              <w:left w:w="70" w:type="dxa"/>
              <w:top w:w="60" w:type="dxa"/>
              <w:right w:w="70" w:type="dxa"/>
              <w:bottom w:w="60" w:type="dxa"/>
            </w:tcMar>
            <w:tcW w:w="1703" w:type="dxa"/>
            <w:vAlign w:val="top"/>
          </w:tcPr>
          <w:p>
            <w:pPr>
              <w:pStyle w:val="1297"/>
              <w:pBdr/>
              <w:spacing/>
              <w:ind/>
              <w:rPr/>
            </w:pPr>
            <w:r>
              <w:t xml:space="preserve">7, 19</w:t>
            </w:r>
            <w:r/>
          </w:p>
        </w:tc>
        <w:tc>
          <w:tcPr>
            <w:tcBorders/>
            <w:tcMar>
              <w:left w:w="70" w:type="dxa"/>
              <w:top w:w="60" w:type="dxa"/>
              <w:right w:w="70" w:type="dxa"/>
              <w:bottom w:w="60" w:type="dxa"/>
            </w:tcMar>
            <w:tcW w:w="4147" w:type="dxa"/>
            <w:vAlign w:val="top"/>
          </w:tcPr>
          <w:p>
            <w:pPr>
              <w:pStyle w:val="1297"/>
              <w:pBdr/>
              <w:spacing/>
              <w:ind/>
              <w:rPr/>
            </w:pPr>
            <w:r>
              <w:t xml:space="preserve">—</w:t>
            </w:r>
            <w:r/>
          </w:p>
        </w:tc>
      </w:tr>
      <w:tr>
        <w:trPr>
          <w:cantSplit/>
        </w:trPr>
        <w:tc>
          <w:tcPr>
            <w:shd w:val="clear" w:color="auto" w:fill="f7f9fa"/>
            <w:tcBorders/>
            <w:tcMar>
              <w:left w:w="70" w:type="dxa"/>
              <w:top w:w="60" w:type="dxa"/>
              <w:right w:w="70" w:type="dxa"/>
              <w:bottom w:w="60" w:type="dxa"/>
            </w:tcMar>
            <w:tcW w:w="3629" w:type="dxa"/>
            <w:vAlign w:val="top"/>
          </w:tcPr>
          <w:p>
            <w:pPr>
              <w:pStyle w:val="1297"/>
              <w:pBdr/>
              <w:spacing/>
              <w:ind/>
              <w:rPr/>
            </w:pPr>
            <w:r>
              <w:t xml:space="preserve">Mencius, Mengzi moral-personhood position</w:t>
            </w:r>
            <w:r/>
          </w:p>
        </w:tc>
        <w:tc>
          <w:tcPr>
            <w:shd w:val="clear" w:color="auto" w:fill="f7f9fa"/>
            <w:tcBorders/>
            <w:tcMar>
              <w:left w:w="70" w:type="dxa"/>
              <w:top w:w="60" w:type="dxa"/>
              <w:right w:w="70" w:type="dxa"/>
              <w:bottom w:w="60" w:type="dxa"/>
            </w:tcMar>
            <w:tcW w:w="1703" w:type="dxa"/>
            <w:vAlign w:val="top"/>
          </w:tcPr>
          <w:p>
            <w:pPr>
              <w:pStyle w:val="1297"/>
              <w:pBdr/>
              <w:spacing/>
              <w:ind/>
              <w:rPr/>
            </w:pPr>
            <w:r>
              <w:t xml:space="preserve">MAJOR COMPARATOR</w:t>
            </w:r>
            <w:r/>
          </w:p>
        </w:tc>
        <w:tc>
          <w:tcPr>
            <w:shd w:val="clear" w:color="auto" w:fill="f7f9fa"/>
            <w:tcBorders/>
            <w:tcMar>
              <w:left w:w="70" w:type="dxa"/>
              <w:top w:w="60" w:type="dxa"/>
              <w:right w:w="70" w:type="dxa"/>
              <w:bottom w:w="60" w:type="dxa"/>
            </w:tcMar>
            <w:tcW w:w="4073" w:type="dxa"/>
            <w:vAlign w:val="top"/>
          </w:tcPr>
          <w:p>
            <w:pPr>
              <w:pStyle w:val="1297"/>
              <w:pBdr/>
              <w:spacing/>
              <w:ind/>
              <w:rPr/>
            </w:pPr>
            <w:r>
              <w:t xml:space="preserve">Personhood/value/praxis; comparator to Zhu Xi</w:t>
            </w:r>
            <w:r/>
          </w:p>
        </w:tc>
        <w:tc>
          <w:tcPr>
            <w:shd w:val="clear" w:color="auto" w:fill="f7f9fa"/>
            <w:tcBorders/>
            <w:tcMar>
              <w:left w:w="70" w:type="dxa"/>
              <w:top w:w="60" w:type="dxa"/>
              <w:right w:w="70" w:type="dxa"/>
              <w:bottom w:w="60" w:type="dxa"/>
            </w:tcMar>
            <w:tcW w:w="1703" w:type="dxa"/>
            <w:vAlign w:val="top"/>
          </w:tcPr>
          <w:p>
            <w:pPr>
              <w:pStyle w:val="1297"/>
              <w:pBdr/>
              <w:spacing/>
              <w:ind/>
              <w:rPr/>
            </w:pPr>
            <w:r>
              <w:t xml:space="preserve">Digital/reference; no current primary print chapter</w:t>
            </w:r>
            <w:r/>
          </w:p>
        </w:tc>
        <w:tc>
          <w:tcPr>
            <w:shd w:val="clear" w:color="auto" w:fill="f7f9fa"/>
            <w:tcBorders/>
            <w:tcMar>
              <w:left w:w="70" w:type="dxa"/>
              <w:top w:w="60" w:type="dxa"/>
              <w:right w:w="70" w:type="dxa"/>
              <w:bottom w:w="60" w:type="dxa"/>
            </w:tcMar>
            <w:tcW w:w="4147" w:type="dxa"/>
            <w:vAlign w:val="top"/>
          </w:tcPr>
          <w:p>
            <w:pPr>
              <w:pStyle w:val="1297"/>
              <w:pBdr/>
              <w:spacing/>
              <w:ind/>
              <w:rPr/>
            </w:pPr>
            <w:r>
              <w:t xml:space="preserve">—</w:t>
            </w:r>
            <w:r/>
          </w:p>
        </w:tc>
      </w:tr>
      <w:tr>
        <w:trPr>
          <w:cantSplit/>
        </w:trPr>
        <w:tc>
          <w:tcPr>
            <w:tcBorders/>
            <w:tcMar>
              <w:left w:w="70" w:type="dxa"/>
              <w:top w:w="60" w:type="dxa"/>
              <w:right w:w="70" w:type="dxa"/>
              <w:bottom w:w="60" w:type="dxa"/>
            </w:tcMar>
            <w:tcW w:w="3629" w:type="dxa"/>
            <w:vAlign w:val="top"/>
          </w:tcPr>
          <w:p>
            <w:pPr>
              <w:pStyle w:val="1297"/>
              <w:pBdr/>
              <w:spacing/>
              <w:ind/>
              <w:rPr/>
            </w:pPr>
            <w:r>
              <w:t xml:space="preserve">Wiredu–Gyekye debate on Akan personhood, explicitly bounded modern philosophical reconstruction</w:t>
            </w:r>
            <w:r/>
          </w:p>
        </w:tc>
        <w:tc>
          <w:tcPr>
            <w:tcBorders/>
            <w:tcMar>
              <w:left w:w="70" w:type="dxa"/>
              <w:top w:w="60" w:type="dxa"/>
              <w:right w:w="70" w:type="dxa"/>
              <w:bottom w:w="60" w:type="dxa"/>
            </w:tcMar>
            <w:tcW w:w="1703" w:type="dxa"/>
            <w:vAlign w:val="top"/>
          </w:tcPr>
          <w:p>
            <w:pPr>
              <w:pStyle w:val="1297"/>
              <w:pBdr/>
              <w:spacing/>
              <w:ind/>
              <w:rPr/>
            </w:pPr>
            <w:r>
              <w:t xml:space="preserve">MAJOR COMPARATOR</w:t>
            </w:r>
            <w:r/>
          </w:p>
        </w:tc>
        <w:tc>
          <w:tcPr>
            <w:tcBorders/>
            <w:tcMar>
              <w:left w:w="70" w:type="dxa"/>
              <w:top w:w="60" w:type="dxa"/>
              <w:right w:w="70" w:type="dxa"/>
              <w:bottom w:w="60" w:type="dxa"/>
            </w:tcMar>
            <w:tcW w:w="4073" w:type="dxa"/>
            <w:vAlign w:val="top"/>
          </w:tcPr>
          <w:p>
            <w:pPr>
              <w:pStyle w:val="1297"/>
              <w:pBdr/>
              <w:spacing/>
              <w:ind/>
              <w:rPr/>
            </w:pPr>
            <w:r>
              <w:t xml:space="preserve">Personhood architecture; internal scholarly disagreement</w:t>
            </w:r>
            <w:r/>
          </w:p>
        </w:tc>
        <w:tc>
          <w:tcPr>
            <w:tcBorders/>
            <w:tcMar>
              <w:left w:w="70" w:type="dxa"/>
              <w:top w:w="60" w:type="dxa"/>
              <w:right w:w="70" w:type="dxa"/>
              <w:bottom w:w="60" w:type="dxa"/>
            </w:tcMar>
            <w:tcW w:w="1703" w:type="dxa"/>
            <w:vAlign w:val="top"/>
          </w:tcPr>
          <w:p>
            <w:pPr>
              <w:pStyle w:val="1297"/>
              <w:pBdr/>
              <w:spacing/>
              <w:ind/>
              <w:rPr/>
            </w:pPr>
            <w:r>
              <w:t xml:space="preserve">10</w:t>
            </w:r>
            <w:r/>
          </w:p>
        </w:tc>
        <w:tc>
          <w:tcPr>
            <w:tcBorders/>
            <w:tcMar>
              <w:left w:w="70" w:type="dxa"/>
              <w:top w:w="60" w:type="dxa"/>
              <w:right w:w="70" w:type="dxa"/>
              <w:bottom w:w="60" w:type="dxa"/>
            </w:tcMar>
            <w:tcW w:w="4147" w:type="dxa"/>
            <w:vAlign w:val="top"/>
          </w:tcPr>
          <w:p>
            <w:pPr>
              <w:pStyle w:val="1297"/>
              <w:pBdr/>
              <w:spacing/>
              <w:ind/>
              <w:rPr/>
            </w:pPr>
            <w:r>
              <w:t xml:space="preserve">—</w:t>
            </w:r>
            <w:r/>
          </w:p>
        </w:tc>
      </w:tr>
      <w:tr>
        <w:trPr>
          <w:cantSplit/>
        </w:trPr>
        <w:tc>
          <w:tcPr>
            <w:shd w:val="clear" w:color="auto" w:fill="f7f9fa"/>
            <w:tcBorders/>
            <w:tcMar>
              <w:left w:w="70" w:type="dxa"/>
              <w:top w:w="60" w:type="dxa"/>
              <w:right w:w="70" w:type="dxa"/>
              <w:bottom w:w="60" w:type="dxa"/>
            </w:tcMar>
            <w:tcW w:w="3629" w:type="dxa"/>
            <w:vAlign w:val="top"/>
          </w:tcPr>
          <w:p>
            <w:pPr>
              <w:pStyle w:val="1297"/>
              <w:pBdr/>
              <w:spacing/>
              <w:ind/>
              <w:rPr/>
            </w:pPr>
            <w:r>
              <w:t xml:space="preserve">Hume, Treatise/Enquiry self-and-causation position</w:t>
            </w:r>
            <w:r/>
          </w:p>
        </w:tc>
        <w:tc>
          <w:tcPr>
            <w:shd w:val="clear" w:color="auto" w:fill="f7f9fa"/>
            <w:tcBorders/>
            <w:tcMar>
              <w:left w:w="70" w:type="dxa"/>
              <w:top w:w="60" w:type="dxa"/>
              <w:right w:w="70" w:type="dxa"/>
              <w:bottom w:w="60" w:type="dxa"/>
            </w:tcMar>
            <w:tcW w:w="1703" w:type="dxa"/>
            <w:vAlign w:val="top"/>
          </w:tcPr>
          <w:p>
            <w:pPr>
              <w:pStyle w:val="1297"/>
              <w:pBdr/>
              <w:spacing/>
              <w:ind/>
              <w:rPr/>
            </w:pPr>
            <w:r>
              <w:t xml:space="preserve">MAJOR COMPARATOR</w:t>
            </w:r>
            <w:r/>
          </w:p>
        </w:tc>
        <w:tc>
          <w:tcPr>
            <w:shd w:val="clear" w:color="auto" w:fill="f7f9fa"/>
            <w:tcBorders/>
            <w:tcMar>
              <w:left w:w="70" w:type="dxa"/>
              <w:top w:w="60" w:type="dxa"/>
              <w:right w:w="70" w:type="dxa"/>
              <w:bottom w:w="60" w:type="dxa"/>
            </w:tcMar>
            <w:tcW w:w="4073" w:type="dxa"/>
            <w:vAlign w:val="top"/>
          </w:tcPr>
          <w:p>
            <w:pPr>
              <w:pStyle w:val="1297"/>
              <w:pBdr/>
              <w:spacing/>
              <w:ind/>
              <w:rPr/>
            </w:pPr>
            <w:r>
              <w:t xml:space="preserve">Self/no-self comparison; historical independence requires assessment for each scoped comparison.</w:t>
            </w:r>
            <w:r/>
          </w:p>
        </w:tc>
        <w:tc>
          <w:tcPr>
            <w:shd w:val="clear" w:color="auto" w:fill="f7f9fa"/>
            <w:tcBorders/>
            <w:tcMar>
              <w:left w:w="70" w:type="dxa"/>
              <w:top w:w="60" w:type="dxa"/>
              <w:right w:w="70" w:type="dxa"/>
              <w:bottom w:w="60" w:type="dxa"/>
            </w:tcMar>
            <w:tcW w:w="1703" w:type="dxa"/>
            <w:vAlign w:val="top"/>
          </w:tcPr>
          <w:p>
            <w:pPr>
              <w:pStyle w:val="1297"/>
              <w:pBdr/>
              <w:spacing/>
              <w:ind/>
              <w:rPr/>
            </w:pPr>
            <w:r>
              <w:t xml:space="preserve">8, 9, 19</w:t>
            </w:r>
            <w:r/>
          </w:p>
        </w:tc>
        <w:tc>
          <w:tcPr>
            <w:shd w:val="clear" w:color="auto" w:fill="f7f9fa"/>
            <w:tcBorders/>
            <w:tcMar>
              <w:left w:w="70" w:type="dxa"/>
              <w:top w:w="60" w:type="dxa"/>
              <w:right w:w="70" w:type="dxa"/>
              <w:bottom w:w="60" w:type="dxa"/>
            </w:tcMar>
            <w:tcW w:w="4147" w:type="dxa"/>
            <w:vAlign w:val="top"/>
          </w:tcPr>
          <w:p>
            <w:pPr>
              <w:pStyle w:val="1297"/>
              <w:pBdr/>
              <w:spacing/>
              <w:ind/>
              <w:rPr/>
            </w:pPr>
            <w:r>
              <w:t xml:space="preserve">—</w:t>
            </w:r>
            <w:r/>
          </w:p>
        </w:tc>
      </w:tr>
      <w:tr>
        <w:trPr>
          <w:cantSplit/>
        </w:trPr>
        <w:tc>
          <w:tcPr>
            <w:tcBorders/>
            <w:tcMar>
              <w:left w:w="70" w:type="dxa"/>
              <w:top w:w="60" w:type="dxa"/>
              <w:right w:w="70" w:type="dxa"/>
              <w:bottom w:w="60" w:type="dxa"/>
            </w:tcMar>
            <w:tcW w:w="3629" w:type="dxa"/>
            <w:vAlign w:val="top"/>
          </w:tcPr>
          <w:p>
            <w:pPr>
              <w:pStyle w:val="1297"/>
              <w:pBdr/>
              <w:spacing/>
              <w:ind/>
              <w:rPr/>
            </w:pPr>
            <w:r>
              <w:t xml:space="preserve">Chalmers-style naturalistic property dualism</w:t>
            </w:r>
            <w:r/>
          </w:p>
        </w:tc>
        <w:tc>
          <w:tcPr>
            <w:tcBorders/>
            <w:tcMar>
              <w:left w:w="70" w:type="dxa"/>
              <w:top w:w="60" w:type="dxa"/>
              <w:right w:w="70" w:type="dxa"/>
              <w:bottom w:w="60" w:type="dxa"/>
            </w:tcMar>
            <w:tcW w:w="1703" w:type="dxa"/>
            <w:vAlign w:val="top"/>
          </w:tcPr>
          <w:p>
            <w:pPr>
              <w:pStyle w:val="1297"/>
              <w:pBdr/>
              <w:spacing/>
              <w:ind/>
              <w:rPr/>
            </w:pPr>
            <w:r>
              <w:t xml:space="preserve">COUNTEREXAMPLE-STRESS</w:t>
            </w:r>
            <w:r/>
          </w:p>
        </w:tc>
        <w:tc>
          <w:tcPr>
            <w:tcBorders/>
            <w:tcMar>
              <w:left w:w="70" w:type="dxa"/>
              <w:top w:w="60" w:type="dxa"/>
              <w:right w:w="70" w:type="dxa"/>
              <w:bottom w:w="60" w:type="dxa"/>
            </w:tcMar>
            <w:tcW w:w="4073" w:type="dxa"/>
            <w:vAlign w:val="top"/>
          </w:tcPr>
          <w:p>
            <w:pPr>
              <w:pStyle w:val="1297"/>
              <w:pBdr/>
              <w:spacing/>
              <w:ind/>
              <w:rPr/>
            </w:pPr>
            <w:r>
              <w:t xml:space="preserve">Physicalism/panpsychism fault line</w:t>
            </w:r>
            <w:r/>
          </w:p>
        </w:tc>
        <w:tc>
          <w:tcPr>
            <w:tcBorders/>
            <w:tcMar>
              <w:left w:w="70" w:type="dxa"/>
              <w:top w:w="60" w:type="dxa"/>
              <w:right w:w="70" w:type="dxa"/>
              <w:bottom w:w="60" w:type="dxa"/>
            </w:tcMar>
            <w:tcW w:w="1703" w:type="dxa"/>
            <w:vAlign w:val="top"/>
          </w:tcPr>
          <w:p>
            <w:pPr>
              <w:pStyle w:val="1297"/>
              <w:pBdr/>
              <w:spacing/>
              <w:ind/>
              <w:rPr/>
            </w:pPr>
            <w:r>
              <w:t xml:space="preserve">7</w:t>
            </w:r>
            <w:r/>
          </w:p>
        </w:tc>
        <w:tc>
          <w:tcPr>
            <w:tcBorders/>
            <w:tcMar>
              <w:left w:w="70" w:type="dxa"/>
              <w:top w:w="60" w:type="dxa"/>
              <w:right w:w="70" w:type="dxa"/>
              <w:bottom w:w="60" w:type="dxa"/>
            </w:tcMar>
            <w:tcW w:w="4147" w:type="dxa"/>
            <w:vAlign w:val="top"/>
          </w:tcPr>
          <w:p>
            <w:pPr>
              <w:pStyle w:val="1297"/>
              <w:pBdr/>
              <w:spacing/>
              <w:ind/>
              <w:rPr/>
            </w:pPr>
            <w:r>
              <w:t xml:space="preserve">—</w:t>
            </w:r>
            <w:r/>
          </w:p>
        </w:tc>
      </w:tr>
      <w:tr>
        <w:trPr>
          <w:cantSplit/>
        </w:trPr>
        <w:tc>
          <w:tcPr>
            <w:shd w:val="clear" w:color="auto" w:fill="f7f9fa"/>
            <w:tcBorders/>
            <w:tcMar>
              <w:left w:w="70" w:type="dxa"/>
              <w:top w:w="60" w:type="dxa"/>
              <w:right w:w="70" w:type="dxa"/>
              <w:bottom w:w="60" w:type="dxa"/>
            </w:tcMar>
            <w:tcW w:w="3629" w:type="dxa"/>
            <w:vAlign w:val="top"/>
          </w:tcPr>
          <w:p>
            <w:pPr>
              <w:pStyle w:val="1297"/>
              <w:pBdr/>
              <w:spacing/>
              <w:ind/>
              <w:rPr/>
            </w:pPr>
            <w:r>
              <w:t xml:space="preserve">Frankish-style illusionism about phenomenal consciousness</w:t>
            </w:r>
            <w:r/>
          </w:p>
        </w:tc>
        <w:tc>
          <w:tcPr>
            <w:shd w:val="clear" w:color="auto" w:fill="f7f9fa"/>
            <w:tcBorders/>
            <w:tcMar>
              <w:left w:w="70" w:type="dxa"/>
              <w:top w:w="60" w:type="dxa"/>
              <w:right w:w="70" w:type="dxa"/>
              <w:bottom w:w="60" w:type="dxa"/>
            </w:tcMar>
            <w:tcW w:w="1703" w:type="dxa"/>
            <w:vAlign w:val="top"/>
          </w:tcPr>
          <w:p>
            <w:pPr>
              <w:pStyle w:val="1297"/>
              <w:pBdr/>
              <w:spacing/>
              <w:ind/>
              <w:rPr/>
            </w:pPr>
            <w:r>
              <w:t xml:space="preserve">COUNTEREXAMPLE-STRESS</w:t>
            </w:r>
            <w:r/>
          </w:p>
        </w:tc>
        <w:tc>
          <w:tcPr>
            <w:shd w:val="clear" w:color="auto" w:fill="f7f9fa"/>
            <w:tcBorders/>
            <w:tcMar>
              <w:left w:w="70" w:type="dxa"/>
              <w:top w:w="60" w:type="dxa"/>
              <w:right w:w="70" w:type="dxa"/>
              <w:bottom w:w="60" w:type="dxa"/>
            </w:tcMar>
            <w:tcW w:w="4073" w:type="dxa"/>
            <w:vAlign w:val="top"/>
          </w:tcPr>
          <w:p>
            <w:pPr>
              <w:pStyle w:val="1297"/>
              <w:pBdr/>
              <w:spacing/>
              <w:ind/>
              <w:rPr/>
            </w:pPr>
            <w:r>
              <w:t xml:space="preserve">Stress test for what 'consciousness fundamental' comparisons presuppose</w:t>
            </w:r>
            <w:r/>
          </w:p>
        </w:tc>
        <w:tc>
          <w:tcPr>
            <w:shd w:val="clear" w:color="auto" w:fill="f7f9fa"/>
            <w:tcBorders/>
            <w:tcMar>
              <w:left w:w="70" w:type="dxa"/>
              <w:top w:w="60" w:type="dxa"/>
              <w:right w:w="70" w:type="dxa"/>
              <w:bottom w:w="60" w:type="dxa"/>
            </w:tcMar>
            <w:tcW w:w="1703" w:type="dxa"/>
            <w:vAlign w:val="top"/>
          </w:tcPr>
          <w:p>
            <w:pPr>
              <w:pStyle w:val="1297"/>
              <w:pBdr/>
              <w:spacing/>
              <w:ind/>
              <w:rPr/>
            </w:pPr>
            <w:r>
              <w:t xml:space="preserve">7</w:t>
            </w:r>
            <w:r/>
          </w:p>
        </w:tc>
        <w:tc>
          <w:tcPr>
            <w:shd w:val="clear" w:color="auto" w:fill="f7f9fa"/>
            <w:tcBorders/>
            <w:tcMar>
              <w:left w:w="70" w:type="dxa"/>
              <w:top w:w="60" w:type="dxa"/>
              <w:right w:w="70" w:type="dxa"/>
              <w:bottom w:w="60" w:type="dxa"/>
            </w:tcMar>
            <w:tcW w:w="4147" w:type="dxa"/>
            <w:vAlign w:val="top"/>
          </w:tcPr>
          <w:p>
            <w:pPr>
              <w:pStyle w:val="1297"/>
              <w:pBdr/>
              <w:spacing/>
              <w:ind/>
              <w:rPr/>
            </w:pPr>
            <w:r>
              <w:t xml:space="preserve">—</w:t>
            </w:r>
            <w:r/>
          </w:p>
        </w:tc>
      </w:tr>
      <w:tr>
        <w:trPr>
          <w:cantSplit/>
        </w:trPr>
        <w:tc>
          <w:tcPr>
            <w:tcBorders/>
            <w:tcMar>
              <w:left w:w="70" w:type="dxa"/>
              <w:top w:w="60" w:type="dxa"/>
              <w:right w:w="70" w:type="dxa"/>
              <w:bottom w:w="60" w:type="dxa"/>
            </w:tcMar>
            <w:tcW w:w="3629" w:type="dxa"/>
            <w:vAlign w:val="top"/>
          </w:tcPr>
          <w:p>
            <w:pPr>
              <w:pStyle w:val="1297"/>
              <w:pBdr/>
              <w:spacing/>
              <w:ind/>
              <w:rPr/>
            </w:pPr>
            <w:r>
              <w:t xml:space="preserve">Xunzi, Xunzi-centered cultivation position</w:t>
            </w:r>
            <w:r/>
          </w:p>
        </w:tc>
        <w:tc>
          <w:tcPr>
            <w:tcBorders/>
            <w:tcMar>
              <w:left w:w="70" w:type="dxa"/>
              <w:top w:w="60" w:type="dxa"/>
              <w:right w:w="70" w:type="dxa"/>
              <w:bottom w:w="60" w:type="dxa"/>
            </w:tcMar>
            <w:tcW w:w="1703" w:type="dxa"/>
            <w:vAlign w:val="top"/>
          </w:tcPr>
          <w:p>
            <w:pPr>
              <w:pStyle w:val="1297"/>
              <w:pBdr/>
              <w:spacing/>
              <w:ind/>
              <w:rPr/>
            </w:pPr>
            <w:r>
              <w:t xml:space="preserve">COUNTEREXAMPLE-STRESS</w:t>
            </w:r>
            <w:r/>
          </w:p>
        </w:tc>
        <w:tc>
          <w:tcPr>
            <w:tcBorders/>
            <w:tcMar>
              <w:left w:w="70" w:type="dxa"/>
              <w:top w:w="60" w:type="dxa"/>
              <w:right w:w="70" w:type="dxa"/>
              <w:bottom w:w="60" w:type="dxa"/>
            </w:tcMar>
            <w:tcW w:w="4073" w:type="dxa"/>
            <w:vAlign w:val="top"/>
          </w:tcPr>
          <w:p>
            <w:pPr>
              <w:pStyle w:val="1297"/>
              <w:pBdr/>
              <w:spacing/>
              <w:ind/>
              <w:rPr/>
            </w:pPr>
            <w:r>
              <w:t xml:space="preserve">Counterpressure on Mencius and later Confucian cultivation narratives</w:t>
            </w:r>
            <w:r/>
          </w:p>
        </w:tc>
        <w:tc>
          <w:tcPr>
            <w:tcBorders/>
            <w:tcMar>
              <w:left w:w="70" w:type="dxa"/>
              <w:top w:w="60" w:type="dxa"/>
              <w:right w:w="70" w:type="dxa"/>
              <w:bottom w:w="60" w:type="dxa"/>
            </w:tcMar>
            <w:tcW w:w="1703" w:type="dxa"/>
            <w:vAlign w:val="top"/>
          </w:tcPr>
          <w:p>
            <w:pPr>
              <w:pStyle w:val="1297"/>
              <w:pBdr/>
              <w:spacing/>
              <w:ind/>
              <w:rPr/>
            </w:pPr>
            <w:r>
              <w:t xml:space="preserve">12, 15</w:t>
            </w:r>
            <w:r/>
          </w:p>
        </w:tc>
        <w:tc>
          <w:tcPr>
            <w:tcBorders/>
            <w:tcMar>
              <w:left w:w="70" w:type="dxa"/>
              <w:top w:w="60" w:type="dxa"/>
              <w:right w:w="70" w:type="dxa"/>
              <w:bottom w:w="60" w:type="dxa"/>
            </w:tcMar>
            <w:tcW w:w="4147" w:type="dxa"/>
            <w:vAlign w:val="top"/>
          </w:tcPr>
          <w:p>
            <w:pPr>
              <w:pStyle w:val="1297"/>
              <w:pBdr/>
              <w:spacing/>
              <w:ind/>
              <w:rPr/>
            </w:pPr>
            <w:r>
              <w:t xml:space="preserve">—</w:t>
            </w:r>
            <w:r/>
          </w:p>
        </w:tc>
      </w:tr>
      <w:tr>
        <w:trPr>
          <w:cantSplit/>
        </w:trPr>
        <w:tc>
          <w:tcPr>
            <w:shd w:val="clear" w:color="auto" w:fill="f7f9fa"/>
            <w:tcBorders/>
            <w:tcMar>
              <w:left w:w="70" w:type="dxa"/>
              <w:top w:w="60" w:type="dxa"/>
              <w:right w:w="70" w:type="dxa"/>
              <w:bottom w:w="60" w:type="dxa"/>
            </w:tcMar>
            <w:tcW w:w="3629" w:type="dxa"/>
            <w:vAlign w:val="top"/>
          </w:tcPr>
          <w:p>
            <w:pPr>
              <w:pStyle w:val="1297"/>
              <w:pBdr/>
              <w:spacing/>
              <w:ind/>
              <w:rPr/>
            </w:pPr>
            <w:r>
              <w:t xml:space="preserve">Berkeley, immaterialism</w:t>
            </w:r>
            <w:r/>
          </w:p>
        </w:tc>
        <w:tc>
          <w:tcPr>
            <w:shd w:val="clear" w:color="auto" w:fill="f7f9fa"/>
            <w:tcBorders/>
            <w:tcMar>
              <w:left w:w="70" w:type="dxa"/>
              <w:top w:w="60" w:type="dxa"/>
              <w:right w:w="70" w:type="dxa"/>
              <w:bottom w:w="60" w:type="dxa"/>
            </w:tcMar>
            <w:tcW w:w="1703" w:type="dxa"/>
            <w:vAlign w:val="top"/>
          </w:tcPr>
          <w:p>
            <w:pPr>
              <w:pStyle w:val="1297"/>
              <w:pBdr/>
              <w:spacing/>
              <w:ind/>
              <w:rPr/>
            </w:pPr>
            <w:r>
              <w:t xml:space="preserve">DIGITAL-REFERENCE</w:t>
            </w:r>
            <w:r/>
          </w:p>
        </w:tc>
        <w:tc>
          <w:tcPr>
            <w:shd w:val="clear" w:color="auto" w:fill="f7f9fa"/>
            <w:tcBorders/>
            <w:tcMar>
              <w:left w:w="70" w:type="dxa"/>
              <w:top w:w="60" w:type="dxa"/>
              <w:right w:w="70" w:type="dxa"/>
              <w:bottom w:w="60" w:type="dxa"/>
            </w:tcMar>
            <w:tcW w:w="4073" w:type="dxa"/>
            <w:vAlign w:val="top"/>
          </w:tcPr>
          <w:p>
            <w:pPr>
              <w:pStyle w:val="1297"/>
              <w:pBdr/>
              <w:spacing/>
              <w:ind/>
              <w:rPr/>
            </w:pPr>
            <w:r>
              <w:t xml:space="preserve">Materiality category comparator</w:t>
            </w:r>
            <w:r/>
          </w:p>
        </w:tc>
        <w:tc>
          <w:tcPr>
            <w:shd w:val="clear" w:color="auto" w:fill="f7f9fa"/>
            <w:tcBorders/>
            <w:tcMar>
              <w:left w:w="70" w:type="dxa"/>
              <w:top w:w="60" w:type="dxa"/>
              <w:right w:w="70" w:type="dxa"/>
              <w:bottom w:w="60" w:type="dxa"/>
            </w:tcMar>
            <w:tcW w:w="1703" w:type="dxa"/>
            <w:vAlign w:val="top"/>
          </w:tcPr>
          <w:p>
            <w:pPr>
              <w:pStyle w:val="1297"/>
              <w:pBdr/>
              <w:spacing/>
              <w:ind/>
              <w:rPr/>
            </w:pPr>
            <w:r>
              <w:t xml:space="preserve">Digital/reference; no current primary print chapter</w:t>
            </w:r>
            <w:r/>
          </w:p>
        </w:tc>
        <w:tc>
          <w:tcPr>
            <w:shd w:val="clear" w:color="auto" w:fill="f7f9fa"/>
            <w:tcBorders/>
            <w:tcMar>
              <w:left w:w="70" w:type="dxa"/>
              <w:top w:w="60" w:type="dxa"/>
              <w:right w:w="70" w:type="dxa"/>
              <w:bottom w:w="60" w:type="dxa"/>
            </w:tcMar>
            <w:tcW w:w="4147" w:type="dxa"/>
            <w:vAlign w:val="top"/>
          </w:tcPr>
          <w:p>
            <w:pPr>
              <w:pStyle w:val="1297"/>
              <w:pBdr/>
              <w:spacing/>
              <w:ind/>
              <w:rPr/>
            </w:pPr>
            <w:r>
              <w:t xml:space="preserve">—</w:t>
            </w:r>
            <w:r/>
          </w:p>
        </w:tc>
      </w:tr>
      <w:tr>
        <w:trPr>
          <w:cantSplit/>
        </w:trPr>
        <w:tc>
          <w:tcPr>
            <w:tcBorders/>
            <w:tcMar>
              <w:left w:w="70" w:type="dxa"/>
              <w:top w:w="60" w:type="dxa"/>
              <w:right w:w="70" w:type="dxa"/>
              <w:bottom w:w="60" w:type="dxa"/>
            </w:tcMar>
            <w:tcW w:w="3629" w:type="dxa"/>
            <w:vAlign w:val="top"/>
          </w:tcPr>
          <w:p>
            <w:pPr>
              <w:pStyle w:val="1297"/>
              <w:pBdr/>
              <w:spacing/>
              <w:ind/>
              <w:rPr/>
            </w:pPr>
            <w:r>
              <w:t xml:space="preserve">Aquinas, Summa-centered creation/soul synthesis</w:t>
            </w:r>
            <w:r/>
          </w:p>
        </w:tc>
        <w:tc>
          <w:tcPr>
            <w:tcBorders/>
            <w:tcMar>
              <w:left w:w="70" w:type="dxa"/>
              <w:top w:w="60" w:type="dxa"/>
              <w:right w:w="70" w:type="dxa"/>
              <w:bottom w:w="60" w:type="dxa"/>
            </w:tcMar>
            <w:tcW w:w="1703" w:type="dxa"/>
            <w:vAlign w:val="top"/>
          </w:tcPr>
          <w:p>
            <w:pPr>
              <w:pStyle w:val="1297"/>
              <w:pBdr/>
              <w:spacing/>
              <w:ind/>
              <w:rPr/>
            </w:pPr>
            <w:r>
              <w:t xml:space="preserve">DIGITAL-REFERENCE</w:t>
            </w:r>
            <w:r/>
          </w:p>
        </w:tc>
        <w:tc>
          <w:tcPr>
            <w:tcBorders/>
            <w:tcMar>
              <w:left w:w="70" w:type="dxa"/>
              <w:top w:w="60" w:type="dxa"/>
              <w:right w:w="70" w:type="dxa"/>
              <w:bottom w:w="60" w:type="dxa"/>
            </w:tcMar>
            <w:tcW w:w="4073" w:type="dxa"/>
            <w:vAlign w:val="top"/>
          </w:tcPr>
          <w:p>
            <w:pPr>
              <w:pStyle w:val="1297"/>
              <w:pBdr/>
              <w:spacing/>
              <w:ind/>
              <w:rPr/>
            </w:pPr>
            <w:r>
              <w:t xml:space="preserve">Context/comparator for Gregory, Avicenna, Maimonides</w:t>
            </w:r>
            <w:r/>
          </w:p>
        </w:tc>
        <w:tc>
          <w:tcPr>
            <w:tcBorders/>
            <w:tcMar>
              <w:left w:w="70" w:type="dxa"/>
              <w:top w:w="60" w:type="dxa"/>
              <w:right w:w="70" w:type="dxa"/>
              <w:bottom w:w="60" w:type="dxa"/>
            </w:tcMar>
            <w:tcW w:w="1703" w:type="dxa"/>
            <w:vAlign w:val="top"/>
          </w:tcPr>
          <w:p>
            <w:pPr>
              <w:pStyle w:val="1297"/>
              <w:pBdr/>
              <w:spacing/>
              <w:ind/>
              <w:rPr/>
            </w:pPr>
            <w:r>
              <w:t xml:space="preserve">Digital/reference; no current primary print chapter</w:t>
            </w:r>
            <w:r/>
          </w:p>
        </w:tc>
        <w:tc>
          <w:tcPr>
            <w:tcBorders/>
            <w:tcMar>
              <w:left w:w="70" w:type="dxa"/>
              <w:top w:w="60" w:type="dxa"/>
              <w:right w:w="70" w:type="dxa"/>
              <w:bottom w:w="60" w:type="dxa"/>
            </w:tcMar>
            <w:tcW w:w="4147" w:type="dxa"/>
            <w:vAlign w:val="top"/>
          </w:tcPr>
          <w:p>
            <w:pPr>
              <w:pStyle w:val="1297"/>
              <w:pBdr/>
              <w:spacing/>
              <w:ind/>
              <w:rPr/>
            </w:pPr>
            <w:r>
              <w:t xml:space="preserve">—</w:t>
            </w:r>
            <w:r/>
          </w:p>
        </w:tc>
      </w:tr>
      <w:tr>
        <w:trPr>
          <w:cantSplit/>
        </w:trPr>
        <w:tc>
          <w:tcPr>
            <w:shd w:val="clear" w:color="auto" w:fill="f7f9fa"/>
            <w:tcBorders/>
            <w:tcMar>
              <w:left w:w="70" w:type="dxa"/>
              <w:top w:w="60" w:type="dxa"/>
              <w:right w:w="70" w:type="dxa"/>
              <w:bottom w:w="60" w:type="dxa"/>
            </w:tcMar>
            <w:tcW w:w="3629" w:type="dxa"/>
            <w:vAlign w:val="top"/>
          </w:tcPr>
          <w:p>
            <w:pPr>
              <w:pStyle w:val="1297"/>
              <w:pBdr/>
              <w:spacing/>
              <w:ind/>
              <w:rPr/>
            </w:pPr>
            <w:r>
              <w:t xml:space="preserve">Wang Yangming, mature xin/li cultivation position</w:t>
            </w:r>
            <w:r/>
          </w:p>
        </w:tc>
        <w:tc>
          <w:tcPr>
            <w:shd w:val="clear" w:color="auto" w:fill="f7f9fa"/>
            <w:tcBorders/>
            <w:tcMar>
              <w:left w:w="70" w:type="dxa"/>
              <w:top w:w="60" w:type="dxa"/>
              <w:right w:w="70" w:type="dxa"/>
              <w:bottom w:w="60" w:type="dxa"/>
            </w:tcMar>
            <w:tcW w:w="1703" w:type="dxa"/>
            <w:vAlign w:val="top"/>
          </w:tcPr>
          <w:p>
            <w:pPr>
              <w:pStyle w:val="1297"/>
              <w:pBdr/>
              <w:spacing/>
              <w:ind/>
              <w:rPr/>
            </w:pPr>
            <w:r>
              <w:t xml:space="preserve">DIGITAL-REFERENCE</w:t>
            </w:r>
            <w:r/>
          </w:p>
        </w:tc>
        <w:tc>
          <w:tcPr>
            <w:shd w:val="clear" w:color="auto" w:fill="f7f9fa"/>
            <w:tcBorders/>
            <w:tcMar>
              <w:left w:w="70" w:type="dxa"/>
              <w:top w:w="60" w:type="dxa"/>
              <w:right w:w="70" w:type="dxa"/>
              <w:bottom w:w="60" w:type="dxa"/>
            </w:tcMar>
            <w:tcW w:w="4073" w:type="dxa"/>
            <w:vAlign w:val="top"/>
          </w:tcPr>
          <w:p>
            <w:pPr>
              <w:pStyle w:val="1297"/>
              <w:pBdr/>
              <w:spacing/>
              <w:ind/>
              <w:rPr/>
            </w:pPr>
            <w:r>
              <w:t xml:space="preserve">Tests Zhu Xi-centered Confucian story</w:t>
            </w:r>
            <w:r/>
          </w:p>
        </w:tc>
        <w:tc>
          <w:tcPr>
            <w:shd w:val="clear" w:color="auto" w:fill="f7f9fa"/>
            <w:tcBorders/>
            <w:tcMar>
              <w:left w:w="70" w:type="dxa"/>
              <w:top w:w="60" w:type="dxa"/>
              <w:right w:w="70" w:type="dxa"/>
              <w:bottom w:w="60" w:type="dxa"/>
            </w:tcMar>
            <w:tcW w:w="1703" w:type="dxa"/>
            <w:vAlign w:val="top"/>
          </w:tcPr>
          <w:p>
            <w:pPr>
              <w:pStyle w:val="1297"/>
              <w:pBdr/>
              <w:spacing/>
              <w:ind/>
              <w:rPr/>
            </w:pPr>
            <w:r>
              <w:t xml:space="preserve">Digital/reference; no current primary print chapter</w:t>
            </w:r>
            <w:r/>
          </w:p>
        </w:tc>
        <w:tc>
          <w:tcPr>
            <w:shd w:val="clear" w:color="auto" w:fill="f7f9fa"/>
            <w:tcBorders/>
            <w:tcMar>
              <w:left w:w="70" w:type="dxa"/>
              <w:top w:w="60" w:type="dxa"/>
              <w:right w:w="70" w:type="dxa"/>
              <w:bottom w:w="60" w:type="dxa"/>
            </w:tcMar>
            <w:tcW w:w="4147" w:type="dxa"/>
            <w:vAlign w:val="top"/>
          </w:tcPr>
          <w:p>
            <w:pPr>
              <w:pStyle w:val="1297"/>
              <w:pBdr/>
              <w:spacing/>
              <w:ind/>
              <w:rPr/>
            </w:pPr>
            <w:r>
              <w:t xml:space="preserve">—</w:t>
            </w:r>
            <w:r/>
          </w:p>
        </w:tc>
      </w:tr>
      <w:tr>
        <w:trPr>
          <w:cantSplit/>
        </w:trPr>
        <w:tc>
          <w:tcPr>
            <w:tcBorders/>
            <w:tcMar>
              <w:left w:w="70" w:type="dxa"/>
              <w:top w:w="60" w:type="dxa"/>
              <w:right w:w="70" w:type="dxa"/>
              <w:bottom w:w="60" w:type="dxa"/>
            </w:tcMar>
            <w:tcW w:w="3629" w:type="dxa"/>
            <w:vAlign w:val="top"/>
          </w:tcPr>
          <w:p>
            <w:pPr>
              <w:pStyle w:val="1297"/>
              <w:pBdr/>
              <w:spacing/>
              <w:ind/>
              <w:rPr/>
            </w:pPr>
            <w:r>
              <w:t xml:space="preserve">Oruka, selected philosophic-sage dossiers</w:t>
            </w:r>
            <w:r/>
          </w:p>
        </w:tc>
        <w:tc>
          <w:tcPr>
            <w:tcBorders/>
            <w:tcMar>
              <w:left w:w="70" w:type="dxa"/>
              <w:top w:w="60" w:type="dxa"/>
              <w:right w:w="70" w:type="dxa"/>
              <w:bottom w:w="60" w:type="dxa"/>
            </w:tcMar>
            <w:tcW w:w="1703" w:type="dxa"/>
            <w:vAlign w:val="top"/>
          </w:tcPr>
          <w:p>
            <w:pPr>
              <w:pStyle w:val="1297"/>
              <w:pBdr/>
              <w:spacing/>
              <w:ind/>
              <w:rPr/>
            </w:pPr>
            <w:r>
              <w:t xml:space="preserve">DIGITAL-REFERENCE</w:t>
            </w:r>
            <w:r/>
          </w:p>
        </w:tc>
        <w:tc>
          <w:tcPr>
            <w:tcBorders/>
            <w:tcMar>
              <w:left w:w="70" w:type="dxa"/>
              <w:top w:w="60" w:type="dxa"/>
              <w:right w:w="70" w:type="dxa"/>
              <w:bottom w:w="60" w:type="dxa"/>
            </w:tcMar>
            <w:tcW w:w="4073" w:type="dxa"/>
            <w:vAlign w:val="top"/>
          </w:tcPr>
          <w:p>
            <w:pPr>
              <w:pStyle w:val="1297"/>
              <w:pBdr/>
              <w:spacing/>
              <w:ind/>
              <w:rPr/>
            </w:pPr>
            <w:r>
              <w:t xml:space="preserve">Oral-philosophy and individual-position boundary test</w:t>
            </w:r>
            <w:r/>
          </w:p>
        </w:tc>
        <w:tc>
          <w:tcPr>
            <w:tcBorders/>
            <w:tcMar>
              <w:left w:w="70" w:type="dxa"/>
              <w:top w:w="60" w:type="dxa"/>
              <w:right w:w="70" w:type="dxa"/>
              <w:bottom w:w="60" w:type="dxa"/>
            </w:tcMar>
            <w:tcW w:w="1703" w:type="dxa"/>
            <w:vAlign w:val="top"/>
          </w:tcPr>
          <w:p>
            <w:pPr>
              <w:pStyle w:val="1297"/>
              <w:pBdr/>
              <w:spacing/>
              <w:ind/>
              <w:rPr/>
            </w:pPr>
            <w:r>
              <w:t xml:space="preserve">Digital/reference; no current primary print chapter</w:t>
            </w:r>
            <w:r/>
          </w:p>
        </w:tc>
        <w:tc>
          <w:tcPr>
            <w:tcBorders/>
            <w:tcMar>
              <w:left w:w="70" w:type="dxa"/>
              <w:top w:w="60" w:type="dxa"/>
              <w:right w:w="70" w:type="dxa"/>
              <w:bottom w:w="60" w:type="dxa"/>
            </w:tcMar>
            <w:tcW w:w="4147" w:type="dxa"/>
            <w:vAlign w:val="top"/>
          </w:tcPr>
          <w:p>
            <w:pPr>
              <w:pStyle w:val="1297"/>
              <w:pBdr/>
              <w:spacing/>
              <w:ind/>
              <w:rPr/>
            </w:pPr>
            <w:r>
              <w:t xml:space="preserve">—</w:t>
            </w:r>
            <w:r/>
          </w:p>
        </w:tc>
      </w:tr>
      <w:tr>
        <w:trPr>
          <w:cantSplit/>
        </w:trPr>
        <w:tc>
          <w:tcPr>
            <w:shd w:val="clear" w:color="auto" w:fill="f7f9fa"/>
            <w:tcBorders/>
            <w:tcMar>
              <w:left w:w="70" w:type="dxa"/>
              <w:top w:w="60" w:type="dxa"/>
              <w:right w:w="70" w:type="dxa"/>
              <w:bottom w:w="60" w:type="dxa"/>
            </w:tcMar>
            <w:tcW w:w="3629" w:type="dxa"/>
            <w:vAlign w:val="top"/>
          </w:tcPr>
          <w:p>
            <w:pPr>
              <w:pStyle w:val="1297"/>
              <w:pBdr/>
              <w:spacing/>
              <w:ind/>
              <w:rPr/>
            </w:pPr>
            <w:r>
              <w:t xml:space="preserve">Dōgen, Shōbōgenzō-centered position</w:t>
            </w:r>
            <w:r/>
          </w:p>
        </w:tc>
        <w:tc>
          <w:tcPr>
            <w:shd w:val="clear" w:color="auto" w:fill="f7f9fa"/>
            <w:tcBorders/>
            <w:tcMar>
              <w:left w:w="70" w:type="dxa"/>
              <w:top w:w="60" w:type="dxa"/>
              <w:right w:w="70" w:type="dxa"/>
              <w:bottom w:w="60" w:type="dxa"/>
            </w:tcMar>
            <w:tcW w:w="1703" w:type="dxa"/>
            <w:vAlign w:val="top"/>
          </w:tcPr>
          <w:p>
            <w:pPr>
              <w:pStyle w:val="1297"/>
              <w:pBdr/>
              <w:spacing/>
              <w:ind/>
              <w:rPr/>
            </w:pPr>
            <w:r>
              <w:t xml:space="preserve">DIGITAL-REFERENCE</w:t>
            </w:r>
            <w:r/>
          </w:p>
        </w:tc>
        <w:tc>
          <w:tcPr>
            <w:shd w:val="clear" w:color="auto" w:fill="f7f9fa"/>
            <w:tcBorders/>
            <w:tcMar>
              <w:left w:w="70" w:type="dxa"/>
              <w:top w:w="60" w:type="dxa"/>
              <w:right w:w="70" w:type="dxa"/>
              <w:bottom w:w="60" w:type="dxa"/>
            </w:tcMar>
            <w:tcW w:w="4073" w:type="dxa"/>
            <w:vAlign w:val="top"/>
          </w:tcPr>
          <w:p>
            <w:pPr>
              <w:pStyle w:val="1297"/>
              <w:pBdr/>
              <w:spacing/>
              <w:ind/>
              <w:rPr/>
            </w:pPr>
            <w:r>
              <w:t xml:space="preserve">Praxis/telos; challenges knowledge-then-transformation sequence</w:t>
            </w:r>
            <w:r/>
          </w:p>
        </w:tc>
        <w:tc>
          <w:tcPr>
            <w:shd w:val="clear" w:color="auto" w:fill="f7f9fa"/>
            <w:tcBorders/>
            <w:tcMar>
              <w:left w:w="70" w:type="dxa"/>
              <w:top w:w="60" w:type="dxa"/>
              <w:right w:w="70" w:type="dxa"/>
              <w:bottom w:w="60" w:type="dxa"/>
            </w:tcMar>
            <w:tcW w:w="1703" w:type="dxa"/>
            <w:vAlign w:val="top"/>
          </w:tcPr>
          <w:p>
            <w:pPr>
              <w:pStyle w:val="1297"/>
              <w:pBdr/>
              <w:spacing/>
              <w:ind/>
              <w:rPr/>
            </w:pPr>
            <w:r>
              <w:t xml:space="preserve">13</w:t>
            </w:r>
            <w:r/>
          </w:p>
        </w:tc>
        <w:tc>
          <w:tcPr>
            <w:shd w:val="clear" w:color="auto" w:fill="f7f9fa"/>
            <w:tcBorders/>
            <w:tcMar>
              <w:left w:w="70" w:type="dxa"/>
              <w:top w:w="60" w:type="dxa"/>
              <w:right w:w="70" w:type="dxa"/>
              <w:bottom w:w="60" w:type="dxa"/>
            </w:tcMar>
            <w:tcW w:w="4147" w:type="dxa"/>
            <w:vAlign w:val="top"/>
          </w:tcPr>
          <w:p>
            <w:pPr>
              <w:pStyle w:val="1297"/>
              <w:pBdr/>
              <w:spacing/>
              <w:ind/>
              <w:rPr/>
            </w:pPr>
            <w:r>
              <w:t xml:space="preserve">—</w:t>
            </w:r>
            <w:r/>
          </w:p>
        </w:tc>
      </w:tr>
      <w:tr>
        <w:trPr>
          <w:cantSplit/>
        </w:trPr>
        <w:tc>
          <w:tcPr>
            <w:tcBorders/>
            <w:tcMar>
              <w:left w:w="70" w:type="dxa"/>
              <w:top w:w="60" w:type="dxa"/>
              <w:right w:w="70" w:type="dxa"/>
              <w:bottom w:w="60" w:type="dxa"/>
            </w:tcMar>
            <w:tcW w:w="3629" w:type="dxa"/>
            <w:vAlign w:val="top"/>
          </w:tcPr>
          <w:p>
            <w:pPr>
              <w:pStyle w:val="1297"/>
              <w:pBdr/>
              <w:spacing/>
              <w:ind/>
              <w:rPr/>
            </w:pPr>
            <w:r>
              <w:t xml:space="preserve">Nahua teotl reconstruction, source-bounded classical corpus candidate</w:t>
            </w:r>
            <w:r/>
          </w:p>
        </w:tc>
        <w:tc>
          <w:tcPr>
            <w:tcBorders/>
            <w:tcMar>
              <w:left w:w="70" w:type="dxa"/>
              <w:top w:w="60" w:type="dxa"/>
              <w:right w:w="70" w:type="dxa"/>
              <w:bottom w:w="60" w:type="dxa"/>
            </w:tcMar>
            <w:tcW w:w="1703" w:type="dxa"/>
            <w:vAlign w:val="top"/>
          </w:tcPr>
          <w:p>
            <w:pPr>
              <w:pStyle w:val="1297"/>
              <w:pBdr/>
              <w:spacing/>
              <w:ind/>
              <w:rPr/>
            </w:pPr>
            <w:r>
              <w:t xml:space="preserve">HOLD-FUTURE</w:t>
            </w:r>
            <w:r/>
          </w:p>
        </w:tc>
        <w:tc>
          <w:tcPr>
            <w:tcBorders/>
            <w:tcMar>
              <w:left w:w="70" w:type="dxa"/>
              <w:top w:w="60" w:type="dxa"/>
              <w:right w:w="70" w:type="dxa"/>
              <w:bottom w:w="60" w:type="dxa"/>
            </w:tcMar>
            <w:tcW w:w="4073" w:type="dxa"/>
            <w:vAlign w:val="top"/>
          </w:tcPr>
          <w:p>
            <w:pPr>
              <w:pStyle w:val="1297"/>
              <w:pBdr/>
              <w:spacing/>
              <w:ind/>
              <w:rPr/>
            </w:pPr>
            <w:r>
              <w:t xml:space="preserve">Potential major process/non-Western ontology comparator</w:t>
            </w:r>
            <w:r/>
          </w:p>
        </w:tc>
        <w:tc>
          <w:tcPr>
            <w:tcBorders/>
            <w:tcMar>
              <w:left w:w="70" w:type="dxa"/>
              <w:top w:w="60" w:type="dxa"/>
              <w:right w:w="70" w:type="dxa"/>
              <w:bottom w:w="60" w:type="dxa"/>
            </w:tcMar>
            <w:tcW w:w="1703" w:type="dxa"/>
            <w:vAlign w:val="top"/>
          </w:tcPr>
          <w:p>
            <w:pPr>
              <w:pStyle w:val="1297"/>
              <w:pBdr/>
              <w:spacing/>
              <w:ind/>
              <w:rPr/>
            </w:pPr>
            <w:r>
              <w:t xml:space="preserve">Future comparator; possible Chapters 3/4/6 after promotion</w:t>
            </w:r>
            <w:r/>
          </w:p>
        </w:tc>
        <w:tc>
          <w:tcPr>
            <w:tcBorders/>
            <w:tcMar>
              <w:left w:w="70" w:type="dxa"/>
              <w:top w:w="60" w:type="dxa"/>
              <w:right w:w="70" w:type="dxa"/>
              <w:bottom w:w="60" w:type="dxa"/>
            </w:tcMar>
            <w:tcW w:w="4147" w:type="dxa"/>
            <w:vAlign w:val="top"/>
          </w:tcPr>
          <w:p>
            <w:pPr>
              <w:pStyle w:val="1297"/>
              <w:pBdr/>
              <w:spacing/>
              <w:ind/>
              <w:rPr/>
            </w:pPr>
            <w:r>
              <w:t xml:space="preserve">Promotion requires philological source grounding and specialist review under RG-05.</w:t>
            </w:r>
            <w:r/>
          </w:p>
        </w:tc>
      </w:tr>
      <w:tr>
        <w:trPr>
          <w:cantSplit/>
        </w:trPr>
        <w:tc>
          <w:tcPr>
            <w:shd w:val="clear" w:color="auto" w:fill="f7f9fa"/>
            <w:tcBorders/>
            <w:tcMar>
              <w:left w:w="70" w:type="dxa"/>
              <w:top w:w="60" w:type="dxa"/>
              <w:right w:w="70" w:type="dxa"/>
              <w:bottom w:w="60" w:type="dxa"/>
            </w:tcMar>
            <w:tcW w:w="3629" w:type="dxa"/>
            <w:vAlign w:val="top"/>
          </w:tcPr>
          <w:p>
            <w:pPr>
              <w:pStyle w:val="1297"/>
              <w:pBdr/>
              <w:spacing/>
              <w:ind/>
              <w:rPr/>
            </w:pPr>
            <w:r>
              <w:t xml:space="preserve">Māori whakapapa-centered relational ontology candidate</w:t>
            </w:r>
            <w:r/>
          </w:p>
        </w:tc>
        <w:tc>
          <w:tcPr>
            <w:shd w:val="clear" w:color="auto" w:fill="f7f9fa"/>
            <w:tcBorders/>
            <w:tcMar>
              <w:left w:w="70" w:type="dxa"/>
              <w:top w:w="60" w:type="dxa"/>
              <w:right w:w="70" w:type="dxa"/>
              <w:bottom w:w="60" w:type="dxa"/>
            </w:tcMar>
            <w:tcW w:w="1703" w:type="dxa"/>
            <w:vAlign w:val="top"/>
          </w:tcPr>
          <w:p>
            <w:pPr>
              <w:pStyle w:val="1297"/>
              <w:pBdr/>
              <w:spacing/>
              <w:ind/>
              <w:rPr/>
            </w:pPr>
            <w:r>
              <w:t xml:space="preserve">HOLD-FUTURE</w:t>
            </w:r>
            <w:r/>
          </w:p>
        </w:tc>
        <w:tc>
          <w:tcPr>
            <w:shd w:val="clear" w:color="auto" w:fill="f7f9fa"/>
            <w:tcBorders/>
            <w:tcMar>
              <w:left w:w="70" w:type="dxa"/>
              <w:top w:w="60" w:type="dxa"/>
              <w:right w:w="70" w:type="dxa"/>
              <w:bottom w:w="60" w:type="dxa"/>
            </w:tcMar>
            <w:tcW w:w="4073" w:type="dxa"/>
            <w:vAlign w:val="top"/>
          </w:tcPr>
          <w:p>
            <w:pPr>
              <w:pStyle w:val="1297"/>
              <w:pBdr/>
              <w:spacing/>
              <w:ind/>
              <w:rPr/>
            </w:pPr>
            <w:r>
              <w:t xml:space="preserve">Potential relational-personhood/world-partitioning comparator</w:t>
            </w:r>
            <w:r/>
          </w:p>
        </w:tc>
        <w:tc>
          <w:tcPr>
            <w:shd w:val="clear" w:color="auto" w:fill="f7f9fa"/>
            <w:tcBorders/>
            <w:tcMar>
              <w:left w:w="70" w:type="dxa"/>
              <w:top w:w="60" w:type="dxa"/>
              <w:right w:w="70" w:type="dxa"/>
              <w:bottom w:w="60" w:type="dxa"/>
            </w:tcMar>
            <w:tcW w:w="1703" w:type="dxa"/>
            <w:vAlign w:val="top"/>
          </w:tcPr>
          <w:p>
            <w:pPr>
              <w:pStyle w:val="1297"/>
              <w:pBdr/>
              <w:spacing/>
              <w:ind/>
              <w:rPr/>
            </w:pPr>
            <w:r>
              <w:t xml:space="preserve">10</w:t>
            </w:r>
            <w:r/>
          </w:p>
        </w:tc>
        <w:tc>
          <w:tcPr>
            <w:shd w:val="clear" w:color="auto" w:fill="f7f9fa"/>
            <w:tcBorders/>
            <w:tcMar>
              <w:left w:w="70" w:type="dxa"/>
              <w:top w:w="60" w:type="dxa"/>
              <w:right w:w="70" w:type="dxa"/>
              <w:bottom w:w="60" w:type="dxa"/>
            </w:tcMar>
            <w:tcW w:w="4147" w:type="dxa"/>
            <w:vAlign w:val="top"/>
          </w:tcPr>
          <w:p>
            <w:pPr>
              <w:pStyle w:val="1297"/>
              <w:pBdr/>
              <w:spacing/>
              <w:ind/>
              <w:rPr/>
            </w:pPr>
            <w:r>
              <w:t xml:space="preserve">Promotion requires a bounded source-community scope, te reo review, authority review and rights/access review under RG-04.</w:t>
            </w:r>
            <w:r/>
          </w:p>
        </w:tc>
      </w:tr>
    </w:tbl>
    <w:p>
      <w:pPr>
        <w:pStyle w:val="1300"/>
        <w:pBdr/>
        <w:spacing/>
        <w:ind/>
        <w:rPr/>
      </w:pPr>
      <w:r/>
      <w:r/>
    </w:p>
    <w:p>
      <w:pPr>
        <w:pBdr/>
        <w:spacing/>
        <w:ind/>
        <w:rPr/>
      </w:pPr>
      <w:r>
        <w:t xml:space="preserve">Source-bounded Ifá retains the editorial role CORE while its oral/performance, source-community, rights and unit-release dependencies remain separate from role. Achuar, Nahua and Māori candi</w:t>
      </w:r>
      <w:r>
        <w:t xml:space="preserve">dates remain HOLD-FUTURE until the stated evidence, authority, language and rights burdens are met. Partial contemporary theses remain eligible when their underdetermination is analytically productive rather than silently inflated into complete worldviews.</w:t>
      </w:r>
      <w:r/>
    </w:p>
    <w:p>
      <w:pPr>
        <w:pStyle w:val="1136"/>
        <w:keepNext w:val="true"/>
        <w:keepLines w:val="true"/>
        <w:pBdr/>
        <w:spacing/>
        <w:ind/>
        <w:rPr/>
      </w:pPr>
      <w:r/>
      <w:bookmarkStart w:id="118" w:name="SEC_6"/>
      <w:r>
        <w:t xml:space="preserve">6. Comparative pattern and fault-line hypotheses</w:t>
      </w:r>
      <w:bookmarkEnd w:id="118"/>
      <w:r/>
      <w:r/>
    </w:p>
    <w:p>
      <w:pPr>
        <w:pBdr/>
        <w:spacing/>
        <w:ind/>
        <w:rPr/>
      </w:pPr>
      <w:r>
        <w:t xml:space="preserve">The following set is an editorial hypothesis map, not a publication conclusion. Exact claim pairs, relation dimensions, scope, disanalogy, tertium validity, genealogy/independence, synt</w:t>
      </w:r>
      <w:r>
        <w:t xml:space="preserve">hesis level, maturity and publication traceability are governed by Research Specification §§6, 11 and 12. Dated maturity is isolated in the historical snapshot; later maturity is established by the applicable canonical SynthesisRecords and review evidence.</w:t>
      </w:r>
      <w:r/>
    </w:p>
    <w:p>
      <w:pPr>
        <w:pStyle w:val="1184"/>
        <w:keepNext w:val="true"/>
        <w:keepLines w:val="true"/>
        <w:pBdr/>
        <w:spacing/>
        <w:ind/>
        <w:rPr/>
      </w:pPr>
      <w:r/>
      <w:bookmarkStart w:id="119" w:name="T_PATTERN_SUMMARY"/>
      <w:r>
        <w:t xml:space="preserve">Governing — Comparative pattern and fault-line hypothesis set</w:t>
      </w:r>
      <w:bookmarkEnd w:id="119"/>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763"/>
        <w:gridCol w:w="3051"/>
        <w:gridCol w:w="6560"/>
        <w:gridCol w:w="915"/>
        <w:gridCol w:w="3966"/>
      </w:tblGrid>
      <w:tr>
        <w:trPr>
          <w:cantSplit/>
          <w:tblHeader/>
        </w:trPr>
        <w:tc>
          <w:tcPr>
            <w:shd w:val="clear" w:color="auto" w:fill="1f5a73"/>
            <w:tcBorders/>
            <w:tcMar>
              <w:left w:w="70" w:type="dxa"/>
              <w:top w:w="60" w:type="dxa"/>
              <w:right w:w="70" w:type="dxa"/>
              <w:bottom w:w="60" w:type="dxa"/>
            </w:tcMar>
            <w:tcW w:w="763" w:type="dxa"/>
            <w:vAlign w:val="top"/>
          </w:tcPr>
          <w:p>
            <w:pPr>
              <w:pStyle w:val="1299"/>
              <w:pBdr/>
              <w:spacing/>
              <w:ind/>
              <w:rPr/>
            </w:pPr>
            <w:r>
              <w:t xml:space="preserve">ID</w:t>
            </w:r>
            <w:r/>
          </w:p>
        </w:tc>
        <w:tc>
          <w:tcPr>
            <w:shd w:val="clear" w:color="auto" w:fill="1f5a73"/>
            <w:tcBorders/>
            <w:tcMar>
              <w:left w:w="70" w:type="dxa"/>
              <w:top w:w="60" w:type="dxa"/>
              <w:right w:w="70" w:type="dxa"/>
              <w:bottom w:w="60" w:type="dxa"/>
            </w:tcMar>
            <w:tcW w:w="3051" w:type="dxa"/>
            <w:vAlign w:val="top"/>
          </w:tcPr>
          <w:p>
            <w:pPr>
              <w:pStyle w:val="1299"/>
              <w:pBdr/>
              <w:spacing/>
              <w:ind/>
              <w:rPr/>
            </w:pPr>
            <w:r>
              <w:t xml:space="preserve">Motif or fault line</w:t>
            </w:r>
            <w:r/>
          </w:p>
        </w:tc>
        <w:tc>
          <w:tcPr>
            <w:shd w:val="clear" w:color="auto" w:fill="1f5a73"/>
            <w:tcBorders/>
            <w:tcMar>
              <w:left w:w="70" w:type="dxa"/>
              <w:top w:w="60" w:type="dxa"/>
              <w:right w:w="70" w:type="dxa"/>
              <w:bottom w:w="60" w:type="dxa"/>
            </w:tcMar>
            <w:tcW w:w="6560" w:type="dxa"/>
            <w:vAlign w:val="top"/>
          </w:tcPr>
          <w:p>
            <w:pPr>
              <w:pStyle w:val="1299"/>
              <w:pBdr/>
              <w:spacing/>
              <w:ind/>
              <w:rPr/>
            </w:pPr>
            <w:r>
              <w:t xml:space="preserve">Support and counterpressure</w:t>
            </w:r>
            <w:r/>
          </w:p>
        </w:tc>
        <w:tc>
          <w:tcPr>
            <w:shd w:val="clear" w:color="auto" w:fill="1f5a73"/>
            <w:tcBorders/>
            <w:tcMar>
              <w:left w:w="70" w:type="dxa"/>
              <w:top w:w="60" w:type="dxa"/>
              <w:right w:w="70" w:type="dxa"/>
              <w:bottom w:w="60" w:type="dxa"/>
            </w:tcMar>
            <w:tcW w:w="915" w:type="dxa"/>
            <w:vAlign w:val="top"/>
          </w:tcPr>
          <w:p>
            <w:pPr>
              <w:pStyle w:val="1299"/>
              <w:pBdr/>
              <w:spacing/>
              <w:ind/>
              <w:rPr/>
            </w:pPr>
            <w:r>
              <w:t xml:space="preserve">Level</w:t>
            </w:r>
            <w:r/>
          </w:p>
        </w:tc>
        <w:tc>
          <w:tcPr>
            <w:shd w:val="clear" w:color="auto" w:fill="1f5a73"/>
            <w:tcBorders/>
            <w:tcMar>
              <w:left w:w="70" w:type="dxa"/>
              <w:top w:w="60" w:type="dxa"/>
              <w:right w:w="70" w:type="dxa"/>
              <w:bottom w:w="60" w:type="dxa"/>
            </w:tcMar>
            <w:tcW w:w="3966" w:type="dxa"/>
            <w:vAlign w:val="top"/>
          </w:tcPr>
          <w:p>
            <w:pPr>
              <w:pStyle w:val="1299"/>
              <w:pBdr/>
              <w:spacing/>
              <w:ind/>
              <w:rPr/>
            </w:pPr>
            <w:r>
              <w:t xml:space="preserve">Publication scope or next action</w:t>
            </w:r>
            <w:r/>
          </w:p>
        </w:tc>
      </w:tr>
      <w:tr>
        <w:trPr>
          <w:cantSplit/>
        </w:trPr>
        <w:tc>
          <w:tcPr>
            <w:tcBorders/>
            <w:tcMar>
              <w:left w:w="70" w:type="dxa"/>
              <w:top w:w="60" w:type="dxa"/>
              <w:right w:w="70" w:type="dxa"/>
              <w:bottom w:w="60" w:type="dxa"/>
            </w:tcMar>
            <w:tcW w:w="763" w:type="dxa"/>
            <w:vAlign w:val="top"/>
          </w:tcPr>
          <w:p>
            <w:pPr>
              <w:pStyle w:val="1297"/>
              <w:pBdr/>
              <w:spacing/>
              <w:ind/>
              <w:rPr/>
            </w:pPr>
            <w:r>
              <w:t xml:space="preserve">P1</w:t>
            </w:r>
            <w:r/>
          </w:p>
        </w:tc>
        <w:tc>
          <w:tcPr>
            <w:tcBorders/>
            <w:tcMar>
              <w:left w:w="70" w:type="dxa"/>
              <w:top w:w="60" w:type="dxa"/>
              <w:right w:w="70" w:type="dxa"/>
              <w:bottom w:w="60" w:type="dxa"/>
            </w:tcMar>
            <w:tcW w:w="3051" w:type="dxa"/>
            <w:vAlign w:val="top"/>
          </w:tcPr>
          <w:p>
            <w:pPr>
              <w:pStyle w:val="1297"/>
              <w:pBdr/>
              <w:spacing/>
              <w:ind/>
              <w:rPr/>
            </w:pPr>
            <w:r>
              <w:t xml:space="preserve">Misidentification / epistemic distortion</w:t>
            </w:r>
            <w:r/>
          </w:p>
        </w:tc>
        <w:tc>
          <w:tcPr>
            <w:tcBorders/>
            <w:tcMar>
              <w:left w:w="70" w:type="dxa"/>
              <w:top w:w="60" w:type="dxa"/>
              <w:right w:w="70" w:type="dxa"/>
              <w:bottom w:w="60" w:type="dxa"/>
            </w:tcMar>
            <w:tcW w:w="6560" w:type="dxa"/>
            <w:vAlign w:val="top"/>
          </w:tcPr>
          <w:p>
            <w:pPr>
              <w:pStyle w:val="1297"/>
              <w:pBdr/>
              <w:spacing/>
              <w:ind/>
              <w:rPr/>
            </w:pPr>
            <w:r>
              <w:rPr>
                <w:b/>
              </w:rPr>
              <w:t xml:space="preserve">Support:</w:t>
            </w:r>
            <w:r>
              <w:t xml:space="preserve"> Śaṅkara; Nāgārjuna; Apocryphon; Sartre (partial); Spinoza (affective/cognitive analogue) Counterpressure: Gregory’s sin is not reducible to misidentification; Xunzi’s untrained dispositions; Epicurean fear</w:t>
            </w:r>
            <w:r/>
          </w:p>
        </w:tc>
        <w:tc>
          <w:tcPr>
            <w:tcBorders/>
            <w:tcMar>
              <w:left w:w="70" w:type="dxa"/>
              <w:top w:w="60" w:type="dxa"/>
              <w:right w:w="70" w:type="dxa"/>
              <w:bottom w:w="60" w:type="dxa"/>
            </w:tcMar>
            <w:tcW w:w="915" w:type="dxa"/>
            <w:vAlign w:val="top"/>
          </w:tcPr>
          <w:p>
            <w:pPr>
              <w:pStyle w:val="1297"/>
              <w:pBdr/>
              <w:spacing/>
              <w:ind/>
              <w:rPr/>
            </w:pPr>
            <w:r>
              <w:t xml:space="preserve">L2</w:t>
            </w:r>
            <w:r/>
          </w:p>
        </w:tc>
        <w:tc>
          <w:tcPr>
            <w:tcBorders/>
            <w:tcMar>
              <w:left w:w="70" w:type="dxa"/>
              <w:top w:w="60" w:type="dxa"/>
              <w:right w:w="70" w:type="dxa"/>
              <w:bottom w:w="60" w:type="dxa"/>
            </w:tcMar>
            <w:tcW w:w="3966" w:type="dxa"/>
            <w:vAlign w:val="top"/>
          </w:tcPr>
          <w:p>
            <w:pPr>
              <w:pStyle w:val="1297"/>
              <w:pBdr/>
              <w:spacing/>
              <w:ind/>
              <w:rPr/>
            </w:pPr>
            <w:r>
              <w:t xml:space="preserve">Permit a subdivided family of cognitive misidentification, reification and self-deception only; no universal diagnosis.</w:t>
            </w:r>
            <w:r/>
          </w:p>
        </w:tc>
      </w:tr>
      <w:tr>
        <w:trPr>
          <w:cantSplit/>
        </w:trPr>
        <w:tc>
          <w:tcPr>
            <w:shd w:val="clear" w:color="auto" w:fill="f7f9fa"/>
            <w:tcBorders/>
            <w:tcMar>
              <w:left w:w="70" w:type="dxa"/>
              <w:top w:w="60" w:type="dxa"/>
              <w:right w:w="70" w:type="dxa"/>
              <w:bottom w:w="60" w:type="dxa"/>
            </w:tcMar>
            <w:tcW w:w="763" w:type="dxa"/>
            <w:vAlign w:val="top"/>
          </w:tcPr>
          <w:p>
            <w:pPr>
              <w:pStyle w:val="1297"/>
              <w:pBdr/>
              <w:spacing/>
              <w:ind/>
              <w:rPr/>
            </w:pPr>
            <w:r>
              <w:t xml:space="preserve">P2</w:t>
            </w:r>
            <w:r/>
          </w:p>
        </w:tc>
        <w:tc>
          <w:tcPr>
            <w:shd w:val="clear" w:color="auto" w:fill="f7f9fa"/>
            <w:tcBorders/>
            <w:tcMar>
              <w:left w:w="70" w:type="dxa"/>
              <w:top w:w="60" w:type="dxa"/>
              <w:right w:w="70" w:type="dxa"/>
              <w:bottom w:w="60" w:type="dxa"/>
            </w:tcMar>
            <w:tcW w:w="3051" w:type="dxa"/>
            <w:vAlign w:val="top"/>
          </w:tcPr>
          <w:p>
            <w:pPr>
              <w:pStyle w:val="1297"/>
              <w:pBdr/>
              <w:spacing/>
              <w:ind/>
              <w:rPr/>
            </w:pPr>
            <w:r>
              <w:t xml:space="preserve">World as disclosure / participation / patterned immanence</w:t>
            </w:r>
            <w:r/>
          </w:p>
        </w:tc>
        <w:tc>
          <w:tcPr>
            <w:shd w:val="clear" w:color="auto" w:fill="f7f9fa"/>
            <w:tcBorders/>
            <w:tcMar>
              <w:left w:w="70" w:type="dxa"/>
              <w:top w:w="60" w:type="dxa"/>
              <w:right w:w="70" w:type="dxa"/>
              <w:bottom w:w="60" w:type="dxa"/>
            </w:tcMar>
            <w:tcW w:w="6560" w:type="dxa"/>
            <w:vAlign w:val="top"/>
          </w:tcPr>
          <w:p>
            <w:pPr>
              <w:pStyle w:val="1297"/>
              <w:pBdr/>
              <w:spacing/>
              <w:ind/>
              <w:rPr/>
            </w:pPr>
            <w:r>
              <w:rPr>
                <w:b/>
              </w:rPr>
              <w:t xml:space="preserve">Support:</w:t>
            </w:r>
            <w:r>
              <w:t xml:space="preserve"> Ibn ʿArabī; Plotinus; Zhu Xi; Guru Nanak; Spinoza (structural comparator) Counterpressure: Epicurean non-providential world; Apocryphon lower cosmos; Papineau partial thesis</w:t>
            </w:r>
            <w:r/>
          </w:p>
        </w:tc>
        <w:tc>
          <w:tcPr>
            <w:shd w:val="clear" w:color="auto" w:fill="f7f9fa"/>
            <w:tcBorders/>
            <w:tcMar>
              <w:left w:w="70" w:type="dxa"/>
              <w:top w:w="60" w:type="dxa"/>
              <w:right w:w="70" w:type="dxa"/>
              <w:bottom w:w="60" w:type="dxa"/>
            </w:tcMar>
            <w:tcW w:w="915" w:type="dxa"/>
            <w:vAlign w:val="top"/>
          </w:tcPr>
          <w:p>
            <w:pPr>
              <w:pStyle w:val="1297"/>
              <w:pBdr/>
              <w:spacing/>
              <w:ind/>
              <w:rPr/>
            </w:pPr>
            <w:r>
              <w:t xml:space="preserve">L2</w:t>
            </w:r>
            <w:r/>
          </w:p>
        </w:tc>
        <w:tc>
          <w:tcPr>
            <w:shd w:val="clear" w:color="auto" w:fill="f7f9fa"/>
            <w:tcBorders/>
            <w:tcMar>
              <w:left w:w="70" w:type="dxa"/>
              <w:top w:w="60" w:type="dxa"/>
              <w:right w:w="70" w:type="dxa"/>
              <w:bottom w:w="60" w:type="dxa"/>
            </w:tcMar>
            <w:tcW w:w="3966" w:type="dxa"/>
            <w:vAlign w:val="top"/>
          </w:tcPr>
          <w:p>
            <w:pPr>
              <w:pStyle w:val="1297"/>
              <w:pBdr/>
              <w:spacing/>
              <w:ind/>
              <w:rPr/>
            </w:pPr>
            <w:r>
              <w:t xml:space="preserve">Use only as a family of world-relation structures; prohibit generic “immanence” equivalence.</w:t>
            </w:r>
            <w:r/>
          </w:p>
        </w:tc>
      </w:tr>
      <w:tr>
        <w:trPr>
          <w:cantSplit/>
        </w:trPr>
        <w:tc>
          <w:tcPr>
            <w:tcBorders/>
            <w:tcMar>
              <w:left w:w="70" w:type="dxa"/>
              <w:top w:w="60" w:type="dxa"/>
              <w:right w:w="70" w:type="dxa"/>
              <w:bottom w:w="60" w:type="dxa"/>
            </w:tcMar>
            <w:tcW w:w="763" w:type="dxa"/>
            <w:vAlign w:val="top"/>
          </w:tcPr>
          <w:p>
            <w:pPr>
              <w:pStyle w:val="1297"/>
              <w:pBdr/>
              <w:spacing/>
              <w:ind/>
              <w:rPr/>
            </w:pPr>
            <w:r>
              <w:t xml:space="preserve">P3</w:t>
            </w:r>
            <w:r/>
          </w:p>
        </w:tc>
        <w:tc>
          <w:tcPr>
            <w:tcBorders/>
            <w:tcMar>
              <w:left w:w="70" w:type="dxa"/>
              <w:top w:w="60" w:type="dxa"/>
              <w:right w:w="70" w:type="dxa"/>
              <w:bottom w:w="60" w:type="dxa"/>
            </w:tcMar>
            <w:tcW w:w="3051" w:type="dxa"/>
            <w:vAlign w:val="top"/>
          </w:tcPr>
          <w:p>
            <w:pPr>
              <w:pStyle w:val="1297"/>
              <w:pBdr/>
              <w:spacing/>
              <w:ind/>
              <w:rPr/>
            </w:pPr>
            <w:r>
              <w:t xml:space="preserve">World as constraint / exit orientation</w:t>
            </w:r>
            <w:r/>
          </w:p>
        </w:tc>
        <w:tc>
          <w:tcPr>
            <w:tcBorders/>
            <w:tcMar>
              <w:left w:w="70" w:type="dxa"/>
              <w:top w:w="60" w:type="dxa"/>
              <w:right w:w="70" w:type="dxa"/>
              <w:bottom w:w="60" w:type="dxa"/>
            </w:tcMar>
            <w:tcW w:w="6560" w:type="dxa"/>
            <w:vAlign w:val="top"/>
          </w:tcPr>
          <w:p>
            <w:pPr>
              <w:pStyle w:val="1297"/>
              <w:pBdr/>
              <w:spacing/>
              <w:ind/>
              <w:rPr/>
            </w:pPr>
            <w:r>
              <w:rPr>
                <w:b/>
              </w:rPr>
              <w:t xml:space="preserve">Support:</w:t>
            </w:r>
            <w:r>
              <w:t xml:space="preserve"> Apocryphon; Advaita (qualified); Jaina; selected Buddhist soteriological contexts Counterpressure: Gregory; Guru Nanak; Zhu Xi; Zhuangzi; Epicurus</w:t>
            </w:r>
            <w:r/>
          </w:p>
        </w:tc>
        <w:tc>
          <w:tcPr>
            <w:tcBorders/>
            <w:tcMar>
              <w:left w:w="70" w:type="dxa"/>
              <w:top w:w="60" w:type="dxa"/>
              <w:right w:w="70" w:type="dxa"/>
              <w:bottom w:w="60" w:type="dxa"/>
            </w:tcMar>
            <w:tcW w:w="915" w:type="dxa"/>
            <w:vAlign w:val="top"/>
          </w:tcPr>
          <w:p>
            <w:pPr>
              <w:pStyle w:val="1297"/>
              <w:pBdr/>
              <w:spacing/>
              <w:ind/>
              <w:rPr/>
            </w:pPr>
            <w:r>
              <w:t xml:space="preserve">L2</w:t>
            </w:r>
            <w:r/>
          </w:p>
        </w:tc>
        <w:tc>
          <w:tcPr>
            <w:tcBorders/>
            <w:tcMar>
              <w:left w:w="70" w:type="dxa"/>
              <w:top w:w="60" w:type="dxa"/>
              <w:right w:w="70" w:type="dxa"/>
              <w:bottom w:w="60" w:type="dxa"/>
            </w:tcMar>
            <w:tcW w:w="3966" w:type="dxa"/>
            <w:vAlign w:val="top"/>
          </w:tcPr>
          <w:p>
            <w:pPr>
              <w:pStyle w:val="1297"/>
              <w:pBdr/>
              <w:spacing/>
              <w:ind/>
              <w:rPr/>
            </w:pPr>
            <w:r>
              <w:t xml:space="preserve">Split the motif before publication; no single world-rejection family.</w:t>
            </w:r>
            <w:r/>
          </w:p>
        </w:tc>
      </w:tr>
      <w:tr>
        <w:trPr>
          <w:cantSplit/>
        </w:trPr>
        <w:tc>
          <w:tcPr>
            <w:shd w:val="clear" w:color="auto" w:fill="f7f9fa"/>
            <w:tcBorders/>
            <w:tcMar>
              <w:left w:w="70" w:type="dxa"/>
              <w:top w:w="60" w:type="dxa"/>
              <w:right w:w="70" w:type="dxa"/>
              <w:bottom w:w="60" w:type="dxa"/>
            </w:tcMar>
            <w:tcW w:w="763" w:type="dxa"/>
            <w:vAlign w:val="top"/>
          </w:tcPr>
          <w:p>
            <w:pPr>
              <w:pStyle w:val="1297"/>
              <w:pBdr/>
              <w:spacing/>
              <w:ind/>
              <w:rPr/>
            </w:pPr>
            <w:r>
              <w:t xml:space="preserve">P4</w:t>
            </w:r>
            <w:r/>
          </w:p>
        </w:tc>
        <w:tc>
          <w:tcPr>
            <w:shd w:val="clear" w:color="auto" w:fill="f7f9fa"/>
            <w:tcBorders/>
            <w:tcMar>
              <w:left w:w="70" w:type="dxa"/>
              <w:top w:w="60" w:type="dxa"/>
              <w:right w:w="70" w:type="dxa"/>
              <w:bottom w:w="60" w:type="dxa"/>
            </w:tcMar>
            <w:tcW w:w="3051" w:type="dxa"/>
            <w:vAlign w:val="top"/>
          </w:tcPr>
          <w:p>
            <w:pPr>
              <w:pStyle w:val="1297"/>
              <w:pBdr/>
              <w:spacing/>
              <w:ind/>
              <w:rPr/>
            </w:pPr>
            <w:r>
              <w:t xml:space="preserve">No fixed substantial self</w:t>
            </w:r>
            <w:r/>
          </w:p>
        </w:tc>
        <w:tc>
          <w:tcPr>
            <w:shd w:val="clear" w:color="auto" w:fill="f7f9fa"/>
            <w:tcBorders/>
            <w:tcMar>
              <w:left w:w="70" w:type="dxa"/>
              <w:top w:w="60" w:type="dxa"/>
              <w:right w:w="70" w:type="dxa"/>
              <w:bottom w:w="60" w:type="dxa"/>
            </w:tcMar>
            <w:tcW w:w="6560" w:type="dxa"/>
            <w:vAlign w:val="top"/>
          </w:tcPr>
          <w:p>
            <w:pPr>
              <w:pStyle w:val="1297"/>
              <w:pBdr/>
              <w:spacing/>
              <w:ind/>
              <w:rPr/>
            </w:pPr>
            <w:r>
              <w:rPr>
                <w:b/>
              </w:rPr>
              <w:t xml:space="preserve">Support:</w:t>
            </w:r>
            <w:r>
              <w:t xml:space="preserve"> Nāgārjuna; Vasubandhu; Hume; Sartre Counterpressure: Śaṅkara; Sāṃkhya; Jaina; Descartes; Avicenna</w:t>
            </w:r>
            <w:r/>
          </w:p>
        </w:tc>
        <w:tc>
          <w:tcPr>
            <w:shd w:val="clear" w:color="auto" w:fill="f7f9fa"/>
            <w:tcBorders/>
            <w:tcMar>
              <w:left w:w="70" w:type="dxa"/>
              <w:top w:w="60" w:type="dxa"/>
              <w:right w:w="70" w:type="dxa"/>
              <w:bottom w:w="60" w:type="dxa"/>
            </w:tcMar>
            <w:tcW w:w="915" w:type="dxa"/>
            <w:vAlign w:val="top"/>
          </w:tcPr>
          <w:p>
            <w:pPr>
              <w:pStyle w:val="1297"/>
              <w:pBdr/>
              <w:spacing/>
              <w:ind/>
              <w:rPr/>
            </w:pPr>
            <w:r>
              <w:t xml:space="preserve">L2</w:t>
            </w:r>
            <w:r/>
          </w:p>
        </w:tc>
        <w:tc>
          <w:tcPr>
            <w:shd w:val="clear" w:color="auto" w:fill="f7f9fa"/>
            <w:tcBorders/>
            <w:tcMar>
              <w:left w:w="70" w:type="dxa"/>
              <w:top w:w="60" w:type="dxa"/>
              <w:right w:w="70" w:type="dxa"/>
              <w:bottom w:w="60" w:type="dxa"/>
            </w:tcMar>
            <w:tcW w:w="3966" w:type="dxa"/>
            <w:vAlign w:val="top"/>
          </w:tcPr>
          <w:p>
            <w:pPr>
              <w:pStyle w:val="1297"/>
              <w:pBdr/>
              <w:spacing/>
              <w:ind/>
              <w:rPr/>
            </w:pPr>
            <w:r>
              <w:t xml:space="preserve">Publish only as a morphology whose positive replacements remain materially different.</w:t>
            </w:r>
            <w:r/>
          </w:p>
        </w:tc>
      </w:tr>
      <w:tr>
        <w:trPr>
          <w:cantSplit/>
        </w:trPr>
        <w:tc>
          <w:tcPr>
            <w:tcBorders/>
            <w:tcMar>
              <w:left w:w="70" w:type="dxa"/>
              <w:top w:w="60" w:type="dxa"/>
              <w:right w:w="70" w:type="dxa"/>
              <w:bottom w:w="60" w:type="dxa"/>
            </w:tcMar>
            <w:tcW w:w="763" w:type="dxa"/>
            <w:vAlign w:val="top"/>
          </w:tcPr>
          <w:p>
            <w:pPr>
              <w:pStyle w:val="1297"/>
              <w:pBdr/>
              <w:spacing/>
              <w:ind/>
              <w:rPr/>
            </w:pPr>
            <w:r>
              <w:t xml:space="preserve">P5</w:t>
            </w:r>
            <w:r/>
          </w:p>
        </w:tc>
        <w:tc>
          <w:tcPr>
            <w:tcBorders/>
            <w:tcMar>
              <w:left w:w="70" w:type="dxa"/>
              <w:top w:w="60" w:type="dxa"/>
              <w:right w:w="70" w:type="dxa"/>
              <w:bottom w:w="60" w:type="dxa"/>
            </w:tcMar>
            <w:tcW w:w="3051" w:type="dxa"/>
            <w:vAlign w:val="top"/>
          </w:tcPr>
          <w:p>
            <w:pPr>
              <w:pStyle w:val="1297"/>
              <w:pBdr/>
              <w:spacing/>
              <w:ind/>
              <w:rPr/>
            </w:pPr>
            <w:r>
              <w:t xml:space="preserve">Consciousness as fundamental</w:t>
            </w:r>
            <w:r/>
          </w:p>
        </w:tc>
        <w:tc>
          <w:tcPr>
            <w:tcBorders/>
            <w:tcMar>
              <w:left w:w="70" w:type="dxa"/>
              <w:top w:w="60" w:type="dxa"/>
              <w:right w:w="70" w:type="dxa"/>
              <w:bottom w:w="60" w:type="dxa"/>
            </w:tcMar>
            <w:tcW w:w="6560" w:type="dxa"/>
            <w:vAlign w:val="top"/>
          </w:tcPr>
          <w:p>
            <w:pPr>
              <w:pStyle w:val="1297"/>
              <w:pBdr/>
              <w:spacing/>
              <w:ind/>
              <w:rPr/>
            </w:pPr>
            <w:r>
              <w:rPr>
                <w:b/>
              </w:rPr>
              <w:t xml:space="preserve">Support:</w:t>
            </w:r>
            <w:r>
              <w:t xml:space="preserve"> Sāṃkhya; Utpaladeva; constitutive micropsychism; Leibniz/Whitehead as qualified comparators Counterpressure: Papineau physicalism; Frankish illusionism; Epicureanism</w:t>
            </w:r>
            <w:r/>
          </w:p>
        </w:tc>
        <w:tc>
          <w:tcPr>
            <w:tcBorders/>
            <w:tcMar>
              <w:left w:w="70" w:type="dxa"/>
              <w:top w:w="60" w:type="dxa"/>
              <w:right w:w="70" w:type="dxa"/>
              <w:bottom w:w="60" w:type="dxa"/>
            </w:tcMar>
            <w:tcW w:w="915" w:type="dxa"/>
            <w:vAlign w:val="top"/>
          </w:tcPr>
          <w:p>
            <w:pPr>
              <w:pStyle w:val="1297"/>
              <w:pBdr/>
              <w:spacing/>
              <w:ind/>
              <w:rPr/>
            </w:pPr>
            <w:r>
              <w:t xml:space="preserve">L2</w:t>
            </w:r>
            <w:r/>
          </w:p>
        </w:tc>
        <w:tc>
          <w:tcPr>
            <w:tcBorders/>
            <w:tcMar>
              <w:left w:w="70" w:type="dxa"/>
              <w:top w:w="60" w:type="dxa"/>
              <w:right w:w="70" w:type="dxa"/>
              <w:bottom w:w="60" w:type="dxa"/>
            </w:tcMar>
            <w:tcW w:w="3966" w:type="dxa"/>
            <w:vAlign w:val="top"/>
          </w:tcPr>
          <w:p>
            <w:pPr>
              <w:pStyle w:val="1297"/>
              <w:pBdr/>
              <w:spacing/>
              <w:ind/>
              <w:rPr/>
            </w:pPr>
            <w:r>
              <w:t xml:space="preserve">Divide monistic/universal consciousness, plural witnesses, microphenomenal constitutivism and distributed perception.</w:t>
            </w:r>
            <w:r/>
          </w:p>
        </w:tc>
      </w:tr>
      <w:tr>
        <w:trPr>
          <w:cantSplit/>
        </w:trPr>
        <w:tc>
          <w:tcPr>
            <w:shd w:val="clear" w:color="auto" w:fill="f7f9fa"/>
            <w:tcBorders/>
            <w:tcMar>
              <w:left w:w="70" w:type="dxa"/>
              <w:top w:w="60" w:type="dxa"/>
              <w:right w:w="70" w:type="dxa"/>
              <w:bottom w:w="60" w:type="dxa"/>
            </w:tcMar>
            <w:tcW w:w="763" w:type="dxa"/>
            <w:vAlign w:val="top"/>
          </w:tcPr>
          <w:p>
            <w:pPr>
              <w:pStyle w:val="1297"/>
              <w:pBdr/>
              <w:spacing/>
              <w:ind/>
              <w:rPr/>
            </w:pPr>
            <w:r>
              <w:t xml:space="preserve">P6</w:t>
            </w:r>
            <w:r/>
          </w:p>
        </w:tc>
        <w:tc>
          <w:tcPr>
            <w:shd w:val="clear" w:color="auto" w:fill="f7f9fa"/>
            <w:tcBorders/>
            <w:tcMar>
              <w:left w:w="70" w:type="dxa"/>
              <w:top w:w="60" w:type="dxa"/>
              <w:right w:w="70" w:type="dxa"/>
              <w:bottom w:w="60" w:type="dxa"/>
            </w:tcMar>
            <w:tcW w:w="3051" w:type="dxa"/>
            <w:vAlign w:val="top"/>
          </w:tcPr>
          <w:p>
            <w:pPr>
              <w:pStyle w:val="1297"/>
              <w:pBdr/>
              <w:spacing/>
              <w:ind/>
              <w:rPr/>
            </w:pPr>
            <w:r>
              <w:t xml:space="preserve">Causal order and agency are analytically separable</w:t>
            </w:r>
            <w:r/>
          </w:p>
        </w:tc>
        <w:tc>
          <w:tcPr>
            <w:shd w:val="clear" w:color="auto" w:fill="f7f9fa"/>
            <w:tcBorders/>
            <w:tcMar>
              <w:left w:w="70" w:type="dxa"/>
              <w:top w:w="60" w:type="dxa"/>
              <w:right w:w="70" w:type="dxa"/>
              <w:bottom w:w="60" w:type="dxa"/>
            </w:tcMar>
            <w:tcW w:w="6560" w:type="dxa"/>
            <w:vAlign w:val="top"/>
          </w:tcPr>
          <w:p>
            <w:pPr>
              <w:pStyle w:val="1297"/>
              <w:pBdr/>
              <w:spacing/>
              <w:ind/>
              <w:rPr/>
            </w:pPr>
            <w:r>
              <w:rPr>
                <w:b/>
              </w:rPr>
              <w:t xml:space="preserve">Support:</w:t>
            </w:r>
            <w:r>
              <w:t xml:space="preserve"> Spinoza; Stoicism; Jaina; source-bounded Ifá; Gregory; Papineau partial thesis Counterpressure: Sartre pushes agency-first framing; Zhuangzi reframes “free will”</w:t>
            </w:r>
            <w:r/>
          </w:p>
        </w:tc>
        <w:tc>
          <w:tcPr>
            <w:shd w:val="clear" w:color="auto" w:fill="f7f9fa"/>
            <w:tcBorders/>
            <w:tcMar>
              <w:left w:w="70" w:type="dxa"/>
              <w:top w:w="60" w:type="dxa"/>
              <w:right w:w="70" w:type="dxa"/>
              <w:bottom w:w="60" w:type="dxa"/>
            </w:tcMar>
            <w:tcW w:w="915" w:type="dxa"/>
            <w:vAlign w:val="top"/>
          </w:tcPr>
          <w:p>
            <w:pPr>
              <w:pStyle w:val="1297"/>
              <w:pBdr/>
              <w:spacing/>
              <w:ind/>
              <w:rPr/>
            </w:pPr>
            <w:r>
              <w:t xml:space="preserve">L2</w:t>
            </w:r>
            <w:r/>
          </w:p>
        </w:tc>
        <w:tc>
          <w:tcPr>
            <w:shd w:val="clear" w:color="auto" w:fill="f7f9fa"/>
            <w:tcBorders/>
            <w:tcMar>
              <w:left w:w="70" w:type="dxa"/>
              <w:top w:w="60" w:type="dxa"/>
              <w:right w:w="70" w:type="dxa"/>
              <w:bottom w:w="60" w:type="dxa"/>
            </w:tcMar>
            <w:tcW w:w="3966" w:type="dxa"/>
            <w:vAlign w:val="top"/>
          </w:tcPr>
          <w:p>
            <w:pPr>
              <w:pStyle w:val="1297"/>
              <w:pBdr/>
              <w:spacing/>
              <w:ind/>
              <w:rPr/>
            </w:pPr>
            <w:r>
              <w:t xml:space="preserve">Use as an Atlas analytical morphology only, not a claim that all Positions formulate causation or agency alike.</w:t>
            </w:r>
            <w:r/>
          </w:p>
        </w:tc>
      </w:tr>
      <w:tr>
        <w:trPr>
          <w:cantSplit/>
        </w:trPr>
        <w:tc>
          <w:tcPr>
            <w:tcBorders/>
            <w:tcMar>
              <w:left w:w="70" w:type="dxa"/>
              <w:top w:w="60" w:type="dxa"/>
              <w:right w:w="70" w:type="dxa"/>
              <w:bottom w:w="60" w:type="dxa"/>
            </w:tcMar>
            <w:tcW w:w="763" w:type="dxa"/>
            <w:vAlign w:val="top"/>
          </w:tcPr>
          <w:p>
            <w:pPr>
              <w:pStyle w:val="1297"/>
              <w:pBdr/>
              <w:spacing/>
              <w:ind/>
              <w:rPr/>
            </w:pPr>
            <w:r>
              <w:t xml:space="preserve">P7</w:t>
            </w:r>
            <w:r/>
          </w:p>
        </w:tc>
        <w:tc>
          <w:tcPr>
            <w:tcBorders/>
            <w:tcMar>
              <w:left w:w="70" w:type="dxa"/>
              <w:top w:w="60" w:type="dxa"/>
              <w:right w:w="70" w:type="dxa"/>
              <w:bottom w:w="60" w:type="dxa"/>
            </w:tcMar>
            <w:tcW w:w="3051" w:type="dxa"/>
            <w:vAlign w:val="top"/>
          </w:tcPr>
          <w:p>
            <w:pPr>
              <w:pStyle w:val="1297"/>
              <w:pBdr/>
              <w:spacing/>
              <w:ind/>
              <w:rPr/>
            </w:pPr>
            <w:r>
              <w:t xml:space="preserve">Terminal versus open-ended transformation</w:t>
            </w:r>
            <w:r/>
          </w:p>
        </w:tc>
        <w:tc>
          <w:tcPr>
            <w:tcBorders/>
            <w:tcMar>
              <w:left w:w="70" w:type="dxa"/>
              <w:top w:w="60" w:type="dxa"/>
              <w:right w:w="70" w:type="dxa"/>
              <w:bottom w:w="60" w:type="dxa"/>
            </w:tcMar>
            <w:tcW w:w="6560" w:type="dxa"/>
            <w:vAlign w:val="top"/>
          </w:tcPr>
          <w:p>
            <w:pPr>
              <w:pStyle w:val="1297"/>
              <w:pBdr/>
              <w:spacing/>
              <w:ind/>
              <w:rPr/>
            </w:pPr>
            <w:r>
              <w:rPr>
                <w:b/>
              </w:rPr>
              <w:t xml:space="preserve">Support:</w:t>
            </w:r>
            <w:r>
              <w:t xml:space="preserve"> Gregory’s epektasis; Dōgen comparator; Sartre; Zhu Xi; Śaṅkara/Jaina terminal-release contrasts Counterpressure: NSA/UND in Papineau/micropsychism; Epicurus has a practical but non-cosmic end</w:t>
            </w:r>
            <w:r/>
          </w:p>
        </w:tc>
        <w:tc>
          <w:tcPr>
            <w:tcBorders/>
            <w:tcMar>
              <w:left w:w="70" w:type="dxa"/>
              <w:top w:w="60" w:type="dxa"/>
              <w:right w:w="70" w:type="dxa"/>
              <w:bottom w:w="60" w:type="dxa"/>
            </w:tcMar>
            <w:tcW w:w="915" w:type="dxa"/>
            <w:vAlign w:val="top"/>
          </w:tcPr>
          <w:p>
            <w:pPr>
              <w:pStyle w:val="1297"/>
              <w:pBdr/>
              <w:spacing/>
              <w:ind/>
              <w:rPr/>
            </w:pPr>
            <w:r>
              <w:t xml:space="preserve">L2</w:t>
            </w:r>
            <w:r/>
          </w:p>
        </w:tc>
        <w:tc>
          <w:tcPr>
            <w:tcBorders/>
            <w:tcMar>
              <w:left w:w="70" w:type="dxa"/>
              <w:top w:w="60" w:type="dxa"/>
              <w:right w:w="70" w:type="dxa"/>
              <w:bottom w:w="60" w:type="dxa"/>
            </w:tcMar>
            <w:tcW w:w="3966" w:type="dxa"/>
            <w:vAlign w:val="top"/>
          </w:tcPr>
          <w:p>
            <w:pPr>
              <w:pStyle w:val="1297"/>
              <w:pBdr/>
              <w:spacing/>
              <w:ind/>
              <w:rPr/>
            </w:pPr>
            <w:r>
              <w:t xml:space="preserve">Potential Chapter 18–19 organizer only after exact praxis/telos source review and active counterexample search.</w:t>
            </w:r>
            <w:r/>
          </w:p>
        </w:tc>
      </w:tr>
      <w:tr>
        <w:trPr>
          <w:cantSplit/>
        </w:trPr>
        <w:tc>
          <w:tcPr>
            <w:shd w:val="clear" w:color="auto" w:fill="f7f9fa"/>
            <w:tcBorders/>
            <w:tcMar>
              <w:left w:w="70" w:type="dxa"/>
              <w:top w:w="60" w:type="dxa"/>
              <w:right w:w="70" w:type="dxa"/>
              <w:bottom w:w="60" w:type="dxa"/>
            </w:tcMar>
            <w:tcW w:w="763" w:type="dxa"/>
            <w:vAlign w:val="top"/>
          </w:tcPr>
          <w:p>
            <w:pPr>
              <w:pStyle w:val="1297"/>
              <w:pBdr/>
              <w:spacing/>
              <w:ind/>
              <w:rPr/>
            </w:pPr>
            <w:r>
              <w:t xml:space="preserve">F1</w:t>
            </w:r>
            <w:r/>
          </w:p>
        </w:tc>
        <w:tc>
          <w:tcPr>
            <w:shd w:val="clear" w:color="auto" w:fill="f7f9fa"/>
            <w:tcBorders/>
            <w:tcMar>
              <w:left w:w="70" w:type="dxa"/>
              <w:top w:w="60" w:type="dxa"/>
              <w:right w:w="70" w:type="dxa"/>
              <w:bottom w:w="60" w:type="dxa"/>
            </w:tcMar>
            <w:tcW w:w="3051" w:type="dxa"/>
            <w:vAlign w:val="top"/>
          </w:tcPr>
          <w:p>
            <w:pPr>
              <w:pStyle w:val="1297"/>
              <w:pBdr/>
              <w:spacing/>
              <w:ind/>
              <w:rPr/>
            </w:pPr>
            <w:r>
              <w:t xml:space="preserve">Ultimate Self versus no-self / emptiness</w:t>
            </w:r>
            <w:r/>
          </w:p>
        </w:tc>
        <w:tc>
          <w:tcPr>
            <w:shd w:val="clear" w:color="auto" w:fill="f7f9fa"/>
            <w:tcBorders/>
            <w:tcMar>
              <w:left w:w="70" w:type="dxa"/>
              <w:top w:w="60" w:type="dxa"/>
              <w:right w:w="70" w:type="dxa"/>
              <w:bottom w:w="60" w:type="dxa"/>
            </w:tcMar>
            <w:tcW w:w="6560" w:type="dxa"/>
            <w:vAlign w:val="top"/>
          </w:tcPr>
          <w:p>
            <w:pPr>
              <w:pStyle w:val="1297"/>
              <w:pBdr/>
              <w:spacing/>
              <w:ind/>
              <w:rPr/>
            </w:pPr>
            <w:r>
              <w:rPr>
                <w:b/>
              </w:rPr>
              <w:t xml:space="preserve">Support:</w:t>
            </w:r>
            <w:r>
              <w:t xml:space="preserve"> Śaṅkara versus Nāgārjuna; Sāṃkhya and Jaina complicate the binary Counterpressure: Hume and Sartre supply anti-substantial countercases; historical independence requires a scoped genealogy/contact assessment.</w:t>
            </w:r>
            <w:r/>
          </w:p>
        </w:tc>
        <w:tc>
          <w:tcPr>
            <w:shd w:val="clear" w:color="auto" w:fill="f7f9fa"/>
            <w:tcBorders/>
            <w:tcMar>
              <w:left w:w="70" w:type="dxa"/>
              <w:top w:w="60" w:type="dxa"/>
              <w:right w:w="70" w:type="dxa"/>
              <w:bottom w:w="60" w:type="dxa"/>
            </w:tcMar>
            <w:tcW w:w="915" w:type="dxa"/>
            <w:vAlign w:val="top"/>
          </w:tcPr>
          <w:p>
            <w:pPr>
              <w:pStyle w:val="1297"/>
              <w:pBdr/>
              <w:spacing/>
              <w:ind/>
              <w:rPr/>
            </w:pPr>
            <w:r>
              <w:t xml:space="preserve">L1</w:t>
            </w:r>
            <w:r/>
          </w:p>
        </w:tc>
        <w:tc>
          <w:tcPr>
            <w:shd w:val="clear" w:color="auto" w:fill="f7f9fa"/>
            <w:tcBorders/>
            <w:tcMar>
              <w:left w:w="70" w:type="dxa"/>
              <w:top w:w="60" w:type="dxa"/>
              <w:right w:w="70" w:type="dxa"/>
              <w:bottom w:w="60" w:type="dxa"/>
            </w:tcMar>
            <w:tcW w:w="3966" w:type="dxa"/>
            <w:vAlign w:val="top"/>
          </w:tcPr>
          <w:p>
            <w:pPr>
              <w:pStyle w:val="1297"/>
              <w:pBdr/>
              <w:spacing/>
              <w:ind/>
              <w:rPr/>
            </w:pPr>
            <w:r>
              <w:t xml:space="preserve">Central pairwise fault line; no cross-traditional ontological equivalence.</w:t>
            </w:r>
            <w:r/>
          </w:p>
        </w:tc>
      </w:tr>
      <w:tr>
        <w:trPr>
          <w:cantSplit/>
        </w:trPr>
        <w:tc>
          <w:tcPr>
            <w:tcBorders/>
            <w:tcMar>
              <w:left w:w="70" w:type="dxa"/>
              <w:top w:w="60" w:type="dxa"/>
              <w:right w:w="70" w:type="dxa"/>
              <w:bottom w:w="60" w:type="dxa"/>
            </w:tcMar>
            <w:tcW w:w="763" w:type="dxa"/>
            <w:vAlign w:val="top"/>
          </w:tcPr>
          <w:p>
            <w:pPr>
              <w:pStyle w:val="1297"/>
              <w:pBdr/>
              <w:spacing/>
              <w:ind/>
              <w:rPr/>
            </w:pPr>
            <w:r>
              <w:t xml:space="preserve">F2</w:t>
            </w:r>
            <w:r/>
          </w:p>
        </w:tc>
        <w:tc>
          <w:tcPr>
            <w:tcBorders/>
            <w:tcMar>
              <w:left w:w="70" w:type="dxa"/>
              <w:top w:w="60" w:type="dxa"/>
              <w:right w:w="70" w:type="dxa"/>
              <w:bottom w:w="60" w:type="dxa"/>
            </w:tcMar>
            <w:tcW w:w="3051" w:type="dxa"/>
            <w:vAlign w:val="top"/>
          </w:tcPr>
          <w:p>
            <w:pPr>
              <w:pStyle w:val="1297"/>
              <w:pBdr/>
              <w:spacing/>
              <w:ind/>
              <w:rPr/>
            </w:pPr>
            <w:r>
              <w:t xml:space="preserve">Created-good world versus defective lower cosmos</w:t>
            </w:r>
            <w:r/>
          </w:p>
        </w:tc>
        <w:tc>
          <w:tcPr>
            <w:tcBorders/>
            <w:tcMar>
              <w:left w:w="70" w:type="dxa"/>
              <w:top w:w="60" w:type="dxa"/>
              <w:right w:w="70" w:type="dxa"/>
              <w:bottom w:w="60" w:type="dxa"/>
            </w:tcMar>
            <w:tcW w:w="6560" w:type="dxa"/>
            <w:vAlign w:val="top"/>
          </w:tcPr>
          <w:p>
            <w:pPr>
              <w:pStyle w:val="1297"/>
              <w:pBdr/>
              <w:spacing/>
              <w:ind/>
              <w:rPr/>
            </w:pPr>
            <w:r>
              <w:rPr>
                <w:b/>
              </w:rPr>
              <w:t xml:space="preserve">Support:</w:t>
            </w:r>
            <w:r>
              <w:t xml:space="preserve"> Gregory versus Apocryphon of John Counterpressure: Other world orientations show the binary is local, not universal</w:t>
            </w:r>
            <w:r/>
          </w:p>
        </w:tc>
        <w:tc>
          <w:tcPr>
            <w:tcBorders/>
            <w:tcMar>
              <w:left w:w="70" w:type="dxa"/>
              <w:top w:w="60" w:type="dxa"/>
              <w:right w:w="70" w:type="dxa"/>
              <w:bottom w:w="60" w:type="dxa"/>
            </w:tcMar>
            <w:tcW w:w="915" w:type="dxa"/>
            <w:vAlign w:val="top"/>
          </w:tcPr>
          <w:p>
            <w:pPr>
              <w:pStyle w:val="1297"/>
              <w:pBdr/>
              <w:spacing/>
              <w:ind/>
              <w:rPr/>
            </w:pPr>
            <w:r>
              <w:t xml:space="preserve">L1</w:t>
            </w:r>
            <w:r/>
          </w:p>
        </w:tc>
        <w:tc>
          <w:tcPr>
            <w:tcBorders/>
            <w:tcMar>
              <w:left w:w="70" w:type="dxa"/>
              <w:top w:w="60" w:type="dxa"/>
              <w:right w:w="70" w:type="dxa"/>
              <w:bottom w:w="60" w:type="dxa"/>
            </w:tcMar>
            <w:tcW w:w="3966" w:type="dxa"/>
            <w:vAlign w:val="top"/>
          </w:tcPr>
          <w:p>
            <w:pPr>
              <w:pStyle w:val="1297"/>
              <w:pBdr/>
              <w:spacing/>
              <w:ind/>
              <w:rPr/>
            </w:pPr>
            <w:r>
              <w:t xml:space="preserve">Central but deliberately local in temporal, textual and doctrinal scope.</w:t>
            </w:r>
            <w:r/>
          </w:p>
        </w:tc>
      </w:tr>
      <w:tr>
        <w:trPr>
          <w:cantSplit/>
        </w:trPr>
        <w:tc>
          <w:tcPr>
            <w:shd w:val="clear" w:color="auto" w:fill="f7f9fa"/>
            <w:tcBorders/>
            <w:tcMar>
              <w:left w:w="70" w:type="dxa"/>
              <w:top w:w="60" w:type="dxa"/>
              <w:right w:w="70" w:type="dxa"/>
              <w:bottom w:w="60" w:type="dxa"/>
            </w:tcMar>
            <w:tcW w:w="763" w:type="dxa"/>
            <w:vAlign w:val="top"/>
          </w:tcPr>
          <w:p>
            <w:pPr>
              <w:pStyle w:val="1297"/>
              <w:pBdr/>
              <w:spacing/>
              <w:ind/>
              <w:rPr/>
            </w:pPr>
            <w:r>
              <w:t xml:space="preserve">F3</w:t>
            </w:r>
            <w:r/>
          </w:p>
        </w:tc>
        <w:tc>
          <w:tcPr>
            <w:shd w:val="clear" w:color="auto" w:fill="f7f9fa"/>
            <w:tcBorders/>
            <w:tcMar>
              <w:left w:w="70" w:type="dxa"/>
              <w:top w:w="60" w:type="dxa"/>
              <w:right w:w="70" w:type="dxa"/>
              <w:bottom w:w="60" w:type="dxa"/>
            </w:tcMar>
            <w:tcW w:w="3051" w:type="dxa"/>
            <w:vAlign w:val="top"/>
          </w:tcPr>
          <w:p>
            <w:pPr>
              <w:pStyle w:val="1297"/>
              <w:pBdr/>
              <w:spacing/>
              <w:ind/>
              <w:rPr/>
            </w:pPr>
            <w:r>
              <w:t xml:space="preserve">Physical/emergent consciousness versus fundamental phenomenal base</w:t>
            </w:r>
            <w:r/>
          </w:p>
        </w:tc>
        <w:tc>
          <w:tcPr>
            <w:shd w:val="clear" w:color="auto" w:fill="f7f9fa"/>
            <w:tcBorders/>
            <w:tcMar>
              <w:left w:w="70" w:type="dxa"/>
              <w:top w:w="60" w:type="dxa"/>
              <w:right w:w="70" w:type="dxa"/>
              <w:bottom w:w="60" w:type="dxa"/>
            </w:tcMar>
            <w:tcW w:w="6560" w:type="dxa"/>
            <w:vAlign w:val="top"/>
          </w:tcPr>
          <w:p>
            <w:pPr>
              <w:pStyle w:val="1297"/>
              <w:pBdr/>
              <w:spacing/>
              <w:ind/>
              <w:rPr/>
            </w:pPr>
            <w:r>
              <w:rPr>
                <w:b/>
              </w:rPr>
              <w:t xml:space="preserve">Support:</w:t>
            </w:r>
            <w:r>
              <w:t xml:space="preserve"> Papineau physicalism versus constitutive micropsychism; Chalmers/Frankish stress the space Counterpressure: Sāṃkhya/Utpaladeva prevent modern binary universalization</w:t>
            </w:r>
            <w:r/>
          </w:p>
        </w:tc>
        <w:tc>
          <w:tcPr>
            <w:shd w:val="clear" w:color="auto" w:fill="f7f9fa"/>
            <w:tcBorders/>
            <w:tcMar>
              <w:left w:w="70" w:type="dxa"/>
              <w:top w:w="60" w:type="dxa"/>
              <w:right w:w="70" w:type="dxa"/>
              <w:bottom w:w="60" w:type="dxa"/>
            </w:tcMar>
            <w:tcW w:w="915" w:type="dxa"/>
            <w:vAlign w:val="top"/>
          </w:tcPr>
          <w:p>
            <w:pPr>
              <w:pStyle w:val="1297"/>
              <w:pBdr/>
              <w:spacing/>
              <w:ind/>
              <w:rPr/>
            </w:pPr>
            <w:r>
              <w:t xml:space="preserve">L1</w:t>
            </w:r>
            <w:r/>
          </w:p>
        </w:tc>
        <w:tc>
          <w:tcPr>
            <w:shd w:val="clear" w:color="auto" w:fill="f7f9fa"/>
            <w:tcBorders/>
            <w:tcMar>
              <w:left w:w="70" w:type="dxa"/>
              <w:top w:w="60" w:type="dxa"/>
              <w:right w:w="70" w:type="dxa"/>
              <w:bottom w:w="60" w:type="dxa"/>
            </w:tcMar>
            <w:tcW w:w="3966" w:type="dxa"/>
            <w:vAlign w:val="top"/>
          </w:tcPr>
          <w:p>
            <w:pPr>
              <w:pStyle w:val="1297"/>
              <w:pBdr/>
              <w:spacing/>
              <w:ind/>
              <w:rPr/>
            </w:pPr>
            <w:r>
              <w:t xml:space="preserve">Central in Chapter 7; historical comparators do not universalize the analytic fault line.</w:t>
            </w:r>
            <w:r/>
          </w:p>
        </w:tc>
      </w:tr>
      <w:tr>
        <w:trPr>
          <w:cantSplit/>
        </w:trPr>
        <w:tc>
          <w:tcPr>
            <w:tcBorders/>
            <w:tcMar>
              <w:left w:w="70" w:type="dxa"/>
              <w:top w:w="60" w:type="dxa"/>
              <w:right w:w="70" w:type="dxa"/>
              <w:bottom w:w="60" w:type="dxa"/>
            </w:tcMar>
            <w:tcW w:w="763" w:type="dxa"/>
            <w:vAlign w:val="top"/>
          </w:tcPr>
          <w:p>
            <w:pPr>
              <w:pStyle w:val="1297"/>
              <w:pBdr/>
              <w:spacing/>
              <w:ind/>
              <w:rPr/>
            </w:pPr>
            <w:r>
              <w:t xml:space="preserve">F4</w:t>
            </w:r>
            <w:r/>
          </w:p>
        </w:tc>
        <w:tc>
          <w:tcPr>
            <w:tcBorders/>
            <w:tcMar>
              <w:left w:w="70" w:type="dxa"/>
              <w:top w:w="60" w:type="dxa"/>
              <w:right w:w="70" w:type="dxa"/>
              <w:bottom w:w="60" w:type="dxa"/>
            </w:tcMar>
            <w:tcW w:w="3051" w:type="dxa"/>
            <w:vAlign w:val="top"/>
          </w:tcPr>
          <w:p>
            <w:pPr>
              <w:pStyle w:val="1297"/>
              <w:pBdr/>
              <w:spacing/>
              <w:ind/>
              <w:rPr/>
            </w:pPr>
            <w:r>
              <w:t xml:space="preserve">Human-exclusive versus distributed interiority/personhood</w:t>
            </w:r>
            <w:r/>
          </w:p>
        </w:tc>
        <w:tc>
          <w:tcPr>
            <w:tcBorders/>
            <w:tcMar>
              <w:left w:w="70" w:type="dxa"/>
              <w:top w:w="60" w:type="dxa"/>
              <w:right w:w="70" w:type="dxa"/>
              <w:bottom w:w="60" w:type="dxa"/>
            </w:tcMar>
            <w:tcW w:w="6560" w:type="dxa"/>
            <w:vAlign w:val="top"/>
          </w:tcPr>
          <w:p>
            <w:pPr>
              <w:pStyle w:val="1297"/>
              <w:pBdr/>
              <w:spacing/>
              <w:ind/>
              <w:rPr/>
            </w:pPr>
            <w:r>
              <w:rPr>
                <w:b/>
              </w:rPr>
              <w:t xml:space="preserve">Support:</w:t>
            </w:r>
            <w:r>
              <w:t xml:space="preserve"> Human-exclusive pole: a named bounded Position and exact Claims must be established before this pole supplies evidence of incompatibility. Opposing comparands: Jaina/Lei</w:t>
            </w:r>
            <w:r>
              <w:t xml:space="preserve">bniz/Whitehead/Akan debates; Ifá/Achuar/Māori remain dependency-bounded. Until the human-exclusive pole is source-bounded, it is an unresolved comparison requirement. Counterpressure: Sentience, agency, personhood and moral standing are distinct dimensions</w:t>
            </w:r>
            <w:r/>
          </w:p>
        </w:tc>
        <w:tc>
          <w:tcPr>
            <w:tcBorders/>
            <w:tcMar>
              <w:left w:w="70" w:type="dxa"/>
              <w:top w:w="60" w:type="dxa"/>
              <w:right w:w="70" w:type="dxa"/>
              <w:bottom w:w="60" w:type="dxa"/>
            </w:tcMar>
            <w:tcW w:w="915" w:type="dxa"/>
            <w:vAlign w:val="top"/>
          </w:tcPr>
          <w:p>
            <w:pPr>
              <w:pStyle w:val="1297"/>
              <w:pBdr/>
              <w:spacing/>
              <w:ind/>
              <w:rPr/>
            </w:pPr>
            <w:r>
              <w:t xml:space="preserve">L1</w:t>
            </w:r>
            <w:r/>
          </w:p>
        </w:tc>
        <w:tc>
          <w:tcPr>
            <w:tcBorders/>
            <w:tcMar>
              <w:left w:w="70" w:type="dxa"/>
              <w:top w:w="60" w:type="dxa"/>
              <w:right w:w="70" w:type="dxa"/>
              <w:bottom w:w="60" w:type="dxa"/>
            </w:tcMar>
            <w:tcW w:w="3966" w:type="dxa"/>
            <w:vAlign w:val="top"/>
          </w:tcPr>
          <w:p>
            <w:pPr>
              <w:pStyle w:val="1297"/>
              <w:pBdr/>
              <w:spacing/>
              <w:ind/>
              <w:rPr/>
            </w:pPr>
            <w:r>
              <w:t xml:space="preserve">Retain as a prospective scoped fault-line question; assertion of incompatibility awaits a source-bounded human-exclusive pole and exact opposing Claims; any L2 cluster claim requires additional governed representation and synthesis evidence.</w:t>
            </w:r>
            <w:r/>
          </w:p>
        </w:tc>
      </w:tr>
    </w:tbl>
    <w:p>
      <w:pPr>
        <w:pStyle w:val="1300"/>
        <w:pBdr/>
        <w:spacing/>
        <w:ind/>
        <w:rPr/>
      </w:pPr>
      <w:r/>
      <w:r/>
    </w:p>
    <w:p>
      <w:pPr>
        <w:pBdr/>
        <w:spacing/>
        <w:ind/>
        <w:rPr/>
        <w:sectPr>
          <w:headerReference w:type="default" r:id="rId13"/>
          <w:footerReference w:type="default" r:id="rId24"/>
          <w:footnotePr/>
          <w:endnotePr/>
          <w:type w:val="nextPage"/>
          <w:pgSz w:h="11906" w:orient="landscape" w:w="16838"/>
          <w:pgMar w:top="792" w:right="792" w:bottom="792" w:left="792" w:header="403" w:footer="403" w:gutter="0"/>
          <w:cols w:num="1" w:sep="0" w:space="720" w:equalWidth="1"/>
        </w:sectPr>
      </w:pPr>
      <w:r/>
      <w:r/>
    </w:p>
    <w:p>
      <w:pPr>
        <w:pBdr/>
        <w:spacing/>
        <w:ind/>
        <w:rPr/>
      </w:pPr>
      <w:r>
        <w:t xml:space="preserve">Chapters 3–18 stage bounded philosophical problems and local fau</w:t>
      </w:r>
      <w:r>
        <w:t xml:space="preserve">lt lines. Chapter 19 asks which structures recur after the reader has seen the disanalogies; Chapter 20 states the warranted limits. No cumulative reader-facing formulation may exceed the exact publication scope of its SynthesisRecord and PublicationClaim.</w:t>
      </w:r>
      <w:r/>
    </w:p>
    <w:p>
      <w:pPr>
        <w:pStyle w:val="1136"/>
        <w:keepNext w:val="true"/>
        <w:keepLines w:val="true"/>
        <w:pBdr/>
        <w:spacing/>
        <w:ind/>
        <w:rPr/>
      </w:pPr>
      <w:r/>
      <w:bookmarkStart w:id="120" w:name="SEC_7"/>
      <w:r>
        <w:t xml:space="preserve">7. D1–D15 publication coverage</w:t>
      </w:r>
      <w:bookmarkEnd w:id="120"/>
      <w:r/>
      <w:r/>
    </w:p>
    <w:p>
      <w:pPr>
        <w:pBdr/>
        <w:spacing/>
        <w:ind/>
        <w:rPr/>
      </w:pPr>
      <w:r>
        <w:t xml:space="preserve">D1–D15 audit completeness downstream of the chapter plan; they do not dictate chapter order. Domain meanings and high-risk boundary rules are governed by Research Specification §3 and its Annex A.</w:t>
      </w:r>
      <w:r/>
    </w:p>
    <w:p>
      <w:pPr>
        <w:pStyle w:val="1184"/>
        <w:keepNext w:val="true"/>
        <w:keepLines w:val="true"/>
        <w:pBdr/>
        <w:spacing/>
        <w:ind/>
        <w:rPr/>
      </w:pPr>
      <w:r/>
      <w:bookmarkStart w:id="121" w:name="T_DOMAIN_COVERAGE"/>
      <w:r>
        <w:t xml:space="preserve">Derived — D1–D15 publication coverage view; source: Part II chapter briefs</w:t>
      </w:r>
      <w:bookmarkEnd w:id="121"/>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2801"/>
        <w:gridCol w:w="1501"/>
        <w:gridCol w:w="3601"/>
        <w:gridCol w:w="2101"/>
      </w:tblGrid>
      <w:tr>
        <w:trPr>
          <w:cantSplit/>
          <w:tblHeader/>
        </w:trPr>
        <w:tc>
          <w:tcPr>
            <w:shd w:val="clear" w:color="auto" w:fill="1f5a73"/>
            <w:tcBorders/>
            <w:tcMar>
              <w:left w:w="70" w:type="dxa"/>
              <w:top w:w="60" w:type="dxa"/>
              <w:right w:w="70" w:type="dxa"/>
              <w:bottom w:w="60" w:type="dxa"/>
            </w:tcMar>
            <w:tcW w:w="2801" w:type="dxa"/>
            <w:vAlign w:val="top"/>
          </w:tcPr>
          <w:p>
            <w:pPr>
              <w:pStyle w:val="1298"/>
              <w:pBdr/>
              <w:spacing/>
              <w:ind/>
              <w:rPr/>
            </w:pPr>
            <w:r>
              <w:t xml:space="preserve">Domain and coverage</w:t>
            </w:r>
            <w:r/>
          </w:p>
        </w:tc>
        <w:tc>
          <w:tcPr>
            <w:shd w:val="clear" w:color="auto" w:fill="1f5a73"/>
            <w:tcBorders/>
            <w:tcMar>
              <w:left w:w="70" w:type="dxa"/>
              <w:top w:w="60" w:type="dxa"/>
              <w:right w:w="70" w:type="dxa"/>
              <w:bottom w:w="60" w:type="dxa"/>
            </w:tcMar>
            <w:tcW w:w="1501" w:type="dxa"/>
            <w:vAlign w:val="top"/>
          </w:tcPr>
          <w:p>
            <w:pPr>
              <w:pStyle w:val="1298"/>
              <w:pBdr/>
              <w:spacing/>
              <w:ind/>
              <w:rPr/>
            </w:pPr>
            <w:r>
              <w:t xml:space="preserve">Primary print locations</w:t>
            </w:r>
            <w:r/>
          </w:p>
        </w:tc>
        <w:tc>
          <w:tcPr>
            <w:shd w:val="clear" w:color="auto" w:fill="1f5a73"/>
            <w:tcBorders/>
            <w:tcMar>
              <w:left w:w="70" w:type="dxa"/>
              <w:top w:w="60" w:type="dxa"/>
              <w:right w:w="70" w:type="dxa"/>
              <w:bottom w:w="60" w:type="dxa"/>
            </w:tcMar>
            <w:tcW w:w="3601" w:type="dxa"/>
            <w:vAlign w:val="top"/>
          </w:tcPr>
          <w:p>
            <w:pPr>
              <w:pStyle w:val="1298"/>
              <w:pBdr/>
              <w:spacing/>
              <w:ind/>
              <w:rPr/>
            </w:pPr>
            <w:r>
              <w:t xml:space="preserve">Blind-spot or overweight risk</w:t>
            </w:r>
            <w:r/>
          </w:p>
        </w:tc>
        <w:tc>
          <w:tcPr>
            <w:shd w:val="clear" w:color="auto" w:fill="1f5a73"/>
            <w:tcBorders/>
            <w:tcMar>
              <w:left w:w="70" w:type="dxa"/>
              <w:top w:w="60" w:type="dxa"/>
              <w:right w:w="70" w:type="dxa"/>
              <w:bottom w:w="60" w:type="dxa"/>
            </w:tcMar>
            <w:tcW w:w="2101" w:type="dxa"/>
            <w:vAlign w:val="top"/>
          </w:tcPr>
          <w:p>
            <w:pPr>
              <w:pStyle w:val="1298"/>
              <w:pBdr/>
              <w:spacing/>
              <w:ind/>
              <w:rPr/>
            </w:pPr>
            <w:r>
              <w:t xml:space="preserve">Digital treatment</w:t>
            </w:r>
            <w:r/>
          </w:p>
        </w:tc>
      </w:tr>
      <w:tr>
        <w:trPr>
          <w:cantSplit/>
        </w:trPr>
        <w:tc>
          <w:tcPr>
            <w:tcBorders/>
            <w:tcMar>
              <w:left w:w="70" w:type="dxa"/>
              <w:top w:w="60" w:type="dxa"/>
              <w:right w:w="70" w:type="dxa"/>
              <w:bottom w:w="60" w:type="dxa"/>
            </w:tcMar>
            <w:tcW w:w="2801" w:type="dxa"/>
            <w:vAlign w:val="top"/>
          </w:tcPr>
          <w:p>
            <w:pPr>
              <w:pStyle w:val="1296"/>
              <w:pBdr/>
              <w:spacing/>
              <w:ind/>
              <w:rPr/>
            </w:pPr>
            <w:r>
              <w:t xml:space="preserve">D1 Ontology &amp; ultimacy — Strong</w:t>
            </w:r>
            <w:r/>
          </w:p>
        </w:tc>
        <w:tc>
          <w:tcPr>
            <w:tcBorders/>
            <w:tcMar>
              <w:left w:w="70" w:type="dxa"/>
              <w:top w:w="60" w:type="dxa"/>
              <w:right w:w="70" w:type="dxa"/>
              <w:bottom w:w="60" w:type="dxa"/>
            </w:tcMar>
            <w:tcW w:w="1501" w:type="dxa"/>
            <w:vAlign w:val="top"/>
          </w:tcPr>
          <w:p>
            <w:pPr>
              <w:pStyle w:val="1296"/>
              <w:pBdr/>
              <w:spacing/>
              <w:ind/>
              <w:rPr/>
            </w:pPr>
            <w:r>
              <w:t xml:space="preserve">Chs 3–4, 7, 20</w:t>
            </w:r>
            <w:r/>
          </w:p>
        </w:tc>
        <w:tc>
          <w:tcPr>
            <w:tcBorders/>
            <w:tcMar>
              <w:left w:w="70" w:type="dxa"/>
              <w:top w:w="60" w:type="dxa"/>
              <w:right w:w="70" w:type="dxa"/>
              <w:bottom w:w="60" w:type="dxa"/>
            </w:tcMar>
            <w:tcW w:w="3601" w:type="dxa"/>
            <w:vAlign w:val="top"/>
          </w:tcPr>
          <w:p>
            <w:pPr>
              <w:pStyle w:val="1296"/>
              <w:pBdr/>
              <w:spacing/>
              <w:ind/>
              <w:rPr/>
            </w:pPr>
            <w:r>
              <w:t xml:space="preserve">Risk of dominating the Atlas because metaphysics is highly legible in texts.</w:t>
            </w:r>
            <w:r/>
          </w:p>
        </w:tc>
        <w:tc>
          <w:tcPr>
            <w:tcBorders/>
            <w:tcMar>
              <w:left w:w="70" w:type="dxa"/>
              <w:top w:w="60" w:type="dxa"/>
              <w:right w:w="70" w:type="dxa"/>
              <w:bottom w:w="60" w:type="dxa"/>
            </w:tcMar>
            <w:tcW w:w="2101" w:type="dxa"/>
            <w:vAlign w:val="top"/>
          </w:tcPr>
          <w:p>
            <w:pPr>
              <w:pStyle w:val="1296"/>
              <w:pBdr/>
              <w:spacing/>
              <w:ind/>
              <w:rPr/>
            </w:pPr>
            <w:r>
              <w:t xml:space="preserve">Full atomic claims/concepts digitally.</w:t>
            </w:r>
            <w:r/>
          </w:p>
        </w:tc>
      </w:tr>
      <w:tr>
        <w:trPr>
          <w:cantSplit/>
        </w:trPr>
        <w:tc>
          <w:tcPr>
            <w:shd w:val="clear" w:color="auto" w:fill="f7f9fa"/>
            <w:tcBorders/>
            <w:tcMar>
              <w:left w:w="70" w:type="dxa"/>
              <w:top w:w="60" w:type="dxa"/>
              <w:right w:w="70" w:type="dxa"/>
              <w:bottom w:w="60" w:type="dxa"/>
            </w:tcMar>
            <w:tcW w:w="2801" w:type="dxa"/>
            <w:vAlign w:val="top"/>
          </w:tcPr>
          <w:p>
            <w:pPr>
              <w:pStyle w:val="1296"/>
              <w:pBdr/>
              <w:spacing/>
              <w:ind/>
              <w:rPr/>
            </w:pPr>
            <w:r>
              <w:t xml:space="preserve">D2 Cosmogenesis &amp; world structure — Strong</w:t>
            </w:r>
            <w:r/>
          </w:p>
        </w:tc>
        <w:tc>
          <w:tcPr>
            <w:shd w:val="clear" w:color="auto" w:fill="f7f9fa"/>
            <w:tcBorders/>
            <w:tcMar>
              <w:left w:w="70" w:type="dxa"/>
              <w:top w:w="60" w:type="dxa"/>
              <w:right w:w="70" w:type="dxa"/>
              <w:bottom w:w="60" w:type="dxa"/>
            </w:tcMar>
            <w:tcW w:w="1501" w:type="dxa"/>
            <w:vAlign w:val="top"/>
          </w:tcPr>
          <w:p>
            <w:pPr>
              <w:pStyle w:val="1296"/>
              <w:pBdr/>
              <w:spacing/>
              <w:ind/>
              <w:rPr/>
            </w:pPr>
            <w:r>
              <w:t xml:space="preserve">Chs 3, 5–6, 14</w:t>
            </w:r>
            <w:r/>
          </w:p>
        </w:tc>
        <w:tc>
          <w:tcPr>
            <w:shd w:val="clear" w:color="auto" w:fill="f7f9fa"/>
            <w:tcBorders/>
            <w:tcMar>
              <w:left w:w="70" w:type="dxa"/>
              <w:top w:w="60" w:type="dxa"/>
              <w:right w:w="70" w:type="dxa"/>
              <w:bottom w:w="60" w:type="dxa"/>
            </w:tcMar>
            <w:tcW w:w="3601" w:type="dxa"/>
            <w:vAlign w:val="top"/>
          </w:tcPr>
          <w:p>
            <w:pPr>
              <w:pStyle w:val="1296"/>
              <w:pBdr/>
              <w:spacing/>
              <w:ind/>
              <w:rPr/>
            </w:pPr>
            <w:r>
              <w:t xml:space="preserve">Avoid treating origin as universally salient.</w:t>
            </w:r>
            <w:r/>
          </w:p>
        </w:tc>
        <w:tc>
          <w:tcPr>
            <w:shd w:val="clear" w:color="auto" w:fill="f7f9fa"/>
            <w:tcBorders/>
            <w:tcMar>
              <w:left w:w="70" w:type="dxa"/>
              <w:top w:w="60" w:type="dxa"/>
              <w:right w:w="70" w:type="dxa"/>
              <w:bottom w:w="60" w:type="dxa"/>
            </w:tcMar>
            <w:tcW w:w="2101" w:type="dxa"/>
            <w:vAlign w:val="top"/>
          </w:tcPr>
          <w:p>
            <w:pPr>
              <w:pStyle w:val="1296"/>
              <w:pBdr/>
              <w:spacing/>
              <w:ind/>
              <w:rPr/>
            </w:pPr>
            <w:r>
              <w:t xml:space="preserve">Detailed cosmology tables digital.</w:t>
            </w:r>
            <w:r/>
          </w:p>
        </w:tc>
      </w:tr>
      <w:tr>
        <w:trPr>
          <w:cantSplit/>
        </w:trPr>
        <w:tc>
          <w:tcPr>
            <w:tcBorders/>
            <w:tcMar>
              <w:left w:w="70" w:type="dxa"/>
              <w:top w:w="60" w:type="dxa"/>
              <w:right w:w="70" w:type="dxa"/>
              <w:bottom w:w="60" w:type="dxa"/>
            </w:tcMar>
            <w:tcW w:w="2801" w:type="dxa"/>
            <w:vAlign w:val="top"/>
          </w:tcPr>
          <w:p>
            <w:pPr>
              <w:pStyle w:val="1296"/>
              <w:pBdr/>
              <w:spacing/>
              <w:ind/>
              <w:rPr/>
            </w:pPr>
            <w:r>
              <w:t xml:space="preserve">D3 World-partitioning, materiality &amp; human/nonhuman relations — Moderate–Strong</w:t>
            </w:r>
            <w:r/>
          </w:p>
        </w:tc>
        <w:tc>
          <w:tcPr>
            <w:tcBorders/>
            <w:tcMar>
              <w:left w:w="70" w:type="dxa"/>
              <w:top w:w="60" w:type="dxa"/>
              <w:right w:w="70" w:type="dxa"/>
              <w:bottom w:w="60" w:type="dxa"/>
            </w:tcMar>
            <w:tcW w:w="1501" w:type="dxa"/>
            <w:vAlign w:val="top"/>
          </w:tcPr>
          <w:p>
            <w:pPr>
              <w:pStyle w:val="1296"/>
              <w:pBdr/>
              <w:spacing/>
              <w:ind/>
              <w:rPr/>
            </w:pPr>
            <w:r>
              <w:t xml:space="preserve">Chs 6, 10, 16</w:t>
            </w:r>
            <w:r/>
          </w:p>
        </w:tc>
        <w:tc>
          <w:tcPr>
            <w:tcBorders/>
            <w:tcMar>
              <w:left w:w="70" w:type="dxa"/>
              <w:top w:w="60" w:type="dxa"/>
              <w:right w:w="70" w:type="dxa"/>
              <w:bottom w:w="60" w:type="dxa"/>
            </w:tcMar>
            <w:tcW w:w="3601" w:type="dxa"/>
            <w:vAlign w:val="top"/>
          </w:tcPr>
          <w:p>
            <w:pPr>
              <w:pStyle w:val="1296"/>
              <w:pBdr/>
              <w:spacing/>
              <w:ind/>
              <w:rPr/>
            </w:pPr>
            <w:r>
              <w:t xml:space="preserve">Representation debt in Indigenous/local cases; nature/culture must remain optional.</w:t>
            </w:r>
            <w:r/>
          </w:p>
        </w:tc>
        <w:tc>
          <w:tcPr>
            <w:tcBorders/>
            <w:tcMar>
              <w:left w:w="70" w:type="dxa"/>
              <w:top w:w="60" w:type="dxa"/>
              <w:right w:w="70" w:type="dxa"/>
              <w:bottom w:w="60" w:type="dxa"/>
            </w:tcMar>
            <w:tcW w:w="2101" w:type="dxa"/>
            <w:vAlign w:val="top"/>
          </w:tcPr>
          <w:p>
            <w:pPr>
              <w:pStyle w:val="1296"/>
              <w:pBdr/>
              <w:spacing/>
              <w:ind/>
              <w:rPr/>
            </w:pPr>
            <w:r>
              <w:t xml:space="preserve">Full D3 matrices and held research records digital.</w:t>
            </w:r>
            <w:r/>
          </w:p>
        </w:tc>
      </w:tr>
      <w:tr>
        <w:trPr>
          <w:cantSplit/>
        </w:trPr>
        <w:tc>
          <w:tcPr>
            <w:shd w:val="clear" w:color="auto" w:fill="f7f9fa"/>
            <w:tcBorders/>
            <w:tcMar>
              <w:left w:w="70" w:type="dxa"/>
              <w:top w:w="60" w:type="dxa"/>
              <w:right w:w="70" w:type="dxa"/>
              <w:bottom w:w="60" w:type="dxa"/>
            </w:tcMar>
            <w:tcW w:w="2801" w:type="dxa"/>
            <w:vAlign w:val="top"/>
          </w:tcPr>
          <w:p>
            <w:pPr>
              <w:pStyle w:val="1296"/>
              <w:pBdr/>
              <w:spacing/>
              <w:ind/>
              <w:rPr/>
            </w:pPr>
            <w:r>
              <w:t xml:space="preserve">D4 Human constitution &amp; embodiment — Adequate</w:t>
            </w:r>
            <w:r/>
          </w:p>
        </w:tc>
        <w:tc>
          <w:tcPr>
            <w:shd w:val="clear" w:color="auto" w:fill="f7f9fa"/>
            <w:tcBorders/>
            <w:tcMar>
              <w:left w:w="70" w:type="dxa"/>
              <w:top w:w="60" w:type="dxa"/>
              <w:right w:w="70" w:type="dxa"/>
              <w:bottom w:w="60" w:type="dxa"/>
            </w:tcMar>
            <w:tcW w:w="1501" w:type="dxa"/>
            <w:vAlign w:val="top"/>
          </w:tcPr>
          <w:p>
            <w:pPr>
              <w:pStyle w:val="1296"/>
              <w:pBdr/>
              <w:spacing/>
              <w:ind/>
              <w:rPr/>
            </w:pPr>
            <w:r>
              <w:t xml:space="preserve">Chs 8–10, 17</w:t>
            </w:r>
            <w:r/>
          </w:p>
        </w:tc>
        <w:tc>
          <w:tcPr>
            <w:shd w:val="clear" w:color="auto" w:fill="f7f9fa"/>
            <w:tcBorders/>
            <w:tcMar>
              <w:left w:w="70" w:type="dxa"/>
              <w:top w:w="60" w:type="dxa"/>
              <w:right w:w="70" w:type="dxa"/>
              <w:bottom w:w="60" w:type="dxa"/>
            </w:tcMar>
            <w:tcW w:w="3601" w:type="dxa"/>
            <w:vAlign w:val="top"/>
          </w:tcPr>
          <w:p>
            <w:pPr>
              <w:pStyle w:val="1296"/>
              <w:pBdr/>
              <w:spacing/>
              <w:ind/>
              <w:rPr/>
            </w:pPr>
            <w:r>
              <w:t xml:space="preserve">Could be overshadowed by D5/D6; keep embodiment visible in Gregory/Avicenna/Descartes.</w:t>
            </w:r>
            <w:r/>
          </w:p>
        </w:tc>
        <w:tc>
          <w:tcPr>
            <w:shd w:val="clear" w:color="auto" w:fill="f7f9fa"/>
            <w:tcBorders/>
            <w:tcMar>
              <w:left w:w="70" w:type="dxa"/>
              <w:top w:w="60" w:type="dxa"/>
              <w:right w:w="70" w:type="dxa"/>
              <w:bottom w:w="60" w:type="dxa"/>
            </w:tcMar>
            <w:tcW w:w="2101" w:type="dxa"/>
            <w:vAlign w:val="top"/>
          </w:tcPr>
          <w:p>
            <w:pPr>
              <w:pStyle w:val="1296"/>
              <w:pBdr/>
              <w:spacing/>
              <w:ind/>
              <w:rPr/>
            </w:pPr>
            <w:r>
              <w:t xml:space="preserve">Position-level anatomy/constitution records digital.</w:t>
            </w:r>
            <w:r/>
          </w:p>
        </w:tc>
      </w:tr>
      <w:tr>
        <w:trPr>
          <w:cantSplit/>
        </w:trPr>
        <w:tc>
          <w:tcPr>
            <w:tcBorders/>
            <w:tcMar>
              <w:left w:w="70" w:type="dxa"/>
              <w:top w:w="60" w:type="dxa"/>
              <w:right w:w="70" w:type="dxa"/>
              <w:bottom w:w="60" w:type="dxa"/>
            </w:tcMar>
            <w:tcW w:w="2801" w:type="dxa"/>
            <w:vAlign w:val="top"/>
          </w:tcPr>
          <w:p>
            <w:pPr>
              <w:pStyle w:val="1296"/>
              <w:pBdr/>
              <w:spacing/>
              <w:ind/>
              <w:rPr/>
            </w:pPr>
            <w:r>
              <w:t xml:space="preserve">D5 Mind &amp; consciousness — Very strong</w:t>
            </w:r>
            <w:r/>
          </w:p>
        </w:tc>
        <w:tc>
          <w:tcPr>
            <w:tcBorders/>
            <w:tcMar>
              <w:left w:w="70" w:type="dxa"/>
              <w:top w:w="60" w:type="dxa"/>
              <w:right w:w="70" w:type="dxa"/>
              <w:bottom w:w="60" w:type="dxa"/>
            </w:tcMar>
            <w:tcW w:w="1501" w:type="dxa"/>
            <w:vAlign w:val="top"/>
          </w:tcPr>
          <w:p>
            <w:pPr>
              <w:pStyle w:val="1296"/>
              <w:pBdr/>
              <w:spacing/>
              <w:ind/>
              <w:rPr/>
            </w:pPr>
            <w:r>
              <w:t xml:space="preserve">Chs 7–8</w:t>
            </w:r>
            <w:r/>
          </w:p>
        </w:tc>
        <w:tc>
          <w:tcPr>
            <w:tcBorders/>
            <w:tcMar>
              <w:left w:w="70" w:type="dxa"/>
              <w:top w:w="60" w:type="dxa"/>
              <w:right w:w="70" w:type="dxa"/>
              <w:bottom w:w="60" w:type="dxa"/>
            </w:tcMar>
            <w:tcW w:w="3601" w:type="dxa"/>
            <w:vAlign w:val="top"/>
          </w:tcPr>
          <w:p>
            <w:pPr>
              <w:pStyle w:val="1296"/>
              <w:pBdr/>
              <w:spacing/>
              <w:ind/>
              <w:rPr/>
            </w:pPr>
            <w:r>
              <w:t xml:space="preserve">Potential over-weight due to current analytic debate.</w:t>
            </w:r>
            <w:r/>
          </w:p>
        </w:tc>
        <w:tc>
          <w:tcPr>
            <w:tcBorders/>
            <w:tcMar>
              <w:left w:w="70" w:type="dxa"/>
              <w:top w:w="60" w:type="dxa"/>
              <w:right w:w="70" w:type="dxa"/>
              <w:bottom w:w="60" w:type="dxa"/>
            </w:tcMar>
            <w:tcW w:w="2101" w:type="dxa"/>
            <w:vAlign w:val="top"/>
          </w:tcPr>
          <w:p>
            <w:pPr>
              <w:pStyle w:val="1296"/>
              <w:pBdr/>
              <w:spacing/>
              <w:ind/>
              <w:rPr/>
            </w:pPr>
            <w:r>
              <w:t xml:space="preserve">Full contemporary literature/claim updates digital.</w:t>
            </w:r>
            <w:r/>
          </w:p>
        </w:tc>
      </w:tr>
      <w:tr>
        <w:trPr>
          <w:cantSplit/>
        </w:trPr>
        <w:tc>
          <w:tcPr>
            <w:shd w:val="clear" w:color="auto" w:fill="f7f9fa"/>
            <w:tcBorders/>
            <w:tcMar>
              <w:left w:w="70" w:type="dxa"/>
              <w:top w:w="60" w:type="dxa"/>
              <w:right w:w="70" w:type="dxa"/>
              <w:bottom w:w="60" w:type="dxa"/>
            </w:tcMar>
            <w:tcW w:w="2801" w:type="dxa"/>
            <w:vAlign w:val="top"/>
          </w:tcPr>
          <w:p>
            <w:pPr>
              <w:pStyle w:val="1296"/>
              <w:pBdr/>
              <w:spacing/>
              <w:ind/>
              <w:rPr/>
            </w:pPr>
            <w:r>
              <w:t xml:space="preserve">D6 Self, personhood &amp; identity — Very strong</w:t>
            </w:r>
            <w:r/>
          </w:p>
        </w:tc>
        <w:tc>
          <w:tcPr>
            <w:shd w:val="clear" w:color="auto" w:fill="f7f9fa"/>
            <w:tcBorders/>
            <w:tcMar>
              <w:left w:w="70" w:type="dxa"/>
              <w:top w:w="60" w:type="dxa"/>
              <w:right w:w="70" w:type="dxa"/>
              <w:bottom w:w="60" w:type="dxa"/>
            </w:tcMar>
            <w:tcW w:w="1501" w:type="dxa"/>
            <w:vAlign w:val="top"/>
          </w:tcPr>
          <w:p>
            <w:pPr>
              <w:pStyle w:val="1296"/>
              <w:pBdr/>
              <w:spacing/>
              <w:ind/>
              <w:rPr/>
            </w:pPr>
            <w:r>
              <w:t xml:space="preserve">Chs 8–10, 17</w:t>
            </w:r>
            <w:r/>
          </w:p>
        </w:tc>
        <w:tc>
          <w:tcPr>
            <w:shd w:val="clear" w:color="auto" w:fill="f7f9fa"/>
            <w:tcBorders/>
            <w:tcMar>
              <w:left w:w="70" w:type="dxa"/>
              <w:top w:w="60" w:type="dxa"/>
              <w:right w:w="70" w:type="dxa"/>
              <w:bottom w:w="60" w:type="dxa"/>
            </w:tcMar>
            <w:tcW w:w="3601" w:type="dxa"/>
            <w:vAlign w:val="top"/>
          </w:tcPr>
          <w:p>
            <w:pPr>
              <w:pStyle w:val="1296"/>
              <w:pBdr/>
              <w:spacing/>
              <w:ind/>
              <w:rPr/>
            </w:pPr>
            <w:r>
              <w:t xml:space="preserve">Must not re-collapse into consciousness.</w:t>
            </w:r>
            <w:r/>
          </w:p>
        </w:tc>
        <w:tc>
          <w:tcPr>
            <w:shd w:val="clear" w:color="auto" w:fill="f7f9fa"/>
            <w:tcBorders/>
            <w:tcMar>
              <w:left w:w="70" w:type="dxa"/>
              <w:top w:w="60" w:type="dxa"/>
              <w:right w:w="70" w:type="dxa"/>
              <w:bottom w:w="60" w:type="dxa"/>
            </w:tcMar>
            <w:tcW w:w="2101" w:type="dxa"/>
            <w:vAlign w:val="top"/>
          </w:tcPr>
          <w:p>
            <w:pPr>
              <w:pStyle w:val="1296"/>
              <w:pBdr/>
              <w:spacing/>
              <w:ind/>
              <w:rPr/>
            </w:pPr>
            <w:r>
              <w:t xml:space="preserve">Concept and identity-criterion matrices digital.</w:t>
            </w:r>
            <w:r/>
          </w:p>
        </w:tc>
      </w:tr>
      <w:tr>
        <w:trPr>
          <w:cantSplit/>
        </w:trPr>
        <w:tc>
          <w:tcPr>
            <w:tcBorders/>
            <w:tcMar>
              <w:left w:w="70" w:type="dxa"/>
              <w:top w:w="60" w:type="dxa"/>
              <w:right w:w="70" w:type="dxa"/>
              <w:bottom w:w="60" w:type="dxa"/>
            </w:tcMar>
            <w:tcW w:w="2801" w:type="dxa"/>
            <w:vAlign w:val="top"/>
          </w:tcPr>
          <w:p>
            <w:pPr>
              <w:pStyle w:val="1296"/>
              <w:pBdr/>
              <w:spacing/>
              <w:ind/>
              <w:rPr/>
            </w:pPr>
            <w:r>
              <w:t xml:space="preserve">D7 Epistemology &amp; authority — Strong</w:t>
            </w:r>
            <w:r/>
          </w:p>
        </w:tc>
        <w:tc>
          <w:tcPr>
            <w:tcBorders/>
            <w:tcMar>
              <w:left w:w="70" w:type="dxa"/>
              <w:top w:w="60" w:type="dxa"/>
              <w:right w:w="70" w:type="dxa"/>
              <w:bottom w:w="60" w:type="dxa"/>
            </w:tcMar>
            <w:tcW w:w="1501" w:type="dxa"/>
            <w:vAlign w:val="top"/>
          </w:tcPr>
          <w:p>
            <w:pPr>
              <w:pStyle w:val="1296"/>
              <w:pBdr/>
              <w:spacing/>
              <w:ind/>
              <w:rPr/>
            </w:pPr>
            <w:r>
              <w:t xml:space="preserve">Chs 11–13; also 2–3</w:t>
            </w:r>
            <w:r/>
          </w:p>
        </w:tc>
        <w:tc>
          <w:tcPr>
            <w:tcBorders/>
            <w:tcMar>
              <w:left w:w="70" w:type="dxa"/>
              <w:top w:w="60" w:type="dxa"/>
              <w:right w:w="70" w:type="dxa"/>
              <w:bottom w:w="60" w:type="dxa"/>
            </w:tcMar>
            <w:tcW w:w="3601" w:type="dxa"/>
            <w:vAlign w:val="top"/>
          </w:tcPr>
          <w:p>
            <w:pPr>
              <w:pStyle w:val="1296"/>
              <w:pBdr/>
              <w:spacing/>
              <w:ind/>
              <w:rPr/>
            </w:pPr>
            <w:r>
              <w:t xml:space="preserve">Distinguish Atlas evidence from emic authority; do not collapse a source of authority into a condition of epistemic access, infer a knower from grammar, or infer D7 from D5/D6.</w:t>
            </w:r>
            <w:r/>
          </w:p>
        </w:tc>
        <w:tc>
          <w:tcPr>
            <w:tcBorders/>
            <w:tcMar>
              <w:left w:w="70" w:type="dxa"/>
              <w:top w:w="60" w:type="dxa"/>
              <w:right w:w="70" w:type="dxa"/>
              <w:bottom w:w="60" w:type="dxa"/>
            </w:tcMar>
            <w:tcW w:w="2101" w:type="dxa"/>
            <w:vAlign w:val="top"/>
          </w:tcPr>
          <w:p>
            <w:pPr>
              <w:pStyle w:val="1296"/>
              <w:pBdr/>
              <w:spacing/>
              <w:ind/>
              <w:rPr/>
            </w:pPr>
            <w:r>
              <w:t xml:space="preserve">Source-fit evidence and epistemic authority records digital.</w:t>
            </w:r>
            <w:r/>
          </w:p>
        </w:tc>
      </w:tr>
      <w:tr>
        <w:trPr>
          <w:cantSplit/>
        </w:trPr>
        <w:tc>
          <w:tcPr>
            <w:shd w:val="clear" w:color="auto" w:fill="f7f9fa"/>
            <w:tcBorders/>
            <w:tcMar>
              <w:left w:w="70" w:type="dxa"/>
              <w:top w:w="60" w:type="dxa"/>
              <w:right w:w="70" w:type="dxa"/>
              <w:bottom w:w="60" w:type="dxa"/>
            </w:tcMar>
            <w:tcW w:w="2801" w:type="dxa"/>
            <w:vAlign w:val="top"/>
          </w:tcPr>
          <w:p>
            <w:pPr>
              <w:pStyle w:val="1296"/>
              <w:pBdr/>
              <w:spacing/>
              <w:ind/>
              <w:rPr/>
            </w:pPr>
            <w:r>
              <w:t xml:space="preserve">D8 Axiology, meaning &amp; value — Adequate</w:t>
            </w:r>
            <w:r/>
          </w:p>
        </w:tc>
        <w:tc>
          <w:tcPr>
            <w:shd w:val="clear" w:color="auto" w:fill="f7f9fa"/>
            <w:tcBorders/>
            <w:tcMar>
              <w:left w:w="70" w:type="dxa"/>
              <w:top w:w="60" w:type="dxa"/>
              <w:right w:w="70" w:type="dxa"/>
              <w:bottom w:w="60" w:type="dxa"/>
            </w:tcMar>
            <w:tcW w:w="1501" w:type="dxa"/>
            <w:vAlign w:val="top"/>
          </w:tcPr>
          <w:p>
            <w:pPr>
              <w:pStyle w:val="1296"/>
              <w:pBdr/>
              <w:spacing/>
              <w:ind/>
              <w:rPr/>
            </w:pPr>
            <w:r>
              <w:t xml:space="preserve">Chs 12, 16, 18</w:t>
            </w:r>
            <w:r/>
          </w:p>
        </w:tc>
        <w:tc>
          <w:tcPr>
            <w:shd w:val="clear" w:color="auto" w:fill="f7f9fa"/>
            <w:tcBorders/>
            <w:tcMar>
              <w:left w:w="70" w:type="dxa"/>
              <w:top w:w="60" w:type="dxa"/>
              <w:right w:w="70" w:type="dxa"/>
              <w:bottom w:w="60" w:type="dxa"/>
            </w:tcMar>
            <w:tcW w:w="3601" w:type="dxa"/>
            <w:vAlign w:val="top"/>
          </w:tcPr>
          <w:p>
            <w:pPr>
              <w:pStyle w:val="1296"/>
              <w:pBdr/>
              <w:spacing/>
              <w:ind/>
              <w:rPr/>
            </w:pPr>
            <w:r>
              <w:t xml:space="preserve">Less standalone treatment; appears through diagnosis, world relation and telos.</w:t>
            </w:r>
            <w:r/>
          </w:p>
        </w:tc>
        <w:tc>
          <w:tcPr>
            <w:shd w:val="clear" w:color="auto" w:fill="f7f9fa"/>
            <w:tcBorders/>
            <w:tcMar>
              <w:left w:w="70" w:type="dxa"/>
              <w:top w:w="60" w:type="dxa"/>
              <w:right w:w="70" w:type="dxa"/>
              <w:bottom w:w="60" w:type="dxa"/>
            </w:tcMar>
            <w:tcW w:w="2101" w:type="dxa"/>
            <w:vAlign w:val="top"/>
          </w:tcPr>
          <w:p>
            <w:pPr>
              <w:pStyle w:val="1296"/>
              <w:pBdr/>
              <w:spacing/>
              <w:ind/>
              <w:rPr/>
            </w:pPr>
            <w:r>
              <w:t xml:space="preserve">Expanded value records digital.</w:t>
            </w:r>
            <w:r/>
          </w:p>
        </w:tc>
      </w:tr>
      <w:tr>
        <w:trPr>
          <w:cantSplit/>
        </w:trPr>
        <w:tc>
          <w:tcPr>
            <w:tcBorders/>
            <w:tcMar>
              <w:left w:w="70" w:type="dxa"/>
              <w:top w:w="60" w:type="dxa"/>
              <w:right w:w="70" w:type="dxa"/>
              <w:bottom w:w="60" w:type="dxa"/>
            </w:tcMar>
            <w:tcW w:w="2801" w:type="dxa"/>
            <w:vAlign w:val="top"/>
          </w:tcPr>
          <w:p>
            <w:pPr>
              <w:pStyle w:val="1296"/>
              <w:pBdr/>
              <w:spacing/>
              <w:ind/>
              <w:rPr/>
            </w:pPr>
            <w:r>
              <w:t xml:space="preserve">D9 Human condition &amp; diagnosis — Strong</w:t>
            </w:r>
            <w:r/>
          </w:p>
        </w:tc>
        <w:tc>
          <w:tcPr>
            <w:tcBorders/>
            <w:tcMar>
              <w:left w:w="70" w:type="dxa"/>
              <w:top w:w="60" w:type="dxa"/>
              <w:right w:w="70" w:type="dxa"/>
              <w:bottom w:w="60" w:type="dxa"/>
            </w:tcMar>
            <w:tcW w:w="1501" w:type="dxa"/>
            <w:vAlign w:val="top"/>
          </w:tcPr>
          <w:p>
            <w:pPr>
              <w:pStyle w:val="1296"/>
              <w:pBdr/>
              <w:spacing/>
              <w:ind/>
              <w:rPr/>
            </w:pPr>
            <w:r>
              <w:t xml:space="preserve">Ch.12; supports 13</w:t>
            </w:r>
            <w:r/>
          </w:p>
        </w:tc>
        <w:tc>
          <w:tcPr>
            <w:tcBorders/>
            <w:tcMar>
              <w:left w:w="70" w:type="dxa"/>
              <w:top w:w="60" w:type="dxa"/>
              <w:right w:w="70" w:type="dxa"/>
              <w:bottom w:w="60" w:type="dxa"/>
            </w:tcMar>
            <w:tcW w:w="3601" w:type="dxa"/>
            <w:vAlign w:val="top"/>
          </w:tcPr>
          <w:p>
            <w:pPr>
              <w:pStyle w:val="1296"/>
              <w:pBdr/>
              <w:spacing/>
              <w:ind/>
              <w:rPr/>
            </w:pPr>
            <w:r>
              <w:t xml:space="preserve">Risk of forcing all Positions into a predicament model or inferring an access method, knower/subject model or remedy from diagnosis.</w:t>
            </w:r>
            <w:r/>
          </w:p>
        </w:tc>
        <w:tc>
          <w:tcPr>
            <w:tcBorders/>
            <w:tcMar>
              <w:left w:w="70" w:type="dxa"/>
              <w:top w:w="60" w:type="dxa"/>
              <w:right w:w="70" w:type="dxa"/>
              <w:bottom w:w="60" w:type="dxa"/>
            </w:tcMar>
            <w:tcW w:w="2101" w:type="dxa"/>
            <w:vAlign w:val="top"/>
          </w:tcPr>
          <w:p>
            <w:pPr>
              <w:pStyle w:val="1296"/>
              <w:pBdr/>
              <w:spacing/>
              <w:ind/>
              <w:rPr/>
            </w:pPr>
            <w:r>
              <w:t xml:space="preserve">NSA/UND/REF states visible digitally.</w:t>
            </w:r>
            <w:r/>
          </w:p>
        </w:tc>
      </w:tr>
      <w:tr>
        <w:trPr>
          <w:cantSplit/>
        </w:trPr>
        <w:tc>
          <w:tcPr>
            <w:shd w:val="clear" w:color="auto" w:fill="f7f9fa"/>
            <w:tcBorders/>
            <w:tcMar>
              <w:left w:w="70" w:type="dxa"/>
              <w:top w:w="60" w:type="dxa"/>
              <w:right w:w="70" w:type="dxa"/>
              <w:bottom w:w="60" w:type="dxa"/>
            </w:tcMar>
            <w:tcW w:w="2801" w:type="dxa"/>
            <w:vAlign w:val="top"/>
          </w:tcPr>
          <w:p>
            <w:pPr>
              <w:pStyle w:val="1296"/>
              <w:pBdr/>
              <w:spacing/>
              <w:ind/>
              <w:rPr/>
            </w:pPr>
            <w:r>
              <w:t xml:space="preserve">D10 Causal order &amp; dependence — Strong</w:t>
            </w:r>
            <w:r/>
          </w:p>
        </w:tc>
        <w:tc>
          <w:tcPr>
            <w:shd w:val="clear" w:color="auto" w:fill="f7f9fa"/>
            <w:tcBorders/>
            <w:tcMar>
              <w:left w:w="70" w:type="dxa"/>
              <w:top w:w="60" w:type="dxa"/>
              <w:right w:w="70" w:type="dxa"/>
              <w:bottom w:w="60" w:type="dxa"/>
            </w:tcMar>
            <w:tcW w:w="1501" w:type="dxa"/>
            <w:vAlign w:val="top"/>
          </w:tcPr>
          <w:p>
            <w:pPr>
              <w:pStyle w:val="1296"/>
              <w:pBdr/>
              <w:spacing/>
              <w:ind/>
              <w:rPr/>
            </w:pPr>
            <w:r>
              <w:t xml:space="preserve">Chs 5, 7, 14</w:t>
            </w:r>
            <w:r/>
          </w:p>
        </w:tc>
        <w:tc>
          <w:tcPr>
            <w:shd w:val="clear" w:color="auto" w:fill="f7f9fa"/>
            <w:tcBorders/>
            <w:tcMar>
              <w:left w:w="70" w:type="dxa"/>
              <w:top w:w="60" w:type="dxa"/>
              <w:right w:w="70" w:type="dxa"/>
              <w:bottom w:w="60" w:type="dxa"/>
            </w:tcMar>
            <w:tcW w:w="3601" w:type="dxa"/>
            <w:vAlign w:val="top"/>
          </w:tcPr>
          <w:p>
            <w:pPr>
              <w:pStyle w:val="1296"/>
              <w:pBdr/>
              <w:spacing/>
              <w:ind/>
              <w:rPr/>
            </w:pPr>
            <w:r>
              <w:t xml:space="preserve">Do not infer agency from causation.</w:t>
            </w:r>
            <w:r/>
          </w:p>
        </w:tc>
        <w:tc>
          <w:tcPr>
            <w:shd w:val="clear" w:color="auto" w:fill="f7f9fa"/>
            <w:tcBorders/>
            <w:tcMar>
              <w:left w:w="70" w:type="dxa"/>
              <w:top w:w="60" w:type="dxa"/>
              <w:right w:w="70" w:type="dxa"/>
              <w:bottom w:w="60" w:type="dxa"/>
            </w:tcMar>
            <w:tcW w:w="2101" w:type="dxa"/>
            <w:vAlign w:val="top"/>
          </w:tcPr>
          <w:p>
            <w:pPr>
              <w:pStyle w:val="1296"/>
              <w:pBdr/>
              <w:spacing/>
              <w:ind/>
              <w:rPr/>
            </w:pPr>
            <w:r>
              <w:t xml:space="preserve">Full causal/dependence relation maps digital.</w:t>
            </w:r>
            <w:r/>
          </w:p>
        </w:tc>
      </w:tr>
      <w:tr>
        <w:trPr>
          <w:cantSplit/>
        </w:trPr>
        <w:tc>
          <w:tcPr>
            <w:tcBorders/>
            <w:tcMar>
              <w:left w:w="70" w:type="dxa"/>
              <w:top w:w="60" w:type="dxa"/>
              <w:right w:w="70" w:type="dxa"/>
              <w:bottom w:w="60" w:type="dxa"/>
            </w:tcMar>
            <w:tcW w:w="2801" w:type="dxa"/>
            <w:vAlign w:val="top"/>
          </w:tcPr>
          <w:p>
            <w:pPr>
              <w:pStyle w:val="1296"/>
              <w:pBdr/>
              <w:spacing/>
              <w:ind/>
              <w:rPr/>
            </w:pPr>
            <w:r>
              <w:t xml:space="preserve">D11 Agency, freedom &amp; constraint — Strong</w:t>
            </w:r>
            <w:r/>
          </w:p>
        </w:tc>
        <w:tc>
          <w:tcPr>
            <w:tcBorders/>
            <w:tcMar>
              <w:left w:w="70" w:type="dxa"/>
              <w:top w:w="60" w:type="dxa"/>
              <w:right w:w="70" w:type="dxa"/>
              <w:bottom w:w="60" w:type="dxa"/>
            </w:tcMar>
            <w:tcW w:w="1501" w:type="dxa"/>
            <w:vAlign w:val="top"/>
          </w:tcPr>
          <w:p>
            <w:pPr>
              <w:pStyle w:val="1296"/>
              <w:pBdr/>
              <w:spacing/>
              <w:ind/>
              <w:rPr/>
            </w:pPr>
            <w:r>
              <w:t xml:space="preserve">Chs 10, 14–15</w:t>
            </w:r>
            <w:r/>
          </w:p>
        </w:tc>
        <w:tc>
          <w:tcPr>
            <w:tcBorders/>
            <w:tcMar>
              <w:left w:w="70" w:type="dxa"/>
              <w:top w:w="60" w:type="dxa"/>
              <w:right w:w="70" w:type="dxa"/>
              <w:bottom w:w="60" w:type="dxa"/>
            </w:tcMar>
            <w:tcW w:w="3601" w:type="dxa"/>
            <w:vAlign w:val="top"/>
          </w:tcPr>
          <w:p>
            <w:pPr>
              <w:pStyle w:val="1296"/>
              <w:pBdr/>
              <w:spacing/>
              <w:ind/>
              <w:rPr/>
            </w:pPr>
            <w:r>
              <w:t xml:space="preserve">Free-will vocabulary can be culturally narrow.</w:t>
            </w:r>
            <w:r/>
          </w:p>
        </w:tc>
        <w:tc>
          <w:tcPr>
            <w:tcBorders/>
            <w:tcMar>
              <w:left w:w="70" w:type="dxa"/>
              <w:top w:w="60" w:type="dxa"/>
              <w:right w:w="70" w:type="dxa"/>
              <w:bottom w:w="60" w:type="dxa"/>
            </w:tcMar>
            <w:tcW w:w="2101" w:type="dxa"/>
            <w:vAlign w:val="top"/>
          </w:tcPr>
          <w:p>
            <w:pPr>
              <w:pStyle w:val="1296"/>
              <w:pBdr/>
              <w:spacing/>
              <w:ind/>
              <w:rPr/>
            </w:pPr>
            <w:r>
              <w:t xml:space="preserve">Agency CAT warnings and source terms digital.</w:t>
            </w:r>
            <w:r/>
          </w:p>
        </w:tc>
      </w:tr>
      <w:tr>
        <w:trPr>
          <w:cantSplit/>
        </w:trPr>
        <w:tc>
          <w:tcPr>
            <w:shd w:val="clear" w:color="auto" w:fill="f7f9fa"/>
            <w:tcBorders/>
            <w:tcMar>
              <w:left w:w="70" w:type="dxa"/>
              <w:top w:w="60" w:type="dxa"/>
              <w:right w:w="70" w:type="dxa"/>
              <w:bottom w:w="60" w:type="dxa"/>
            </w:tcMar>
            <w:tcW w:w="2801" w:type="dxa"/>
            <w:vAlign w:val="top"/>
          </w:tcPr>
          <w:p>
            <w:pPr>
              <w:pStyle w:val="1296"/>
              <w:pBdr/>
              <w:spacing/>
              <w:ind/>
              <w:rPr/>
            </w:pPr>
            <w:r>
              <w:t xml:space="preserve">D12 Praxis &amp; transformation — Strong</w:t>
            </w:r>
            <w:r/>
          </w:p>
        </w:tc>
        <w:tc>
          <w:tcPr>
            <w:shd w:val="clear" w:color="auto" w:fill="f7f9fa"/>
            <w:tcBorders/>
            <w:tcMar>
              <w:left w:w="70" w:type="dxa"/>
              <w:top w:w="60" w:type="dxa"/>
              <w:right w:w="70" w:type="dxa"/>
              <w:bottom w:w="60" w:type="dxa"/>
            </w:tcMar>
            <w:tcW w:w="1501" w:type="dxa"/>
            <w:vAlign w:val="top"/>
          </w:tcPr>
          <w:p>
            <w:pPr>
              <w:pStyle w:val="1296"/>
              <w:pBdr/>
              <w:spacing/>
              <w:ind/>
              <w:rPr/>
            </w:pPr>
            <w:r>
              <w:t xml:space="preserve">Chs 13, 16, 18</w:t>
            </w:r>
            <w:r/>
          </w:p>
        </w:tc>
        <w:tc>
          <w:tcPr>
            <w:shd w:val="clear" w:color="auto" w:fill="f7f9fa"/>
            <w:tcBorders/>
            <w:tcMar>
              <w:left w:w="70" w:type="dxa"/>
              <w:top w:w="60" w:type="dxa"/>
              <w:right w:w="70" w:type="dxa"/>
              <w:bottom w:w="60" w:type="dxa"/>
            </w:tcMar>
            <w:tcW w:w="3601" w:type="dxa"/>
            <w:vAlign w:val="top"/>
          </w:tcPr>
          <w:p>
            <w:pPr>
              <w:pStyle w:val="1296"/>
              <w:pBdr/>
              <w:spacing/>
              <w:ind/>
              <w:rPr/>
            </w:pPr>
            <w:r>
              <w:t xml:space="preserve">Textual corpus may underrepresent lived practice; transformative effect and epistemic warrant remain separate.</w:t>
            </w:r>
            <w:r/>
          </w:p>
        </w:tc>
        <w:tc>
          <w:tcPr>
            <w:shd w:val="clear" w:color="auto" w:fill="f7f9fa"/>
            <w:tcBorders/>
            <w:tcMar>
              <w:left w:w="70" w:type="dxa"/>
              <w:top w:w="60" w:type="dxa"/>
              <w:right w:w="70" w:type="dxa"/>
              <w:bottom w:w="60" w:type="dxa"/>
            </w:tcMar>
            <w:tcW w:w="2101" w:type="dxa"/>
            <w:vAlign w:val="top"/>
          </w:tcPr>
          <w:p>
            <w:pPr>
              <w:pStyle w:val="1296"/>
              <w:pBdr/>
              <w:spacing/>
              <w:ind/>
              <w:rPr/>
            </w:pPr>
            <w:r>
              <w:t xml:space="preserve">Practice/experience/source-instance records digital.</w:t>
            </w:r>
            <w:r/>
          </w:p>
        </w:tc>
      </w:tr>
      <w:tr>
        <w:trPr>
          <w:cantSplit/>
        </w:trPr>
        <w:tc>
          <w:tcPr>
            <w:tcBorders/>
            <w:tcMar>
              <w:left w:w="70" w:type="dxa"/>
              <w:top w:w="60" w:type="dxa"/>
              <w:right w:w="70" w:type="dxa"/>
              <w:bottom w:w="60" w:type="dxa"/>
            </w:tcMar>
            <w:tcW w:w="2801" w:type="dxa"/>
            <w:vAlign w:val="top"/>
          </w:tcPr>
          <w:p>
            <w:pPr>
              <w:pStyle w:val="1296"/>
              <w:pBdr/>
              <w:spacing/>
              <w:ind/>
              <w:rPr/>
            </w:pPr>
            <w:r>
              <w:t xml:space="preserve">D13 Death &amp; continuity — Strong</w:t>
            </w:r>
            <w:r/>
          </w:p>
        </w:tc>
        <w:tc>
          <w:tcPr>
            <w:tcBorders/>
            <w:tcMar>
              <w:left w:w="70" w:type="dxa"/>
              <w:top w:w="60" w:type="dxa"/>
              <w:right w:w="70" w:type="dxa"/>
              <w:bottom w:w="60" w:type="dxa"/>
            </w:tcMar>
            <w:tcW w:w="1501" w:type="dxa"/>
            <w:vAlign w:val="top"/>
          </w:tcPr>
          <w:p>
            <w:pPr>
              <w:pStyle w:val="1296"/>
              <w:pBdr/>
              <w:spacing/>
              <w:ind/>
              <w:rPr/>
            </w:pPr>
            <w:r>
              <w:t xml:space="preserve">Chs 9, 17</w:t>
            </w:r>
            <w:r/>
          </w:p>
        </w:tc>
        <w:tc>
          <w:tcPr>
            <w:tcBorders/>
            <w:tcMar>
              <w:left w:w="70" w:type="dxa"/>
              <w:top w:w="60" w:type="dxa"/>
              <w:right w:w="70" w:type="dxa"/>
              <w:bottom w:w="60" w:type="dxa"/>
            </w:tcMar>
            <w:tcW w:w="3601" w:type="dxa"/>
            <w:vAlign w:val="top"/>
          </w:tcPr>
          <w:p>
            <w:pPr>
              <w:pStyle w:val="1296"/>
              <w:pBdr/>
              <w:spacing/>
              <w:ind/>
              <w:rPr/>
            </w:pPr>
            <w:r>
              <w:t xml:space="preserve">Avoid making death essential to partial contemporary theses.</w:t>
            </w:r>
            <w:r/>
          </w:p>
        </w:tc>
        <w:tc>
          <w:tcPr>
            <w:tcBorders/>
            <w:tcMar>
              <w:left w:w="70" w:type="dxa"/>
              <w:top w:w="60" w:type="dxa"/>
              <w:right w:w="70" w:type="dxa"/>
              <w:bottom w:w="60" w:type="dxa"/>
            </w:tcMar>
            <w:tcW w:w="2101" w:type="dxa"/>
            <w:vAlign w:val="top"/>
          </w:tcPr>
          <w:p>
            <w:pPr>
              <w:pStyle w:val="1296"/>
              <w:pBdr/>
              <w:spacing/>
              <w:ind/>
              <w:rPr/>
            </w:pPr>
            <w:r>
              <w:t xml:space="preserve">Detailed eschatological/witness matrices digital.</w:t>
            </w:r>
            <w:r/>
          </w:p>
        </w:tc>
      </w:tr>
      <w:tr>
        <w:trPr>
          <w:cantSplit/>
        </w:trPr>
        <w:tc>
          <w:tcPr>
            <w:shd w:val="clear" w:color="auto" w:fill="f7f9fa"/>
            <w:tcBorders/>
            <w:tcMar>
              <w:left w:w="70" w:type="dxa"/>
              <w:top w:w="60" w:type="dxa"/>
              <w:right w:w="70" w:type="dxa"/>
              <w:bottom w:w="60" w:type="dxa"/>
            </w:tcMar>
            <w:tcW w:w="2801" w:type="dxa"/>
            <w:vAlign w:val="top"/>
          </w:tcPr>
          <w:p>
            <w:pPr>
              <w:pStyle w:val="1296"/>
              <w:pBdr/>
              <w:spacing/>
              <w:ind/>
              <w:rPr/>
            </w:pPr>
            <w:r>
              <w:t xml:space="preserve">D14 Telos / desired condition — Strong</w:t>
            </w:r>
            <w:r/>
          </w:p>
        </w:tc>
        <w:tc>
          <w:tcPr>
            <w:shd w:val="clear" w:color="auto" w:fill="f7f9fa"/>
            <w:tcBorders/>
            <w:tcMar>
              <w:left w:w="70" w:type="dxa"/>
              <w:top w:w="60" w:type="dxa"/>
              <w:right w:w="70" w:type="dxa"/>
              <w:bottom w:w="60" w:type="dxa"/>
            </w:tcMar>
            <w:tcW w:w="1501" w:type="dxa"/>
            <w:vAlign w:val="top"/>
          </w:tcPr>
          <w:p>
            <w:pPr>
              <w:pStyle w:val="1296"/>
              <w:pBdr/>
              <w:spacing/>
              <w:ind/>
              <w:rPr/>
            </w:pPr>
            <w:r>
              <w:t xml:space="preserve">Chs 13, 17–18</w:t>
            </w:r>
            <w:r/>
          </w:p>
        </w:tc>
        <w:tc>
          <w:tcPr>
            <w:shd w:val="clear" w:color="auto" w:fill="f7f9fa"/>
            <w:tcBorders/>
            <w:tcMar>
              <w:left w:w="70" w:type="dxa"/>
              <w:top w:w="60" w:type="dxa"/>
              <w:right w:w="70" w:type="dxa"/>
              <w:bottom w:w="60" w:type="dxa"/>
            </w:tcMar>
            <w:tcW w:w="3601" w:type="dxa"/>
            <w:vAlign w:val="top"/>
          </w:tcPr>
          <w:p>
            <w:pPr>
              <w:pStyle w:val="1296"/>
              <w:pBdr/>
              <w:spacing/>
              <w:ind/>
              <w:rPr/>
            </w:pPr>
            <w:r>
              <w:t xml:space="preserve">Do not collapse liberation, salvation and flourishing.</w:t>
            </w:r>
            <w:r/>
          </w:p>
        </w:tc>
        <w:tc>
          <w:tcPr>
            <w:shd w:val="clear" w:color="auto" w:fill="f7f9fa"/>
            <w:tcBorders/>
            <w:tcMar>
              <w:left w:w="70" w:type="dxa"/>
              <w:top w:w="60" w:type="dxa"/>
              <w:right w:w="70" w:type="dxa"/>
              <w:bottom w:w="60" w:type="dxa"/>
            </w:tcMar>
            <w:tcW w:w="2101" w:type="dxa"/>
            <w:vAlign w:val="top"/>
          </w:tcPr>
          <w:p>
            <w:pPr>
              <w:pStyle w:val="1296"/>
              <w:pBdr/>
              <w:spacing/>
              <w:ind/>
              <w:rPr/>
            </w:pPr>
            <w:r>
              <w:t xml:space="preserve">Telos/praxis links digital.</w:t>
            </w:r>
            <w:r/>
          </w:p>
        </w:tc>
      </w:tr>
      <w:tr>
        <w:trPr>
          <w:cantSplit/>
        </w:trPr>
        <w:tc>
          <w:tcPr>
            <w:tcBorders/>
            <w:tcMar>
              <w:left w:w="70" w:type="dxa"/>
              <w:top w:w="60" w:type="dxa"/>
              <w:right w:w="70" w:type="dxa"/>
              <w:bottom w:w="60" w:type="dxa"/>
            </w:tcMar>
            <w:tcW w:w="2801" w:type="dxa"/>
            <w:vAlign w:val="top"/>
          </w:tcPr>
          <w:p>
            <w:pPr>
              <w:pStyle w:val="1296"/>
              <w:pBdr/>
              <w:spacing/>
              <w:ind/>
              <w:rPr/>
            </w:pPr>
            <w:r>
              <w:t xml:space="preserve">D15 World relation &amp; normative orientation — Strong</w:t>
            </w:r>
            <w:r/>
          </w:p>
        </w:tc>
        <w:tc>
          <w:tcPr>
            <w:tcBorders/>
            <w:tcMar>
              <w:left w:w="70" w:type="dxa"/>
              <w:top w:w="60" w:type="dxa"/>
              <w:right w:w="70" w:type="dxa"/>
              <w:bottom w:w="60" w:type="dxa"/>
            </w:tcMar>
            <w:tcW w:w="1501" w:type="dxa"/>
            <w:vAlign w:val="top"/>
          </w:tcPr>
          <w:p>
            <w:pPr>
              <w:pStyle w:val="1296"/>
              <w:pBdr/>
              <w:spacing/>
              <w:ind/>
              <w:rPr/>
            </w:pPr>
            <w:r>
              <w:t xml:space="preserve">Chs 6, 10, 16, 20</w:t>
            </w:r>
            <w:r/>
          </w:p>
        </w:tc>
        <w:tc>
          <w:tcPr>
            <w:tcBorders/>
            <w:tcMar>
              <w:left w:w="70" w:type="dxa"/>
              <w:top w:w="60" w:type="dxa"/>
              <w:right w:w="70" w:type="dxa"/>
              <w:bottom w:w="60" w:type="dxa"/>
            </w:tcMar>
            <w:tcW w:w="3601" w:type="dxa"/>
            <w:vAlign w:val="top"/>
          </w:tcPr>
          <w:p>
            <w:pPr>
              <w:pStyle w:val="1296"/>
              <w:pBdr/>
              <w:spacing/>
              <w:ind/>
              <w:rPr/>
            </w:pPr>
            <w:r>
              <w:t xml:space="preserve">Risk of deriving ethics directly from ontology.</w:t>
            </w:r>
            <w:r/>
          </w:p>
        </w:tc>
        <w:tc>
          <w:tcPr>
            <w:tcBorders/>
            <w:tcMar>
              <w:left w:w="70" w:type="dxa"/>
              <w:top w:w="60" w:type="dxa"/>
              <w:right w:w="70" w:type="dxa"/>
              <w:bottom w:w="60" w:type="dxa"/>
            </w:tcMar>
            <w:tcW w:w="2101" w:type="dxa"/>
            <w:vAlign w:val="top"/>
          </w:tcPr>
          <w:p>
            <w:pPr>
              <w:pStyle w:val="1296"/>
              <w:pBdr/>
              <w:spacing/>
              <w:ind/>
              <w:rPr/>
            </w:pPr>
            <w:r>
              <w:t xml:space="preserve">World-relation and practice records digital.</w:t>
            </w:r>
            <w:r/>
          </w:p>
        </w:tc>
      </w:tr>
    </w:tbl>
    <w:p>
      <w:pPr>
        <w:pStyle w:val="1300"/>
        <w:pBdr/>
        <w:spacing/>
        <w:ind/>
        <w:rPr/>
      </w:pPr>
      <w:r/>
      <w:r/>
    </w:p>
    <w:p>
      <w:pPr>
        <w:pBdr/>
        <w:spacing/>
        <w:ind/>
        <w:rPr/>
      </w:pPr>
      <w:r>
        <w:rPr>
          <w:b/>
        </w:rPr>
        <w:t xml:space="preserve">Editorial inference.</w:t>
      </w:r>
      <w:r>
        <w:t xml:space="preserve"> The architecture gives D7–D15 an entire second volume, so praxis, death and world relation fo</w:t>
      </w:r>
      <w:r>
        <w:t xml:space="preserve">rm part of the comparative argument alongside ontology, consciousness and self. D3 remains the principal coverage-risk domain because release-grade treatment of local and Indigenous evidence depends on unresolved source, representation and governance work.</w:t>
      </w:r>
      <w:r/>
    </w:p>
    <w:p>
      <w:pPr>
        <w:pStyle w:val="1136"/>
        <w:keepNext w:val="true"/>
        <w:keepLines w:val="true"/>
        <w:pBdr/>
        <w:spacing/>
        <w:ind/>
        <w:rPr/>
      </w:pPr>
      <w:r/>
      <w:bookmarkStart w:id="122" w:name="SEC_8"/>
      <w:r>
        <w:t xml:space="preserve">8. Print, appendix and digital allocation</w:t>
      </w:r>
      <w:bookmarkEnd w:id="122"/>
      <w:r/>
      <w:r/>
    </w:p>
    <w:p>
      <w:pPr>
        <w:pStyle w:val="1184"/>
        <w:keepNext w:val="true"/>
        <w:keepLines w:val="true"/>
        <w:pBdr/>
        <w:spacing/>
        <w:ind/>
        <w:rPr/>
      </w:pPr>
      <w:r/>
      <w:bookmarkStart w:id="123" w:name="T_ALLOCATION"/>
      <w:r>
        <w:t xml:space="preserve">Governing — Print, appendix and digital allocation</w:t>
      </w:r>
      <w:bookmarkEnd w:id="123"/>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2401"/>
        <w:gridCol w:w="4102"/>
        <w:gridCol w:w="3502"/>
      </w:tblGrid>
      <w:tr>
        <w:trPr>
          <w:cantSplit/>
          <w:tblHeader/>
        </w:trPr>
        <w:tc>
          <w:tcPr>
            <w:shd w:val="clear" w:color="auto" w:fill="1f5a73"/>
            <w:tcBorders/>
            <w:tcMar>
              <w:left w:w="70" w:type="dxa"/>
              <w:top w:w="60" w:type="dxa"/>
              <w:right w:w="70" w:type="dxa"/>
              <w:bottom w:w="60" w:type="dxa"/>
            </w:tcMar>
            <w:tcW w:w="2401" w:type="dxa"/>
            <w:vAlign w:val="top"/>
          </w:tcPr>
          <w:p>
            <w:pPr>
              <w:pStyle w:val="1298"/>
              <w:pBdr/>
              <w:spacing/>
              <w:ind/>
              <w:rPr/>
            </w:pPr>
            <w:r>
              <w:t xml:space="preserve">Publication or system layer</w:t>
            </w:r>
            <w:r/>
          </w:p>
        </w:tc>
        <w:tc>
          <w:tcPr>
            <w:shd w:val="clear" w:color="auto" w:fill="1f5a73"/>
            <w:tcBorders/>
            <w:tcMar>
              <w:left w:w="70" w:type="dxa"/>
              <w:top w:w="60" w:type="dxa"/>
              <w:right w:w="70" w:type="dxa"/>
              <w:bottom w:w="60" w:type="dxa"/>
            </w:tcMar>
            <w:tcW w:w="4102" w:type="dxa"/>
            <w:vAlign w:val="top"/>
          </w:tcPr>
          <w:p>
            <w:pPr>
              <w:pStyle w:val="1298"/>
              <w:pBdr/>
              <w:spacing/>
              <w:ind/>
              <w:rPr/>
            </w:pPr>
            <w:r>
              <w:t xml:space="preserve">What belongs there</w:t>
            </w:r>
            <w:r/>
          </w:p>
        </w:tc>
        <w:tc>
          <w:tcPr>
            <w:shd w:val="clear" w:color="auto" w:fill="1f5a73"/>
            <w:tcBorders/>
            <w:tcMar>
              <w:left w:w="70" w:type="dxa"/>
              <w:top w:w="60" w:type="dxa"/>
              <w:right w:w="70" w:type="dxa"/>
              <w:bottom w:w="60" w:type="dxa"/>
            </w:tcMar>
            <w:tcW w:w="3502" w:type="dxa"/>
            <w:vAlign w:val="top"/>
          </w:tcPr>
          <w:p>
            <w:pPr>
              <w:pStyle w:val="1298"/>
              <w:pBdr/>
              <w:spacing/>
              <w:ind/>
              <w:rPr/>
            </w:pPr>
            <w:r>
              <w:t xml:space="preserve">Publication boundary</w:t>
            </w:r>
            <w:r/>
          </w:p>
        </w:tc>
      </w:tr>
      <w:tr>
        <w:trPr>
          <w:cantSplit/>
        </w:trPr>
        <w:tc>
          <w:tcPr>
            <w:tcBorders/>
            <w:tcMar>
              <w:left w:w="70" w:type="dxa"/>
              <w:top w:w="60" w:type="dxa"/>
              <w:right w:w="70" w:type="dxa"/>
              <w:bottom w:w="60" w:type="dxa"/>
            </w:tcMar>
            <w:tcW w:w="2401" w:type="dxa"/>
            <w:vAlign w:val="top"/>
          </w:tcPr>
          <w:p>
            <w:pPr>
              <w:pStyle w:val="1296"/>
              <w:pBdr/>
              <w:spacing/>
              <w:ind/>
              <w:rPr/>
            </w:pPr>
            <w:r>
              <w:t xml:space="preserve">Main print publication</w:t>
            </w:r>
            <w:r/>
          </w:p>
        </w:tc>
        <w:tc>
          <w:tcPr>
            <w:tcBorders/>
            <w:tcMar>
              <w:left w:w="70" w:type="dxa"/>
              <w:top w:w="60" w:type="dxa"/>
              <w:right w:w="70" w:type="dxa"/>
              <w:bottom w:w="60" w:type="dxa"/>
            </w:tcMar>
            <w:tcW w:w="4102" w:type="dxa"/>
            <w:vAlign w:val="top"/>
          </w:tcPr>
          <w:p>
            <w:pPr>
              <w:pStyle w:val="1296"/>
              <w:pBdr/>
              <w:spacing/>
              <w:ind/>
              <w:rPr/>
            </w:pPr>
            <w:r>
              <w:t xml:space="preserve">Reader-facing argument; bounded Position orientation; essential evidence; source-language concept boxes; selected comparison matrices; major disanalogies; negative cases; chapter conclusions.</w:t>
            </w:r>
            <w:r/>
          </w:p>
        </w:tc>
        <w:tc>
          <w:tcPr>
            <w:tcBorders/>
            <w:tcMar>
              <w:left w:w="70" w:type="dxa"/>
              <w:top w:w="60" w:type="dxa"/>
              <w:right w:w="70" w:type="dxa"/>
              <w:bottom w:w="60" w:type="dxa"/>
            </w:tcMar>
            <w:tcW w:w="3502" w:type="dxa"/>
            <w:vAlign w:val="top"/>
          </w:tcPr>
          <w:p>
            <w:pPr>
              <w:pStyle w:val="1296"/>
              <w:pBdr/>
              <w:spacing/>
              <w:ind/>
              <w:rPr/>
            </w:pPr>
            <w:r>
              <w:t xml:space="preserve">Authored argument at the declared publication version. It does not duplicate complete D1–D15 records or every locator.</w:t>
            </w:r>
            <w:r/>
          </w:p>
        </w:tc>
      </w:tr>
      <w:tr>
        <w:trPr>
          <w:cantSplit/>
        </w:trPr>
        <w:tc>
          <w:tcPr>
            <w:shd w:val="clear" w:color="auto" w:fill="f7f9fa"/>
            <w:tcBorders/>
            <w:tcMar>
              <w:left w:w="70" w:type="dxa"/>
              <w:top w:w="60" w:type="dxa"/>
              <w:right w:w="70" w:type="dxa"/>
              <w:bottom w:w="60" w:type="dxa"/>
            </w:tcMar>
            <w:tcW w:w="2401" w:type="dxa"/>
            <w:vAlign w:val="top"/>
          </w:tcPr>
          <w:p>
            <w:pPr>
              <w:pStyle w:val="1296"/>
              <w:pBdr/>
              <w:spacing/>
              <w:ind/>
              <w:rPr/>
            </w:pPr>
            <w:r>
              <w:t xml:space="preserve">Selected print appendices</w:t>
            </w:r>
            <w:r/>
          </w:p>
        </w:tc>
        <w:tc>
          <w:tcPr>
            <w:shd w:val="clear" w:color="auto" w:fill="f7f9fa"/>
            <w:tcBorders/>
            <w:tcMar>
              <w:left w:w="70" w:type="dxa"/>
              <w:top w:w="60" w:type="dxa"/>
              <w:right w:w="70" w:type="dxa"/>
              <w:bottom w:w="60" w:type="dxa"/>
            </w:tcMar>
            <w:tcW w:w="4102" w:type="dxa"/>
            <w:vAlign w:val="top"/>
          </w:tcPr>
          <w:p>
            <w:pPr>
              <w:pStyle w:val="1296"/>
              <w:pBdr/>
              <w:spacing/>
              <w:ind/>
              <w:rPr/>
            </w:pPr>
            <w:r>
              <w:t xml:space="preserve">Controlled terminology; compact corpus register; core concept glossary; condensed chapter/Position and chapter/domain crosswalks; methodological note sufficient to audit the book.</w:t>
            </w:r>
            <w:r/>
          </w:p>
        </w:tc>
        <w:tc>
          <w:tcPr>
            <w:shd w:val="clear" w:color="auto" w:fill="f7f9fa"/>
            <w:tcBorders/>
            <w:tcMar>
              <w:left w:w="70" w:type="dxa"/>
              <w:top w:w="60" w:type="dxa"/>
              <w:right w:w="70" w:type="dxa"/>
              <w:bottom w:w="60" w:type="dxa"/>
            </w:tcMar>
            <w:tcW w:w="3502" w:type="dxa"/>
            <w:vAlign w:val="top"/>
          </w:tcPr>
          <w:p>
            <w:pPr>
              <w:pStyle w:val="1296"/>
              <w:pBdr/>
              <w:spacing/>
              <w:ind/>
              <w:rPr/>
            </w:pPr>
            <w:r>
              <w:t xml:space="preserve">Derived from the same governing specification and named canonical build where factual.</w:t>
            </w:r>
            <w:r/>
          </w:p>
        </w:tc>
      </w:tr>
      <w:tr>
        <w:trPr>
          <w:cantSplit/>
        </w:trPr>
        <w:tc>
          <w:tcPr>
            <w:tcBorders/>
            <w:tcMar>
              <w:left w:w="70" w:type="dxa"/>
              <w:top w:w="60" w:type="dxa"/>
              <w:right w:w="70" w:type="dxa"/>
              <w:bottom w:w="60" w:type="dxa"/>
            </w:tcMar>
            <w:tcW w:w="2401" w:type="dxa"/>
            <w:vAlign w:val="top"/>
          </w:tcPr>
          <w:p>
            <w:pPr>
              <w:pStyle w:val="1296"/>
              <w:pBdr/>
              <w:spacing/>
              <w:ind/>
              <w:rPr/>
            </w:pPr>
            <w:r>
              <w:t xml:space="preserve">Canonical Evidence Store</w:t>
            </w:r>
            <w:r/>
          </w:p>
        </w:tc>
        <w:tc>
          <w:tcPr>
            <w:tcBorders/>
            <w:tcMar>
              <w:left w:w="70" w:type="dxa"/>
              <w:top w:w="60" w:type="dxa"/>
              <w:right w:w="70" w:type="dxa"/>
              <w:bottom w:w="60" w:type="dxa"/>
            </w:tcMar>
            <w:tcW w:w="4102" w:type="dxa"/>
            <w:vAlign w:val="top"/>
          </w:tcPr>
          <w:p>
            <w:pPr>
              <w:pStyle w:val="1296"/>
              <w:pBdr/>
              <w:spacing/>
              <w:ind/>
              <w:rPr/>
            </w:pPr>
            <w:r>
              <w:t xml:space="preserve">Versioned canonical records, including restricted/internal records where lawfully and ethically held.</w:t>
            </w:r>
            <w:r/>
          </w:p>
        </w:tc>
        <w:tc>
          <w:tcPr>
            <w:tcBorders/>
            <w:tcMar>
              <w:left w:w="70" w:type="dxa"/>
              <w:top w:w="60" w:type="dxa"/>
              <w:right w:w="70" w:type="dxa"/>
              <w:bottom w:w="60" w:type="dxa"/>
            </w:tcMar>
            <w:tcW w:w="3502" w:type="dxa"/>
            <w:vAlign w:val="top"/>
          </w:tcPr>
          <w:p>
            <w:pPr>
              <w:pStyle w:val="1296"/>
              <w:pBdr/>
              <w:spacing/>
              <w:ind/>
              <w:rPr/>
            </w:pPr>
            <w:r>
              <w:t xml:space="preserve">Authority governed by Research Specification §8.1. Existence in the store does not imply public eligibility.</w:t>
            </w:r>
            <w:r/>
          </w:p>
        </w:tc>
      </w:tr>
      <w:tr>
        <w:trPr>
          <w:cantSplit/>
        </w:trPr>
        <w:tc>
          <w:tcPr>
            <w:shd w:val="clear" w:color="auto" w:fill="f7f9fa"/>
            <w:tcBorders/>
            <w:tcMar>
              <w:left w:w="70" w:type="dxa"/>
              <w:top w:w="60" w:type="dxa"/>
              <w:right w:w="70" w:type="dxa"/>
              <w:bottom w:w="60" w:type="dxa"/>
            </w:tcMar>
            <w:tcW w:w="2401" w:type="dxa"/>
            <w:vAlign w:val="top"/>
          </w:tcPr>
          <w:p>
            <w:pPr>
              <w:pStyle w:val="1296"/>
              <w:pBdr/>
              <w:spacing/>
              <w:ind/>
              <w:rPr/>
            </w:pPr>
            <w:r>
              <w:t xml:space="preserve">Digital Atlas System</w:t>
            </w:r>
            <w:r/>
          </w:p>
        </w:tc>
        <w:tc>
          <w:tcPr>
            <w:shd w:val="clear" w:color="auto" w:fill="f7f9fa"/>
            <w:tcBorders/>
            <w:tcMar>
              <w:left w:w="70" w:type="dxa"/>
              <w:top w:w="60" w:type="dxa"/>
              <w:right w:w="70" w:type="dxa"/>
              <w:bottom w:w="60" w:type="dxa"/>
            </w:tcMar>
            <w:tcW w:w="4102" w:type="dxa"/>
            <w:vAlign w:val="top"/>
          </w:tcPr>
          <w:p>
            <w:pPr>
              <w:pStyle w:val="1296"/>
              <w:pBdr/>
              <w:spacing/>
              <w:ind/>
              <w:rPr/>
            </w:pPr>
            <w:r>
              <w:t xml:space="preserve">Record management, validation, access control, build creation and view generation.</w:t>
            </w:r>
            <w:r/>
          </w:p>
        </w:tc>
        <w:tc>
          <w:tcPr>
            <w:shd w:val="clear" w:color="auto" w:fill="f7f9fa"/>
            <w:tcBorders/>
            <w:tcMar>
              <w:left w:w="70" w:type="dxa"/>
              <w:top w:w="60" w:type="dxa"/>
              <w:right w:w="70" w:type="dxa"/>
              <w:bottom w:w="60" w:type="dxa"/>
            </w:tcMar>
            <w:tcW w:w="3502" w:type="dxa"/>
            <w:vAlign w:val="top"/>
          </w:tcPr>
          <w:p>
            <w:pPr>
              <w:pStyle w:val="1296"/>
              <w:pBdr/>
              <w:spacing/>
              <w:ind/>
              <w:rPr/>
            </w:pPr>
            <w:r>
              <w:t xml:space="preserve">Operational role governed by Research Specification §8.1.</w:t>
            </w:r>
            <w:r/>
          </w:p>
        </w:tc>
      </w:tr>
      <w:tr>
        <w:trPr>
          <w:cantSplit/>
        </w:trPr>
        <w:tc>
          <w:tcPr>
            <w:tcBorders/>
            <w:tcMar>
              <w:left w:w="70" w:type="dxa"/>
              <w:top w:w="60" w:type="dxa"/>
              <w:right w:w="70" w:type="dxa"/>
              <w:bottom w:w="60" w:type="dxa"/>
            </w:tcMar>
            <w:tcW w:w="2401" w:type="dxa"/>
            <w:vAlign w:val="top"/>
          </w:tcPr>
          <w:p>
            <w:pPr>
              <w:pStyle w:val="1296"/>
              <w:pBdr/>
              <w:spacing/>
              <w:ind/>
              <w:rPr/>
            </w:pPr>
            <w:r>
              <w:t xml:space="preserve">Generated Evidence Views</w:t>
            </w:r>
            <w:r/>
          </w:p>
        </w:tc>
        <w:tc>
          <w:tcPr>
            <w:tcBorders/>
            <w:tcMar>
              <w:left w:w="70" w:type="dxa"/>
              <w:top w:w="60" w:type="dxa"/>
              <w:right w:w="70" w:type="dxa"/>
              <w:bottom w:w="60" w:type="dxa"/>
            </w:tcMar>
            <w:tcW w:w="4102" w:type="dxa"/>
            <w:vAlign w:val="top"/>
          </w:tcPr>
          <w:p>
            <w:pPr>
              <w:pStyle w:val="1296"/>
              <w:pBdr/>
              <w:spacing/>
              <w:ind/>
              <w:rPr/>
            </w:pPr>
            <w:r>
              <w:t xml:space="preserve">Full D1–D15 profiles, Claim/Evidence chains, Concept records, comparison events, relation stacks, provenance traces, synthesis/publication-claim views, dashboards and exports.</w:t>
            </w:r>
            <w:r/>
          </w:p>
        </w:tc>
        <w:tc>
          <w:tcPr>
            <w:tcBorders/>
            <w:tcMar>
              <w:left w:w="70" w:type="dxa"/>
              <w:top w:w="60" w:type="dxa"/>
              <w:right w:w="70" w:type="dxa"/>
              <w:bottom w:w="60" w:type="dxa"/>
            </w:tcMar>
            <w:tcW w:w="3502" w:type="dxa"/>
            <w:vAlign w:val="top"/>
          </w:tcPr>
          <w:p>
            <w:pPr>
              <w:pStyle w:val="1296"/>
              <w:pBdr/>
              <w:spacing/>
              <w:ind/>
              <w:rPr/>
            </w:pPr>
            <w:r>
              <w:t xml:space="preserve">Derivative; each view identifies schema version, vocabulary version, canonical_build_id, generation version and output hash.</w:t>
            </w:r>
            <w:r/>
          </w:p>
        </w:tc>
      </w:tr>
      <w:tr>
        <w:trPr>
          <w:cantSplit/>
        </w:trPr>
        <w:tc>
          <w:tcPr>
            <w:shd w:val="clear" w:color="auto" w:fill="f7f9fa"/>
            <w:tcBorders/>
            <w:tcMar>
              <w:left w:w="70" w:type="dxa"/>
              <w:top w:w="60" w:type="dxa"/>
              <w:right w:w="70" w:type="dxa"/>
              <w:bottom w:w="60" w:type="dxa"/>
            </w:tcMar>
            <w:tcW w:w="2401" w:type="dxa"/>
            <w:vAlign w:val="top"/>
          </w:tcPr>
          <w:p>
            <w:pPr>
              <w:pStyle w:val="1296"/>
              <w:pBdr/>
              <w:spacing/>
              <w:ind/>
              <w:rPr/>
            </w:pPr>
            <w:r>
              <w:t xml:space="preserve">Public Digital Atlas</w:t>
            </w:r>
            <w:r/>
          </w:p>
        </w:tc>
        <w:tc>
          <w:tcPr>
            <w:shd w:val="clear" w:color="auto" w:fill="f7f9fa"/>
            <w:tcBorders/>
            <w:tcMar>
              <w:left w:w="70" w:type="dxa"/>
              <w:top w:w="60" w:type="dxa"/>
              <w:right w:w="70" w:type="dxa"/>
              <w:bottom w:w="60" w:type="dxa"/>
            </w:tcMar>
            <w:tcW w:w="4102" w:type="dxa"/>
            <w:vAlign w:val="top"/>
          </w:tcPr>
          <w:p>
            <w:pPr>
              <w:pStyle w:val="1296"/>
              <w:pBdr/>
              <w:spacing/>
              <w:ind/>
              <w:rPr/>
            </w:pPr>
            <w:r>
              <w:t xml:space="preserve">Released interface and authorized subset of records/views.</w:t>
            </w:r>
            <w:r/>
          </w:p>
        </w:tc>
        <w:tc>
          <w:tcPr>
            <w:shd w:val="clear" w:color="auto" w:fill="f7f9fa"/>
            <w:tcBorders/>
            <w:tcMar>
              <w:left w:w="70" w:type="dxa"/>
              <w:top w:w="60" w:type="dxa"/>
              <w:right w:w="70" w:type="dxa"/>
              <w:bottom w:w="60" w:type="dxa"/>
            </w:tcMar>
            <w:tcW w:w="3502" w:type="dxa"/>
            <w:vAlign w:val="top"/>
          </w:tcPr>
          <w:p>
            <w:pPr>
              <w:pStyle w:val="1296"/>
              <w:pBdr/>
              <w:spacing/>
              <w:ind/>
              <w:rPr/>
            </w:pPr>
            <w:r>
              <w:t xml:space="preserve">May expose only release-authorized records and views. Restricted, HOLD-FUTURE or inadequately governed content cannot surface merely because it is technically stored.</w:t>
            </w:r>
            <w:r/>
          </w:p>
        </w:tc>
      </w:tr>
    </w:tbl>
    <w:p>
      <w:pPr>
        <w:pBdr/>
        <w:spacing/>
        <w:ind/>
        <w:rPr/>
      </w:pPr>
      <w:r>
        <w:t xml:space="preserve">Eligibility, authorization and public availability remain separate. A print pointer must not imply tha</w:t>
      </w:r>
      <w:r>
        <w:t xml:space="preserve">t an internal or unreleased digital record is publicly available. Provisional internal chapter development remains permitted under the MCPC; public boxes, notes and limitation discussions must themselves be eligible and authorized for their intended scope.</w:t>
      </w:r>
      <w:r/>
    </w:p>
    <w:p>
      <w:pPr>
        <w:pStyle w:val="1300"/>
        <w:pBdr/>
        <w:spacing/>
        <w:ind/>
        <w:rPr/>
      </w:pPr>
      <w:r/>
      <w:r/>
    </w:p>
    <w:p>
      <w:pPr>
        <w:pBdr/>
        <w:spacing/>
        <w:ind/>
        <w:rPr/>
      </w:pPr>
      <w:r>
        <w:t xml:space="preserve">Narrative interpretation, transitions, comparative framing, argument, qualification and synthesis remain human-authored scholarly prose. Factual attributions trace to can</w:t>
      </w:r>
      <w:r>
        <w:t xml:space="preserve">onical Claim/Evidence chains; thesis-bearing inferences trace through PublicationClaim records under Research Specification §12. Factual figures, tables, profiles and matrices are generated from one named canonical build and carry the required build trace.</w:t>
      </w:r>
      <w:r/>
    </w:p>
    <w:p>
      <w:pPr>
        <w:pStyle w:val="1136"/>
        <w:keepNext w:val="true"/>
        <w:keepLines w:val="true"/>
        <w:pBdr/>
        <w:spacing/>
        <w:ind/>
        <w:rPr/>
      </w:pPr>
      <w:r/>
      <w:bookmarkStart w:id="124" w:name="SEC_9"/>
      <w:r>
        <w:t xml:space="preserve">9. Manuscript scale</w:t>
      </w:r>
      <w:bookmarkEnd w:id="124"/>
      <w:r/>
      <w:r/>
    </w:p>
    <w:tbl>
      <w:tblPr>
        <w:jc w:val="center"/>
        <w:tblW w:w="0" w:type="auto"/>
        <w:tblBorders>
          <w:top w:val="single" w:color="1f5a73" w:sz="8" w:space="0"/>
          <w:left w:val="single" w:color="1f5a73" w:sz="8" w:space="0"/>
          <w:bottom w:val="single" w:color="1f5a73" w:sz="8" w:space="0"/>
          <w:right w:val="single" w:color="1f5a73" w:sz="8" w:space="0"/>
          <w:insideH w:val="single" w:color="1f5a73" w:sz="8" w:space="0"/>
          <w:insideV w:val="single" w:color="1f5a73" w:sz="8" w:space="0"/>
        </w:tblBorders>
        <w:tblLayout w:type="fixed"/>
        <w:tblLook w:val="04A0" w:firstRow="1" w:lastRow="0" w:firstColumn="1" w:lastColumn="0" w:noHBand="0" w:noVBand="1"/>
      </w:tblPr>
      <w:tblGrid>
        <w:gridCol w:w="10006"/>
      </w:tblGrid>
      <w:tr>
        <w:trPr>
          <w:cantSplit/>
          <w:tblHeader/>
        </w:trPr>
        <w:tc>
          <w:tcPr>
            <w:shd w:val="clear" w:color="auto" w:fill="1f5a73"/>
            <w:tcBorders/>
            <w:tcMar>
              <w:left w:w="70" w:type="dxa"/>
              <w:top w:w="60" w:type="dxa"/>
              <w:right w:w="70" w:type="dxa"/>
              <w:bottom w:w="60" w:type="dxa"/>
            </w:tcMar>
            <w:tcW w:w="9936" w:type="dxa"/>
            <w:vAlign w:val="top"/>
          </w:tcPr>
          <w:p>
            <w:pPr>
              <w:pStyle w:val="1301"/>
              <w:pBdr/>
              <w:spacing/>
              <w:ind/>
              <w:rPr/>
            </w:pPr>
            <w:r>
              <w:t xml:space="preserve">Governing — Scale decision</w:t>
            </w:r>
            <w:r/>
          </w:p>
        </w:tc>
      </w:tr>
      <w:tr>
        <w:trPr>
          <w:cantSplit/>
        </w:trPr>
        <w:tc>
          <w:tcPr>
            <w:shd w:val="clear" w:color="auto" w:fill="eaf2f6"/>
            <w:tcBorders/>
            <w:tcMar>
              <w:left w:w="70" w:type="dxa"/>
              <w:top w:w="60" w:type="dxa"/>
              <w:right w:w="70" w:type="dxa"/>
              <w:bottom w:w="60" w:type="dxa"/>
            </w:tcMar>
            <w:tcW w:w="10006" w:type="dxa"/>
            <w:vAlign w:val="top"/>
          </w:tcPr>
          <w:p>
            <w:pPr>
              <w:pStyle w:val="1302"/>
              <w:pBdr/>
              <w:spacing/>
              <w:ind/>
              <w:rPr/>
            </w:pPr>
            <w:r>
              <w:t xml:space="preserve">Approximately 255,000 narrative words plus approximately 35,000 words of notes, bibli</w:t>
            </w:r>
            <w:r>
              <w:t xml:space="preserve">ography and selected print appendices: approximately 290,000 print words across two volumes. Volume I contains 122,000 narrative words; Volume II contains 133,000. Full canonical records, extended bibliographies and Generated Evidence Views remain digital.</w:t>
            </w:r>
            <w:r/>
          </w:p>
        </w:tc>
      </w:tr>
    </w:tbl>
    <w:p>
      <w:pPr>
        <w:pStyle w:val="1300"/>
        <w:pBdr/>
        <w:spacing/>
        <w:ind/>
        <w:rPr/>
      </w:pPr>
      <w:r/>
      <w:r/>
    </w:p>
    <w:p>
      <w:pPr>
        <w:pStyle w:val="1184"/>
        <w:keepNext w:val="true"/>
        <w:keepLines w:val="true"/>
        <w:pBdr/>
        <w:spacing/>
        <w:ind/>
        <w:rPr/>
      </w:pPr>
      <w:r/>
      <w:bookmarkStart w:id="125" w:name="T_SCALE"/>
      <w:r>
        <w:t xml:space="preserve">Governing — Manuscript scale by volume and publication Part</w:t>
      </w:r>
      <w:bookmarkEnd w:id="125"/>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2393"/>
        <w:gridCol w:w="1595"/>
        <w:gridCol w:w="1160"/>
        <w:gridCol w:w="1522"/>
        <w:gridCol w:w="3335"/>
      </w:tblGrid>
      <w:tr>
        <w:trPr>
          <w:cantSplit/>
          <w:tblHeader/>
        </w:trPr>
        <w:tc>
          <w:tcPr>
            <w:shd w:val="clear" w:color="auto" w:fill="1f5a73"/>
            <w:tcBorders/>
            <w:tcMar>
              <w:left w:w="70" w:type="dxa"/>
              <w:top w:w="60" w:type="dxa"/>
              <w:right w:w="70" w:type="dxa"/>
              <w:bottom w:w="60" w:type="dxa"/>
            </w:tcMar>
            <w:tcW w:w="2393" w:type="dxa"/>
            <w:vAlign w:val="top"/>
          </w:tcPr>
          <w:p>
            <w:pPr>
              <w:pStyle w:val="1298"/>
              <w:pBdr/>
              <w:spacing/>
              <w:ind/>
              <w:rPr/>
            </w:pPr>
            <w:r>
              <w:t xml:space="preserve">Volume</w:t>
            </w:r>
            <w:r/>
          </w:p>
        </w:tc>
        <w:tc>
          <w:tcPr>
            <w:shd w:val="clear" w:color="auto" w:fill="1f5a73"/>
            <w:tcBorders/>
            <w:tcMar>
              <w:left w:w="70" w:type="dxa"/>
              <w:top w:w="60" w:type="dxa"/>
              <w:right w:w="70" w:type="dxa"/>
              <w:bottom w:w="60" w:type="dxa"/>
            </w:tcMar>
            <w:tcW w:w="1595" w:type="dxa"/>
            <w:vAlign w:val="top"/>
          </w:tcPr>
          <w:p>
            <w:pPr>
              <w:pStyle w:val="1298"/>
              <w:pBdr/>
              <w:spacing/>
              <w:ind/>
              <w:rPr/>
            </w:pPr>
            <w:r>
              <w:t xml:space="preserve">Publication Part</w:t>
            </w:r>
            <w:r/>
          </w:p>
        </w:tc>
        <w:tc>
          <w:tcPr>
            <w:shd w:val="clear" w:color="auto" w:fill="1f5a73"/>
            <w:tcBorders/>
            <w:tcMar>
              <w:left w:w="70" w:type="dxa"/>
              <w:top w:w="60" w:type="dxa"/>
              <w:right w:w="70" w:type="dxa"/>
              <w:bottom w:w="60" w:type="dxa"/>
            </w:tcMar>
            <w:tcW w:w="1160" w:type="dxa"/>
            <w:vAlign w:val="top"/>
          </w:tcPr>
          <w:p>
            <w:pPr>
              <w:pStyle w:val="1298"/>
              <w:pBdr/>
              <w:spacing/>
              <w:ind/>
              <w:rPr/>
            </w:pPr>
            <w:r>
              <w:t xml:space="preserve">Chapters</w:t>
            </w:r>
            <w:r/>
          </w:p>
        </w:tc>
        <w:tc>
          <w:tcPr>
            <w:shd w:val="clear" w:color="auto" w:fill="1f5a73"/>
            <w:tcBorders/>
            <w:tcMar>
              <w:left w:w="70" w:type="dxa"/>
              <w:top w:w="60" w:type="dxa"/>
              <w:right w:w="70" w:type="dxa"/>
              <w:bottom w:w="60" w:type="dxa"/>
            </w:tcMar>
            <w:tcW w:w="1522" w:type="dxa"/>
            <w:vAlign w:val="top"/>
          </w:tcPr>
          <w:p>
            <w:pPr>
              <w:pStyle w:val="1298"/>
              <w:pBdr/>
              <w:spacing/>
              <w:ind/>
              <w:rPr/>
            </w:pPr>
            <w:r>
              <w:t xml:space="preserve">Narrative words</w:t>
            </w:r>
            <w:r/>
          </w:p>
        </w:tc>
        <w:tc>
          <w:tcPr>
            <w:shd w:val="clear" w:color="auto" w:fill="1f5a73"/>
            <w:tcBorders/>
            <w:tcMar>
              <w:left w:w="70" w:type="dxa"/>
              <w:top w:w="60" w:type="dxa"/>
              <w:right w:w="70" w:type="dxa"/>
              <w:bottom w:w="60" w:type="dxa"/>
            </w:tcMar>
            <w:tcW w:w="3335" w:type="dxa"/>
            <w:vAlign w:val="top"/>
          </w:tcPr>
          <w:p>
            <w:pPr>
              <w:pStyle w:val="1298"/>
              <w:pBdr/>
              <w:spacing/>
              <w:ind/>
              <w:rPr/>
            </w:pPr>
            <w:r>
              <w:t xml:space="preserve">Function</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Volume I — Worlds, Grounds, Minds</w:t>
            </w:r>
            <w:r/>
          </w:p>
        </w:tc>
        <w:tc>
          <w:tcPr>
            <w:tcBorders/>
            <w:tcMar>
              <w:left w:w="70" w:type="dxa"/>
              <w:top w:w="60" w:type="dxa"/>
              <w:right w:w="70" w:type="dxa"/>
              <w:bottom w:w="60" w:type="dxa"/>
            </w:tcMar>
            <w:tcW w:w="1595" w:type="dxa"/>
            <w:vAlign w:val="top"/>
          </w:tcPr>
          <w:p>
            <w:pPr>
              <w:pStyle w:val="1296"/>
              <w:pBdr/>
              <w:spacing/>
              <w:ind/>
              <w:rPr/>
            </w:pPr>
            <w:r>
              <w:t xml:space="preserve">Part I</w:t>
            </w:r>
            <w:r/>
          </w:p>
        </w:tc>
        <w:tc>
          <w:tcPr>
            <w:tcBorders/>
            <w:tcMar>
              <w:left w:w="70" w:type="dxa"/>
              <w:top w:w="60" w:type="dxa"/>
              <w:right w:w="70" w:type="dxa"/>
              <w:bottom w:w="60" w:type="dxa"/>
            </w:tcMar>
            <w:tcW w:w="1160" w:type="dxa"/>
            <w:vAlign w:val="top"/>
          </w:tcPr>
          <w:p>
            <w:pPr>
              <w:pStyle w:val="1296"/>
              <w:pBdr/>
              <w:spacing/>
              <w:ind/>
              <w:rPr/>
            </w:pPr>
            <w:r>
              <w:t xml:space="preserve">Chs 1–2</w:t>
            </w:r>
            <w:r/>
          </w:p>
        </w:tc>
        <w:tc>
          <w:tcPr>
            <w:tcBorders/>
            <w:tcMar>
              <w:left w:w="70" w:type="dxa"/>
              <w:top w:w="60" w:type="dxa"/>
              <w:right w:w="70" w:type="dxa"/>
              <w:bottom w:w="60" w:type="dxa"/>
            </w:tcMar>
            <w:tcW w:w="1522" w:type="dxa"/>
            <w:vAlign w:val="top"/>
          </w:tcPr>
          <w:p>
            <w:pPr>
              <w:pStyle w:val="1296"/>
              <w:pBdr/>
              <w:spacing/>
              <w:ind/>
              <w:rPr/>
            </w:pPr>
            <w:r>
              <w:t xml:space="preserve">22,000</w:t>
            </w:r>
            <w:r/>
          </w:p>
        </w:tc>
        <w:tc>
          <w:tcPr>
            <w:tcBorders/>
            <w:tcMar>
              <w:left w:w="70" w:type="dxa"/>
              <w:top w:w="60" w:type="dxa"/>
              <w:right w:w="70" w:type="dxa"/>
              <w:bottom w:w="60" w:type="dxa"/>
            </w:tcMar>
            <w:tcW w:w="3335" w:type="dxa"/>
            <w:vAlign w:val="top"/>
          </w:tcPr>
          <w:p>
            <w:pPr>
              <w:pStyle w:val="1296"/>
              <w:pBdr/>
              <w:spacing/>
              <w:ind/>
              <w:rPr/>
            </w:pPr>
            <w:r>
              <w:t xml:space="preserve">Methodological orientation as reader argument</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Volume I — Worlds, Grounds, Minds</w:t>
            </w:r>
            <w:r/>
          </w:p>
        </w:tc>
        <w:tc>
          <w:tcPr>
            <w:shd w:val="clear" w:color="auto" w:fill="f7f9fa"/>
            <w:tcBorders/>
            <w:tcMar>
              <w:left w:w="70" w:type="dxa"/>
              <w:top w:w="60" w:type="dxa"/>
              <w:right w:w="70" w:type="dxa"/>
              <w:bottom w:w="60" w:type="dxa"/>
            </w:tcMar>
            <w:tcW w:w="1595" w:type="dxa"/>
            <w:vAlign w:val="top"/>
          </w:tcPr>
          <w:p>
            <w:pPr>
              <w:pStyle w:val="1296"/>
              <w:pBdr/>
              <w:spacing/>
              <w:ind/>
              <w:rPr/>
            </w:pPr>
            <w:r>
              <w:t xml:space="preserve">Part II</w:t>
            </w:r>
            <w:r/>
          </w:p>
        </w:tc>
        <w:tc>
          <w:tcPr>
            <w:shd w:val="clear" w:color="auto" w:fill="f7f9fa"/>
            <w:tcBorders/>
            <w:tcMar>
              <w:left w:w="70" w:type="dxa"/>
              <w:top w:w="60" w:type="dxa"/>
              <w:right w:w="70" w:type="dxa"/>
              <w:bottom w:w="60" w:type="dxa"/>
            </w:tcMar>
            <w:tcW w:w="1160" w:type="dxa"/>
            <w:vAlign w:val="top"/>
          </w:tcPr>
          <w:p>
            <w:pPr>
              <w:pStyle w:val="1296"/>
              <w:pBdr/>
              <w:spacing/>
              <w:ind/>
              <w:rPr/>
            </w:pPr>
            <w:r>
              <w:t xml:space="preserve">Chs 3–6</w:t>
            </w:r>
            <w:r/>
          </w:p>
        </w:tc>
        <w:tc>
          <w:tcPr>
            <w:shd w:val="clear" w:color="auto" w:fill="f7f9fa"/>
            <w:tcBorders/>
            <w:tcMar>
              <w:left w:w="70" w:type="dxa"/>
              <w:top w:w="60" w:type="dxa"/>
              <w:right w:w="70" w:type="dxa"/>
              <w:bottom w:w="60" w:type="dxa"/>
            </w:tcMar>
            <w:tcW w:w="1522" w:type="dxa"/>
            <w:vAlign w:val="top"/>
          </w:tcPr>
          <w:p>
            <w:pPr>
              <w:pStyle w:val="1296"/>
              <w:pBdr/>
              <w:spacing/>
              <w:ind/>
              <w:rPr/>
            </w:pPr>
            <w:r>
              <w:t xml:space="preserve">52,000</w:t>
            </w:r>
            <w:r/>
          </w:p>
        </w:tc>
        <w:tc>
          <w:tcPr>
            <w:shd w:val="clear" w:color="auto" w:fill="f7f9fa"/>
            <w:tcBorders/>
            <w:tcMar>
              <w:left w:w="70" w:type="dxa"/>
              <w:top w:w="60" w:type="dxa"/>
              <w:right w:w="70" w:type="dxa"/>
              <w:bottom w:w="60" w:type="dxa"/>
            </w:tcMar>
            <w:tcW w:w="3335" w:type="dxa"/>
            <w:vAlign w:val="top"/>
          </w:tcPr>
          <w:p>
            <w:pPr>
              <w:pStyle w:val="1296"/>
              <w:pBdr/>
              <w:spacing/>
              <w:ind/>
              <w:rPr/>
            </w:pPr>
            <w:r>
              <w:t xml:space="preserve">Grounds, plurality, cosmogenesis, world status</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Volume I — Worlds, Grounds, Minds</w:t>
            </w:r>
            <w:r/>
          </w:p>
        </w:tc>
        <w:tc>
          <w:tcPr>
            <w:tcBorders/>
            <w:tcMar>
              <w:left w:w="70" w:type="dxa"/>
              <w:top w:w="60" w:type="dxa"/>
              <w:right w:w="70" w:type="dxa"/>
              <w:bottom w:w="60" w:type="dxa"/>
            </w:tcMar>
            <w:tcW w:w="1595" w:type="dxa"/>
            <w:vAlign w:val="top"/>
          </w:tcPr>
          <w:p>
            <w:pPr>
              <w:pStyle w:val="1296"/>
              <w:pBdr/>
              <w:spacing/>
              <w:ind/>
              <w:rPr/>
            </w:pPr>
            <w:r>
              <w:t xml:space="preserve">Part III</w:t>
            </w:r>
            <w:r/>
          </w:p>
        </w:tc>
        <w:tc>
          <w:tcPr>
            <w:tcBorders/>
            <w:tcMar>
              <w:left w:w="70" w:type="dxa"/>
              <w:top w:w="60" w:type="dxa"/>
              <w:right w:w="70" w:type="dxa"/>
              <w:bottom w:w="60" w:type="dxa"/>
            </w:tcMar>
            <w:tcW w:w="1160" w:type="dxa"/>
            <w:vAlign w:val="top"/>
          </w:tcPr>
          <w:p>
            <w:pPr>
              <w:pStyle w:val="1296"/>
              <w:pBdr/>
              <w:spacing/>
              <w:ind/>
              <w:rPr/>
            </w:pPr>
            <w:r>
              <w:t xml:space="preserve">Chs 7–10</w:t>
            </w:r>
            <w:r/>
          </w:p>
        </w:tc>
        <w:tc>
          <w:tcPr>
            <w:tcBorders/>
            <w:tcMar>
              <w:left w:w="70" w:type="dxa"/>
              <w:top w:w="60" w:type="dxa"/>
              <w:right w:w="70" w:type="dxa"/>
              <w:bottom w:w="60" w:type="dxa"/>
            </w:tcMar>
            <w:tcW w:w="1522" w:type="dxa"/>
            <w:vAlign w:val="top"/>
          </w:tcPr>
          <w:p>
            <w:pPr>
              <w:pStyle w:val="1296"/>
              <w:pBdr/>
              <w:spacing/>
              <w:ind/>
              <w:rPr/>
            </w:pPr>
            <w:r>
              <w:t xml:space="preserve">48,000</w:t>
            </w:r>
            <w:r/>
          </w:p>
        </w:tc>
        <w:tc>
          <w:tcPr>
            <w:tcBorders/>
            <w:tcMar>
              <w:left w:w="70" w:type="dxa"/>
              <w:top w:w="60" w:type="dxa"/>
              <w:right w:w="70" w:type="dxa"/>
              <w:bottom w:w="60" w:type="dxa"/>
            </w:tcMar>
            <w:tcW w:w="3335" w:type="dxa"/>
            <w:vAlign w:val="top"/>
          </w:tcPr>
          <w:p>
            <w:pPr>
              <w:pStyle w:val="1296"/>
              <w:pBdr/>
              <w:spacing/>
              <w:ind/>
              <w:rPr/>
            </w:pPr>
            <w:r>
              <w:t xml:space="preserve">Consciousness, self, identity, subjecthood</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Volume II — Agency, Transformation, Ends</w:t>
            </w:r>
            <w:r/>
          </w:p>
        </w:tc>
        <w:tc>
          <w:tcPr>
            <w:shd w:val="clear" w:color="auto" w:fill="f7f9fa"/>
            <w:tcBorders/>
            <w:tcMar>
              <w:left w:w="70" w:type="dxa"/>
              <w:top w:w="60" w:type="dxa"/>
              <w:right w:w="70" w:type="dxa"/>
              <w:bottom w:w="60" w:type="dxa"/>
            </w:tcMar>
            <w:tcW w:w="1595" w:type="dxa"/>
            <w:vAlign w:val="top"/>
          </w:tcPr>
          <w:p>
            <w:pPr>
              <w:pStyle w:val="1296"/>
              <w:pBdr/>
              <w:spacing/>
              <w:ind/>
              <w:rPr/>
            </w:pPr>
            <w:r>
              <w:t xml:space="preserve">Part IV</w:t>
            </w:r>
            <w:r/>
          </w:p>
        </w:tc>
        <w:tc>
          <w:tcPr>
            <w:shd w:val="clear" w:color="auto" w:fill="f7f9fa"/>
            <w:tcBorders/>
            <w:tcMar>
              <w:left w:w="70" w:type="dxa"/>
              <w:top w:w="60" w:type="dxa"/>
              <w:right w:w="70" w:type="dxa"/>
              <w:bottom w:w="60" w:type="dxa"/>
            </w:tcMar>
            <w:tcW w:w="1160" w:type="dxa"/>
            <w:vAlign w:val="top"/>
          </w:tcPr>
          <w:p>
            <w:pPr>
              <w:pStyle w:val="1296"/>
              <w:pBdr/>
              <w:spacing/>
              <w:ind/>
              <w:rPr/>
            </w:pPr>
            <w:r>
              <w:t xml:space="preserve">Chs 11–13</w:t>
            </w:r>
            <w:r/>
          </w:p>
        </w:tc>
        <w:tc>
          <w:tcPr>
            <w:shd w:val="clear" w:color="auto" w:fill="f7f9fa"/>
            <w:tcBorders/>
            <w:tcMar>
              <w:left w:w="70" w:type="dxa"/>
              <w:top w:w="60" w:type="dxa"/>
              <w:right w:w="70" w:type="dxa"/>
              <w:bottom w:w="60" w:type="dxa"/>
            </w:tcMar>
            <w:tcW w:w="1522" w:type="dxa"/>
            <w:vAlign w:val="top"/>
          </w:tcPr>
          <w:p>
            <w:pPr>
              <w:pStyle w:val="1296"/>
              <w:pBdr/>
              <w:spacing/>
              <w:ind/>
              <w:rPr/>
            </w:pPr>
            <w:r>
              <w:t xml:space="preserve">38,000</w:t>
            </w:r>
            <w:r/>
          </w:p>
        </w:tc>
        <w:tc>
          <w:tcPr>
            <w:shd w:val="clear" w:color="auto" w:fill="f7f9fa"/>
            <w:tcBorders/>
            <w:tcMar>
              <w:left w:w="70" w:type="dxa"/>
              <w:top w:w="60" w:type="dxa"/>
              <w:right w:w="70" w:type="dxa"/>
              <w:bottom w:w="60" w:type="dxa"/>
            </w:tcMar>
            <w:tcW w:w="3335" w:type="dxa"/>
            <w:vAlign w:val="top"/>
          </w:tcPr>
          <w:p>
            <w:pPr>
              <w:pStyle w:val="1296"/>
              <w:pBdr/>
              <w:spacing/>
              <w:ind/>
              <w:rPr/>
            </w:pPr>
            <w:r>
              <w:t xml:space="preserve">Knowledge, diagnosis, transformation</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Volume II — Agency, Transformation, Ends</w:t>
            </w:r>
            <w:r/>
          </w:p>
        </w:tc>
        <w:tc>
          <w:tcPr>
            <w:tcBorders/>
            <w:tcMar>
              <w:left w:w="70" w:type="dxa"/>
              <w:top w:w="60" w:type="dxa"/>
              <w:right w:w="70" w:type="dxa"/>
              <w:bottom w:w="60" w:type="dxa"/>
            </w:tcMar>
            <w:tcW w:w="1595" w:type="dxa"/>
            <w:vAlign w:val="top"/>
          </w:tcPr>
          <w:p>
            <w:pPr>
              <w:pStyle w:val="1296"/>
              <w:pBdr/>
              <w:spacing/>
              <w:ind/>
              <w:rPr/>
            </w:pPr>
            <w:r>
              <w:t xml:space="preserve">Part V</w:t>
            </w:r>
            <w:r/>
          </w:p>
        </w:tc>
        <w:tc>
          <w:tcPr>
            <w:tcBorders/>
            <w:tcMar>
              <w:left w:w="70" w:type="dxa"/>
              <w:top w:w="60" w:type="dxa"/>
              <w:right w:w="70" w:type="dxa"/>
              <w:bottom w:w="60" w:type="dxa"/>
            </w:tcMar>
            <w:tcW w:w="1160" w:type="dxa"/>
            <w:vAlign w:val="top"/>
          </w:tcPr>
          <w:p>
            <w:pPr>
              <w:pStyle w:val="1296"/>
              <w:pBdr/>
              <w:spacing/>
              <w:ind/>
              <w:rPr/>
            </w:pPr>
            <w:r>
              <w:t xml:space="preserve">Chs 14–16</w:t>
            </w:r>
            <w:r/>
          </w:p>
        </w:tc>
        <w:tc>
          <w:tcPr>
            <w:tcBorders/>
            <w:tcMar>
              <w:left w:w="70" w:type="dxa"/>
              <w:top w:w="60" w:type="dxa"/>
              <w:right w:w="70" w:type="dxa"/>
              <w:bottom w:w="60" w:type="dxa"/>
            </w:tcMar>
            <w:tcW w:w="1522" w:type="dxa"/>
            <w:vAlign w:val="top"/>
          </w:tcPr>
          <w:p>
            <w:pPr>
              <w:pStyle w:val="1296"/>
              <w:pBdr/>
              <w:spacing/>
              <w:ind/>
              <w:rPr/>
            </w:pPr>
            <w:r>
              <w:t xml:space="preserve">45,000</w:t>
            </w:r>
            <w:r/>
          </w:p>
        </w:tc>
        <w:tc>
          <w:tcPr>
            <w:tcBorders/>
            <w:tcMar>
              <w:left w:w="70" w:type="dxa"/>
              <w:top w:w="60" w:type="dxa"/>
              <w:right w:w="70" w:type="dxa"/>
              <w:bottom w:w="60" w:type="dxa"/>
            </w:tcMar>
            <w:tcW w:w="3335" w:type="dxa"/>
            <w:vAlign w:val="top"/>
          </w:tcPr>
          <w:p>
            <w:pPr>
              <w:pStyle w:val="1296"/>
              <w:pBdr/>
              <w:spacing/>
              <w:ind/>
              <w:rPr/>
            </w:pPr>
            <w:r>
              <w:t xml:space="preserve">Causal order, agency, world relation</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Volume II — Agency, Transformation, Ends</w:t>
            </w:r>
            <w:r/>
          </w:p>
        </w:tc>
        <w:tc>
          <w:tcPr>
            <w:shd w:val="clear" w:color="auto" w:fill="f7f9fa"/>
            <w:tcBorders/>
            <w:tcMar>
              <w:left w:w="70" w:type="dxa"/>
              <w:top w:w="60" w:type="dxa"/>
              <w:right w:w="70" w:type="dxa"/>
              <w:bottom w:w="60" w:type="dxa"/>
            </w:tcMar>
            <w:tcW w:w="1595" w:type="dxa"/>
            <w:vAlign w:val="top"/>
          </w:tcPr>
          <w:p>
            <w:pPr>
              <w:pStyle w:val="1296"/>
              <w:pBdr/>
              <w:spacing/>
              <w:ind/>
              <w:rPr/>
            </w:pPr>
            <w:r>
              <w:t xml:space="preserve">Part VI</w:t>
            </w:r>
            <w:r/>
          </w:p>
        </w:tc>
        <w:tc>
          <w:tcPr>
            <w:shd w:val="clear" w:color="auto" w:fill="f7f9fa"/>
            <w:tcBorders/>
            <w:tcMar>
              <w:left w:w="70" w:type="dxa"/>
              <w:top w:w="60" w:type="dxa"/>
              <w:right w:w="70" w:type="dxa"/>
              <w:bottom w:w="60" w:type="dxa"/>
            </w:tcMar>
            <w:tcW w:w="1160" w:type="dxa"/>
            <w:vAlign w:val="top"/>
          </w:tcPr>
          <w:p>
            <w:pPr>
              <w:pStyle w:val="1296"/>
              <w:pBdr/>
              <w:spacing/>
              <w:ind/>
              <w:rPr/>
            </w:pPr>
            <w:r>
              <w:t xml:space="preserve">Chs 17–20</w:t>
            </w:r>
            <w:r/>
          </w:p>
        </w:tc>
        <w:tc>
          <w:tcPr>
            <w:shd w:val="clear" w:color="auto" w:fill="f7f9fa"/>
            <w:tcBorders/>
            <w:tcMar>
              <w:left w:w="70" w:type="dxa"/>
              <w:top w:w="60" w:type="dxa"/>
              <w:right w:w="70" w:type="dxa"/>
              <w:bottom w:w="60" w:type="dxa"/>
            </w:tcMar>
            <w:tcW w:w="1522" w:type="dxa"/>
            <w:vAlign w:val="top"/>
          </w:tcPr>
          <w:p>
            <w:pPr>
              <w:pStyle w:val="1296"/>
              <w:pBdr/>
              <w:spacing/>
              <w:ind/>
              <w:rPr/>
            </w:pPr>
            <w:r>
              <w:t xml:space="preserve">50,000</w:t>
            </w:r>
            <w:r/>
          </w:p>
        </w:tc>
        <w:tc>
          <w:tcPr>
            <w:shd w:val="clear" w:color="auto" w:fill="f7f9fa"/>
            <w:tcBorders/>
            <w:tcMar>
              <w:left w:w="70" w:type="dxa"/>
              <w:top w:w="60" w:type="dxa"/>
              <w:right w:w="70" w:type="dxa"/>
              <w:bottom w:w="60" w:type="dxa"/>
            </w:tcMar>
            <w:tcW w:w="3335" w:type="dxa"/>
            <w:vAlign w:val="top"/>
          </w:tcPr>
          <w:p>
            <w:pPr>
              <w:pStyle w:val="1296"/>
              <w:pBdr/>
              <w:spacing/>
              <w:ind/>
              <w:rPr/>
            </w:pPr>
            <w:r>
              <w:t xml:space="preserve">Death, telos, synthesis, limits</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Both volumes</w:t>
            </w:r>
            <w:r/>
          </w:p>
        </w:tc>
        <w:tc>
          <w:tcPr>
            <w:tcBorders/>
            <w:tcMar>
              <w:left w:w="70" w:type="dxa"/>
              <w:top w:w="60" w:type="dxa"/>
              <w:right w:w="70" w:type="dxa"/>
              <w:bottom w:w="60" w:type="dxa"/>
            </w:tcMar>
            <w:tcW w:w="1595" w:type="dxa"/>
            <w:vAlign w:val="top"/>
          </w:tcPr>
          <w:p>
            <w:pPr>
              <w:pStyle w:val="1296"/>
              <w:pBdr/>
              <w:spacing/>
              <w:ind/>
              <w:rPr/>
            </w:pPr>
            <w:r>
              <w:t xml:space="preserve">Notes / bibliography / selected appendices</w:t>
            </w:r>
            <w:r/>
          </w:p>
        </w:tc>
        <w:tc>
          <w:tcPr>
            <w:tcBorders/>
            <w:tcMar>
              <w:left w:w="70" w:type="dxa"/>
              <w:top w:w="60" w:type="dxa"/>
              <w:right w:w="70" w:type="dxa"/>
              <w:bottom w:w="60" w:type="dxa"/>
            </w:tcMar>
            <w:tcW w:w="1160" w:type="dxa"/>
            <w:vAlign w:val="top"/>
          </w:tcPr>
          <w:p>
            <w:pPr>
              <w:pStyle w:val="1296"/>
              <w:pBdr/>
              <w:spacing/>
              <w:ind/>
              <w:rPr/>
            </w:pPr>
            <w:r>
              <w:t xml:space="preserve">—</w:t>
            </w:r>
            <w:r/>
          </w:p>
        </w:tc>
        <w:tc>
          <w:tcPr>
            <w:tcBorders/>
            <w:tcMar>
              <w:left w:w="70" w:type="dxa"/>
              <w:top w:w="60" w:type="dxa"/>
              <w:right w:w="70" w:type="dxa"/>
              <w:bottom w:w="60" w:type="dxa"/>
            </w:tcMar>
            <w:tcW w:w="1522" w:type="dxa"/>
            <w:vAlign w:val="top"/>
          </w:tcPr>
          <w:p>
            <w:pPr>
              <w:pStyle w:val="1296"/>
              <w:pBdr/>
              <w:spacing/>
              <w:ind/>
              <w:rPr/>
            </w:pPr>
            <w:r>
              <w:t xml:space="preserve">approximately 35,000</w:t>
            </w:r>
            <w:r/>
          </w:p>
        </w:tc>
        <w:tc>
          <w:tcPr>
            <w:tcBorders/>
            <w:tcMar>
              <w:left w:w="70" w:type="dxa"/>
              <w:top w:w="60" w:type="dxa"/>
              <w:right w:w="70" w:type="dxa"/>
              <w:bottom w:w="60" w:type="dxa"/>
            </w:tcMar>
            <w:tcW w:w="3335" w:type="dxa"/>
            <w:vAlign w:val="top"/>
          </w:tcPr>
          <w:p>
            <w:pPr>
              <w:pStyle w:val="1296"/>
              <w:pBdr/>
              <w:spacing/>
              <w:ind/>
              <w:rPr/>
            </w:pPr>
            <w:r>
              <w:t xml:space="preserve">Approximately 17k–18k per volume</w:t>
            </w:r>
            <w:r/>
          </w:p>
        </w:tc>
      </w:tr>
    </w:tbl>
    <w:p>
      <w:pPr>
        <w:pStyle w:val="1300"/>
        <w:pBdr/>
        <w:spacing/>
        <w:ind/>
        <w:rPr/>
      </w:pPr>
      <w:r/>
      <w:r/>
    </w:p>
    <w:p>
      <w:pPr>
        <w:pBdr/>
        <w:spacing/>
        <w:ind/>
        <w:rPr/>
      </w:pPr>
      <w:r>
        <w:t xml:space="preserve">The two-volume plan allocates space for the twenty chapters and their translation, disanalogy and source-status discussions. Full reference profiles and extended evidence remain in the Digital Atlas.</w:t>
      </w:r>
      <w:r/>
    </w:p>
    <w:p>
      <w:pPr>
        <w:pStyle w:val="1136"/>
        <w:keepNext w:val="true"/>
        <w:keepLines w:val="true"/>
        <w:pBdr/>
        <w:spacing/>
        <w:ind/>
        <w:rPr/>
      </w:pPr>
      <w:r/>
      <w:bookmarkStart w:id="126" w:name="SEC_10"/>
      <w:r>
        <w:t xml:space="preserve">10. Publication positioning</w:t>
      </w:r>
      <w:bookmarkEnd w:id="126"/>
      <w:r/>
      <w:r/>
    </w:p>
    <w:tbl>
      <w:tblPr>
        <w:jc w:val="center"/>
        <w:tblW w:w="0" w:type="auto"/>
        <w:tblBorders>
          <w:top w:val="single" w:color="2a6f83" w:sz="8" w:space="0"/>
          <w:left w:val="single" w:color="2a6f83" w:sz="8" w:space="0"/>
          <w:bottom w:val="single" w:color="2a6f83" w:sz="8" w:space="0"/>
          <w:right w:val="single" w:color="2a6f83" w:sz="8" w:space="0"/>
          <w:insideH w:val="single" w:color="2a6f83" w:sz="8" w:space="0"/>
          <w:insideV w:val="single" w:color="2a6f83" w:sz="8" w:space="0"/>
        </w:tblBorders>
        <w:tblLayout w:type="fixed"/>
        <w:tblLook w:val="04A0" w:firstRow="1" w:lastRow="0" w:firstColumn="1" w:lastColumn="0" w:noHBand="0" w:noVBand="1"/>
      </w:tblPr>
      <w:tblGrid>
        <w:gridCol w:w="10006"/>
      </w:tblGrid>
      <w:tr>
        <w:trPr>
          <w:cantSplit/>
          <w:tblHeader/>
        </w:trPr>
        <w:tc>
          <w:tcPr>
            <w:shd w:val="clear" w:color="auto" w:fill="2a6f83"/>
            <w:tcBorders/>
            <w:tcMar>
              <w:left w:w="70" w:type="dxa"/>
              <w:top w:w="60" w:type="dxa"/>
              <w:right w:w="70" w:type="dxa"/>
              <w:bottom w:w="60" w:type="dxa"/>
            </w:tcMar>
            <w:tcW w:w="9936" w:type="dxa"/>
            <w:vAlign w:val="top"/>
          </w:tcPr>
          <w:p>
            <w:pPr>
              <w:pStyle w:val="1301"/>
              <w:pBdr/>
              <w:spacing/>
              <w:ind/>
              <w:rPr/>
            </w:pPr>
            <w:r>
              <w:t xml:space="preserve">Derived — Approved publication positioning; source: Research Specification §12.1</w:t>
            </w:r>
            <w:r/>
          </w:p>
        </w:tc>
      </w:tr>
      <w:tr>
        <w:trPr>
          <w:cantSplit/>
        </w:trPr>
        <w:tc>
          <w:tcPr>
            <w:shd w:val="clear" w:color="auto" w:fill="eaf2f6"/>
            <w:tcBorders/>
            <w:tcMar>
              <w:left w:w="70" w:type="dxa"/>
              <w:top w:w="60" w:type="dxa"/>
              <w:right w:w="70" w:type="dxa"/>
              <w:bottom w:w="60" w:type="dxa"/>
            </w:tcMar>
            <w:tcW w:w="10006" w:type="dxa"/>
            <w:vAlign w:val="top"/>
          </w:tcPr>
          <w:p>
            <w:pPr>
              <w:pStyle w:val="1302"/>
              <w:pBdr/>
              <w:spacing/>
              <w:ind/>
              <w:rPr/>
            </w:pPr>
            <w:r>
              <w:t xml:space="preserve">The </w:t>
            </w:r>
            <w:r>
              <w:t xml:space="preserve">Atlas may be described as a source-sensitive comparative research and publication architecture designed to generate structured reference views and narrative publication. Its distinctive target is to integrate bounded Positions, claim-level provenance, expl</w:t>
            </w:r>
            <w:r>
              <w:t xml:space="preserve">icit answer and non-answer states, concept-level translation control, internal-plurality safeguards, typed comparative relations with mandatory disanalogy and genealogy status, source-community governance and gated synthesis in one multi-resolution system.</w:t>
            </w:r>
            <w:r/>
          </w:p>
          <w:p>
            <w:pPr>
              <w:pStyle w:val="1302"/>
              <w:pBdr/>
              <w:spacing/>
              <w:ind/>
              <w:rPr/>
            </w:pPr>
            <w:r>
              <w:t xml:space="preserve">Its narrative argument may additionally be described as comparing how Positions connect or separate claims about reality, epistemic authority and ac</w:t>
            </w:r>
            <w:r>
              <w:t xml:space="preserve">cess, diagnosis and transformative praxis. Where source-grounded and applicable, this includes qualifications of knowing or of a knower or subject. This is an integration claim, not a claim of historical priority, universal structure or metaphysical truth.</w:t>
            </w:r>
            <w:r/>
          </w:p>
        </w:tc>
      </w:tr>
    </w:tbl>
    <w:p>
      <w:pPr>
        <w:pStyle w:val="1300"/>
        <w:pBdr/>
        <w:spacing/>
        <w:ind/>
        <w:rPr/>
      </w:pPr>
      <w:r/>
      <w:r/>
    </w:p>
    <w:p>
      <w:pPr>
        <w:pBdr/>
        <w:spacing/>
        <w:ind/>
        <w:rPr/>
      </w:pPr>
      <w:r>
        <w:t xml:space="preserve">Research Specification §12.1 governs public-claim language. The publication must not use “first-ever,” absolute historical-priority, “first global map,” “unique in history,” recurrence-as</w:t>
      </w:r>
      <w:r>
        <w:t xml:space="preserve">-universality or recurrence-as-metaphysical-truth language. G8 must be refreshed immediately before public submission or publication originality language if the dated review is no longer contemporaneous. Annex D preserves the 19 August 2026 external basis.</w:t>
      </w:r>
      <w:r/>
    </w:p>
    <w:p>
      <w:pPr>
        <w:pStyle w:val="1135"/>
        <w:keepNext w:val="true"/>
        <w:keepLines w:val="true"/>
        <w:pBdr/>
        <w:spacing/>
        <w:ind/>
        <w:rPr/>
      </w:pPr>
      <w:r/>
      <w:bookmarkStart w:id="127" w:name="PART_II"/>
      <w:r>
        <w:t xml:space="preserve">Part II — Chapter briefs</w:t>
      </w:r>
      <w:bookmarkEnd w:id="127"/>
      <w:r/>
      <w:r/>
    </w:p>
    <w:p>
      <w:pPr>
        <w:pStyle w:val="1184"/>
        <w:keepNext w:val="true"/>
        <w:keepLines w:val="true"/>
        <w:pBdr/>
        <w:spacing/>
        <w:ind/>
        <w:rPr/>
      </w:pPr>
      <w:r>
        <w:t xml:space="preserve">Governing — Part II front door</w:t>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2393"/>
        <w:gridCol w:w="7613"/>
      </w:tblGrid>
      <w:tr>
        <w:trPr>
          <w:cantSplit/>
          <w:tblHeader/>
        </w:trPr>
        <w:tc>
          <w:tcPr>
            <w:shd w:val="clear" w:color="auto" w:fill="1f5a73"/>
            <w:tcBorders/>
            <w:tcMar>
              <w:left w:w="70" w:type="dxa"/>
              <w:top w:w="60" w:type="dxa"/>
              <w:right w:w="70" w:type="dxa"/>
              <w:bottom w:w="60" w:type="dxa"/>
            </w:tcMar>
            <w:tcW w:w="2393" w:type="dxa"/>
            <w:vAlign w:val="top"/>
          </w:tcPr>
          <w:p>
            <w:pPr>
              <w:pStyle w:val="1298"/>
              <w:pBdr/>
              <w:spacing/>
              <w:ind/>
              <w:rPr/>
            </w:pPr>
            <w:r>
              <w:t xml:space="preserve">Field</w:t>
            </w:r>
            <w:r/>
          </w:p>
        </w:tc>
        <w:tc>
          <w:tcPr>
            <w:shd w:val="clear" w:color="auto" w:fill="1f5a73"/>
            <w:tcBorders/>
            <w:tcMar>
              <w:left w:w="70" w:type="dxa"/>
              <w:top w:w="60" w:type="dxa"/>
              <w:right w:w="70" w:type="dxa"/>
              <w:bottom w:w="60" w:type="dxa"/>
            </w:tcMar>
            <w:tcW w:w="7613" w:type="dxa"/>
            <w:vAlign w:val="top"/>
          </w:tcPr>
          <w:p>
            <w:pPr>
              <w:pStyle w:val="1298"/>
              <w:pBdr/>
              <w:spacing/>
              <w:ind/>
              <w:rPr/>
            </w:pPr>
            <w:r>
              <w:t xml:space="preserve">Required content</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Purpose</w:t>
            </w:r>
            <w:r/>
          </w:p>
        </w:tc>
        <w:tc>
          <w:tcPr>
            <w:tcBorders/>
            <w:tcMar>
              <w:left w:w="70" w:type="dxa"/>
              <w:top w:w="60" w:type="dxa"/>
              <w:right w:w="70" w:type="dxa"/>
              <w:bottom w:w="60" w:type="dxa"/>
            </w:tcMar>
            <w:tcW w:w="7613" w:type="dxa"/>
            <w:vAlign w:val="top"/>
          </w:tcPr>
          <w:p>
            <w:pPr>
              <w:pStyle w:val="1296"/>
              <w:pBdr/>
              <w:spacing/>
              <w:ind/>
              <w:rPr/>
            </w:pPr>
            <w:r>
              <w:t xml:space="preserve">Provide the authoritative local editorial brief for each of the twenty chapters.</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Primary users</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Commissioning editors, authors, chapter specialists, comparative editors, data/validation support and reviewers.</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Authority status</w:t>
            </w:r>
            <w:r/>
          </w:p>
        </w:tc>
        <w:tc>
          <w:tcPr>
            <w:tcBorders/>
            <w:tcMar>
              <w:left w:w="70" w:type="dxa"/>
              <w:top w:w="60" w:type="dxa"/>
              <w:right w:w="70" w:type="dxa"/>
              <w:bottom w:w="60" w:type="dxa"/>
            </w:tcMar>
            <w:tcW w:w="7613" w:type="dxa"/>
            <w:vAlign w:val="top"/>
          </w:tcPr>
          <w:p>
            <w:pPr>
              <w:pStyle w:val="1296"/>
              <w:pBdr/>
              <w:spacing/>
              <w:ind/>
              <w:rPr/>
            </w:pPr>
            <w:r>
              <w:t xml:space="preserve">Governing for chapter purpose, question, comparative scope, outputs, target words, completion tests and detailed section sequence.</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Common rules</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All chapters inherit the Master Chapter Production Contract in Part III; common Research meanings remain in Research Specification.</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Status separation</w:t>
            </w:r>
            <w:r/>
          </w:p>
        </w:tc>
        <w:tc>
          <w:tcPr>
            <w:tcBorders/>
            <w:tcMar>
              <w:left w:w="70" w:type="dxa"/>
              <w:top w:w="60" w:type="dxa"/>
              <w:right w:w="70" w:type="dxa"/>
              <w:bottom w:w="60" w:type="dxa"/>
            </w:tcMar>
            <w:tcW w:w="7613" w:type="dxa"/>
            <w:vAlign w:val="top"/>
          </w:tcPr>
          <w:p>
            <w:pPr>
              <w:pStyle w:val="1296"/>
              <w:pBdr/>
              <w:spacing/>
              <w:ind/>
              <w:rPr/>
            </w:pPr>
            <w:r>
              <w:t xml:space="preserve">Planning confidence and validation-dependency status are recorded only in the dated historical snapshot.</w:t>
            </w:r>
            <w:r/>
          </w:p>
        </w:tc>
      </w:tr>
    </w:tbl>
    <w:p>
      <w:pPr>
        <w:pStyle w:val="1300"/>
        <w:pBdr/>
        <w:spacing/>
        <w:ind/>
        <w:rPr/>
      </w:pPr>
      <w:r/>
      <w:r/>
    </w:p>
    <w:p>
      <w:pPr>
        <w:pBdr/>
        <w:spacing/>
        <w:ind/>
        <w:rPr/>
      </w:pPr>
      <w:r>
        <w:t xml:space="preserve">Each brief contains only local dif</w:t>
      </w:r>
      <w:r>
        <w:t xml:space="preserve">ferences. Detailed section sequences are adopted manuscript and commissioning architecture and remain authoritative. Dependency IDs resolve to the historical dependency snapshot; their clearance rules remain governed by Research Specification and Part III.</w:t>
      </w:r>
      <w:r/>
    </w:p>
    <w:tbl>
      <w:tblPr>
        <w:jc w:val="center"/>
        <w:tblW w:w="0" w:type="auto"/>
        <w:tblBorders>
          <w:top w:val="single" w:color="1f5a73" w:sz="8" w:space="0"/>
          <w:left w:val="single" w:color="1f5a73" w:sz="8" w:space="0"/>
          <w:bottom w:val="single" w:color="1f5a73" w:sz="8" w:space="0"/>
          <w:right w:val="single" w:color="1f5a73" w:sz="8" w:space="0"/>
          <w:insideH w:val="single" w:color="1f5a73" w:sz="8" w:space="0"/>
          <w:insideV w:val="single" w:color="1f5a73" w:sz="8" w:space="0"/>
        </w:tblBorders>
        <w:tblLayout w:type="fixed"/>
        <w:tblLook w:val="04A0" w:firstRow="1" w:lastRow="0" w:firstColumn="1" w:lastColumn="0" w:noHBand="0" w:noVBand="1"/>
      </w:tblPr>
      <w:tblGrid>
        <w:gridCol w:w="10006"/>
      </w:tblGrid>
      <w:tr>
        <w:trPr>
          <w:cantSplit/>
          <w:tblHeader/>
        </w:trPr>
        <w:tc>
          <w:tcPr>
            <w:shd w:val="clear" w:color="auto" w:fill="1f5a73"/>
            <w:tcBorders/>
            <w:tcMar>
              <w:left w:w="70" w:type="dxa"/>
              <w:top w:w="60" w:type="dxa"/>
              <w:right w:w="70" w:type="dxa"/>
              <w:bottom w:w="60" w:type="dxa"/>
            </w:tcMar>
            <w:tcW w:w="9936" w:type="dxa"/>
            <w:vAlign w:val="top"/>
          </w:tcPr>
          <w:p>
            <w:pPr>
              <w:pStyle w:val="1301"/>
              <w:pBdr/>
              <w:spacing/>
              <w:ind/>
              <w:rPr/>
            </w:pPr>
            <w:r>
              <w:t xml:space="preserve">Governing — Cross-chapter ownership and repetition control</w:t>
            </w:r>
            <w:r/>
          </w:p>
        </w:tc>
      </w:tr>
      <w:tr>
        <w:trPr>
          <w:cantSplit/>
        </w:trPr>
        <w:tc>
          <w:tcPr>
            <w:shd w:val="clear" w:color="auto" w:fill="eaf2f6"/>
            <w:tcBorders/>
            <w:tcMar>
              <w:left w:w="70" w:type="dxa"/>
              <w:top w:w="60" w:type="dxa"/>
              <w:right w:w="70" w:type="dxa"/>
              <w:bottom w:w="60" w:type="dxa"/>
            </w:tcMar>
            <w:tcW w:w="10006" w:type="dxa"/>
            <w:vAlign w:val="top"/>
          </w:tcPr>
          <w:p>
            <w:pPr>
              <w:pStyle w:val="1302"/>
              <w:pBdr/>
              <w:spacing/>
              <w:ind/>
              <w:rPr/>
            </w:pPr>
            <w:r>
              <w:t xml:space="preserve">Chapter 11 owns epistemic authority and conditions of access. Its treatment of diagnosis and transformation is limited to the minimum bridge statement needed to establish the relevant relation.</w:t>
            </w:r>
            <w:r/>
          </w:p>
          <w:p>
            <w:pPr>
              <w:pStyle w:val="1302"/>
              <w:pBdr/>
              <w:spacing/>
              <w:ind/>
              <w:rPr/>
            </w:pPr>
            <w:r>
              <w:t xml:space="preserve">Chapter 12 owns diagnosis and the rule that diagnosis does not entail access, a knower/subject model or remedy.</w:t>
            </w:r>
            <w:r/>
          </w:p>
          <w:p>
            <w:pPr>
              <w:pStyle w:val="1302"/>
              <w:pBdr/>
              <w:spacing/>
              <w:ind/>
              <w:rPr/>
            </w:pPr>
            <w:r>
              <w:t xml:space="preserve">Chapter 13 owns substantive comparison of direction, reciprocity, constitution, independence, separation, denial, reframing and open relations between knowing and transformation. It reuses rather than re-exposits validated Chapter 11 findings.</w:t>
            </w:r>
            <w:r/>
          </w:p>
          <w:p>
            <w:pPr>
              <w:pStyle w:val="1302"/>
              <w:pBdr/>
              <w:spacing/>
              <w:ind/>
              <w:rPr/>
            </w:pPr>
            <w:r>
              <w:t xml:space="preserve">Chapter 19 owns synthesis and negative results, not renewed source exposition; Chapter 20 owns the final integrative claim and limits. The full five-part formula is not repeated as a recurring slogan.</w:t>
            </w:r>
            <w:r/>
          </w:p>
        </w:tc>
      </w:tr>
    </w:tbl>
    <w:p>
      <w:pPr>
        <w:pStyle w:val="1136"/>
        <w:keepNext w:val="true"/>
        <w:keepLines w:val="true"/>
        <w:pBdr/>
        <w:spacing/>
        <w:ind/>
        <w:rPr/>
      </w:pPr>
      <w:r/>
      <w:bookmarkStart w:id="128" w:name="PUB_PART_1"/>
      <w:r>
        <w:t xml:space="preserve">Publication Part I — How Comparison Becomes an Argument</w:t>
      </w:r>
      <w:bookmarkEnd w:id="128"/>
      <w:r/>
      <w:r/>
    </w:p>
    <w:p>
      <w:pPr>
        <w:pStyle w:val="1300"/>
        <w:keepNext w:val="true"/>
        <w:pBdr/>
        <w:spacing/>
        <w:ind/>
        <w:rPr/>
      </w:pPr>
      <w:r>
        <w:t xml:space="preserve">Volume I — Worlds, Grounds, Minds</w:t>
      </w:r>
      <w:r/>
    </w:p>
    <w:p>
      <w:pPr>
        <w:pStyle w:val="1137"/>
        <w:keepNext w:val="true"/>
        <w:keepLines w:val="true"/>
        <w:pBdr/>
        <w:spacing/>
        <w:ind/>
        <w:rPr/>
      </w:pPr>
      <w:r/>
      <w:bookmarkStart w:id="129" w:name="CH_01"/>
      <w:r>
        <w:t xml:space="preserve">Chapter 1 — From Worldview Labels to Bounded Architectures</w:t>
      </w:r>
      <w:bookmarkEnd w:id="129"/>
      <w:r/>
      <w:r/>
    </w:p>
    <w:p>
      <w:pPr>
        <w:pStyle w:val="1184"/>
        <w:keepNext w:val="true"/>
        <w:keepLines w:val="true"/>
        <w:pBdr/>
        <w:spacing/>
        <w:ind/>
        <w:rPr/>
      </w:pPr>
      <w:r/>
      <w:bookmarkStart w:id="130" w:name="T_CH_01"/>
      <w:r>
        <w:t xml:space="preserve">Governing — Chapter 1 local brief</w:t>
      </w:r>
      <w:bookmarkEnd w:id="130"/>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2393"/>
        <w:gridCol w:w="7613"/>
      </w:tblGrid>
      <w:tr>
        <w:trPr>
          <w:cantSplit/>
          <w:tblHeader/>
        </w:trPr>
        <w:tc>
          <w:tcPr>
            <w:shd w:val="clear" w:color="auto" w:fill="1f5a73"/>
            <w:tcBorders/>
            <w:tcMar>
              <w:left w:w="70" w:type="dxa"/>
              <w:top w:w="60" w:type="dxa"/>
              <w:right w:w="70" w:type="dxa"/>
              <w:bottom w:w="60" w:type="dxa"/>
            </w:tcMar>
            <w:tcW w:w="2393" w:type="dxa"/>
            <w:vAlign w:val="top"/>
          </w:tcPr>
          <w:p>
            <w:pPr>
              <w:pStyle w:val="1298"/>
              <w:pBdr/>
              <w:spacing/>
              <w:ind/>
              <w:rPr/>
            </w:pPr>
            <w:r>
              <w:t xml:space="preserve">Field</w:t>
            </w:r>
            <w:r/>
          </w:p>
        </w:tc>
        <w:tc>
          <w:tcPr>
            <w:shd w:val="clear" w:color="auto" w:fill="1f5a73"/>
            <w:tcBorders/>
            <w:tcMar>
              <w:left w:w="70" w:type="dxa"/>
              <w:top w:w="60" w:type="dxa"/>
              <w:right w:w="70" w:type="dxa"/>
              <w:bottom w:w="60" w:type="dxa"/>
            </w:tcMar>
            <w:tcW w:w="7613" w:type="dxa"/>
            <w:vAlign w:val="top"/>
          </w:tcPr>
          <w:p>
            <w:pPr>
              <w:pStyle w:val="1298"/>
              <w:pBdr/>
              <w:spacing/>
              <w:ind/>
              <w:rPr/>
            </w:pPr>
            <w:r>
              <w:t xml:space="preserve">Chapter brief</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Purpose</w:t>
            </w:r>
            <w:r/>
          </w:p>
        </w:tc>
        <w:tc>
          <w:tcPr>
            <w:tcBorders/>
            <w:tcMar>
              <w:left w:w="70" w:type="dxa"/>
              <w:top w:w="60" w:type="dxa"/>
              <w:right w:w="70" w:type="dxa"/>
              <w:bottom w:w="60" w:type="dxa"/>
            </w:tcMar>
            <w:tcW w:w="7613" w:type="dxa"/>
            <w:vAlign w:val="top"/>
          </w:tcPr>
          <w:p>
            <w:pPr>
              <w:pStyle w:val="1296"/>
              <w:pBdr/>
              <w:spacing/>
              <w:ind/>
              <w:rPr/>
            </w:pPr>
            <w:r>
              <w:t xml:space="preserve">Establish the reader-facing object of comparison and show why religions, civilizations, and scientific fields cannot function as single answer-sets.</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Central question</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What must be bounded before meaningful cross-cultural comparison can begin?</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Intellectual payoff</w:t>
            </w:r>
            <w:r/>
          </w:p>
        </w:tc>
        <w:tc>
          <w:tcPr>
            <w:tcBorders/>
            <w:tcMar>
              <w:left w:w="70" w:type="dxa"/>
              <w:top w:w="60" w:type="dxa"/>
              <w:right w:w="70" w:type="dxa"/>
              <w:bottom w:w="60" w:type="dxa"/>
            </w:tcMar>
            <w:tcW w:w="7613" w:type="dxa"/>
            <w:vAlign w:val="top"/>
          </w:tcPr>
          <w:p>
            <w:pPr>
              <w:pStyle w:val="1296"/>
              <w:pBdr/>
              <w:spacing/>
              <w:ind/>
              <w:rPr/>
            </w:pPr>
            <w:r>
              <w:t xml:space="preserve">Replaces civilizational catalogue logic with inspectable positions, claims, sources, and non-answer states without turning the opening into a methods manual.</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Comparative scope</w:t>
            </w:r>
            <w:r/>
          </w:p>
        </w:tc>
        <w:tc>
          <w:tcPr>
            <w:shd w:val="clear" w:color="auto" w:fill="f7f9fa"/>
            <w:tcBorders/>
            <w:tcMar>
              <w:left w:w="70" w:type="dxa"/>
              <w:top w:w="60" w:type="dxa"/>
              <w:right w:w="70" w:type="dxa"/>
              <w:bottom w:w="60" w:type="dxa"/>
            </w:tcMar>
            <w:tcW w:w="7613" w:type="dxa"/>
            <w:vAlign w:val="top"/>
          </w:tcPr>
          <w:p>
            <w:pPr>
              <w:pStyle w:val="1296"/>
              <w:pBdr/>
              <w:spacing/>
              <w:ind/>
              <w:rPr/>
            </w:pPr>
            <w:r>
              <w:rPr>
                <w:b/>
              </w:rPr>
              <w:t xml:space="preserve">Core Positions:</w:t>
            </w:r>
            <w:r>
              <w:t xml:space="preserve"> Gregory; Nāgārjuna; source-bounded Ifá; Papineau physicalism; constitutive micropsychism</w:t>
            </w:r>
            <w:r/>
          </w:p>
          <w:p>
            <w:pPr>
              <w:pStyle w:val="1296"/>
              <w:pBdr/>
              <w:spacing/>
              <w:ind/>
              <w:rPr/>
            </w:pPr>
            <w:r>
              <w:t xml:space="preserve">Comparators and counterexamples: Achuar as a held stress case</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Domains and concepts</w:t>
            </w:r>
            <w:r/>
          </w:p>
        </w:tc>
        <w:tc>
          <w:tcPr>
            <w:tcBorders/>
            <w:tcMar>
              <w:left w:w="70" w:type="dxa"/>
              <w:top w:w="60" w:type="dxa"/>
              <w:right w:w="70" w:type="dxa"/>
              <w:bottom w:w="60" w:type="dxa"/>
            </w:tcMar>
            <w:tcW w:w="7613" w:type="dxa"/>
            <w:vAlign w:val="top"/>
          </w:tcPr>
          <w:p>
            <w:pPr>
              <w:pStyle w:val="1296"/>
              <w:pBdr/>
              <w:spacing/>
              <w:ind/>
              <w:rPr/>
            </w:pPr>
            <w:r>
              <w:rPr>
                <w:b/>
              </w:rPr>
              <w:t xml:space="preserve">Primary domains:</w:t>
            </w:r>
            <w:r>
              <w:t xml:space="preserve"> D1 (Ontology &amp; ultimacy)–D15 (World relation &amp; normativ</w:t>
            </w:r>
            <w:r>
              <w:t xml:space="preserve">e orientation) as the underlying coverage framework; especially D3 (World-partitioning, materiality &amp; human/nonhuman relations), D5 (Mind &amp; consciousness)/D6 (Self, personhood &amp; identity), D10 (Causal order &amp; dependence)/D11 (Agency, freedom &amp; constraint).</w:t>
            </w:r>
            <w:r/>
          </w:p>
          <w:p>
            <w:pPr>
              <w:pStyle w:val="1296"/>
              <w:pBdr/>
              <w:spacing/>
              <w:ind/>
              <w:rPr/>
            </w:pPr>
            <w:r>
              <w:t xml:space="preserve">Key concepts: Position; emic/etic; category warning (CAT); internally variable response (VAR) and its boundary assessment; underdetermined by the Position (UND); source-insufficient response (INS); source-grounded attribution; Atlas inference.</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Comparison burden</w:t>
            </w:r>
            <w:r/>
          </w:p>
        </w:tc>
        <w:tc>
          <w:tcPr>
            <w:shd w:val="clear" w:color="auto" w:fill="f7f9fa"/>
            <w:tcBorders/>
            <w:tcMar>
              <w:left w:w="70" w:type="dxa"/>
              <w:top w:w="60" w:type="dxa"/>
              <w:right w:w="70" w:type="dxa"/>
              <w:bottom w:w="60" w:type="dxa"/>
            </w:tcMar>
            <w:tcW w:w="7613" w:type="dxa"/>
            <w:vAlign w:val="top"/>
          </w:tcPr>
          <w:p>
            <w:pPr>
              <w:pStyle w:val="1296"/>
              <w:pBdr/>
              <w:spacing/>
              <w:ind/>
              <w:rPr/>
            </w:pPr>
            <w:r>
              <w:rPr>
                <w:b/>
              </w:rPr>
              <w:t xml:space="preserve">Principal comparisons and relations:</w:t>
            </w:r>
            <w:r>
              <w:t xml:space="preserve"> Broad-label failure demonstrations; partial-thesis versus f</w:t>
            </w:r>
            <w:r>
              <w:t xml:space="preserve">ull-Position completeness; mediated reconstruction versus community voice. Category mismatch (MIS), semantic overlap (SEM) and structural homology (STR) are introduced only as proposition-scoped records with explicit dimension, scope and linked disanalogy.</w:t>
            </w:r>
            <w:r/>
          </w:p>
          <w:p>
            <w:pPr>
              <w:pStyle w:val="1296"/>
              <w:pBdr/>
              <w:spacing/>
              <w:ind/>
              <w:rPr/>
            </w:pPr>
            <w:r>
              <w:t xml:space="preserve">Essential disanalogies: A bounded analytic thesis is not structurally equivalent to a liturgical/oral or comprehensive soteriological position.</w:t>
            </w:r>
            <w:r/>
          </w:p>
          <w:p>
            <w:pPr>
              <w:pStyle w:val="1296"/>
              <w:pBdr/>
              <w:spacing/>
              <w:ind/>
              <w:rPr/>
            </w:pPr>
            <w:r>
              <w:t xml:space="preserve">Genealogy: None required for the main methodological demonstrations; historical context remains explicit.</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Evidence and review</w:t>
            </w:r>
            <w:r/>
          </w:p>
        </w:tc>
        <w:tc>
          <w:tcPr>
            <w:tcBorders/>
            <w:tcMar>
              <w:left w:w="70" w:type="dxa"/>
              <w:top w:w="60" w:type="dxa"/>
              <w:right w:w="70" w:type="dxa"/>
              <w:bottom w:w="60" w:type="dxa"/>
            </w:tcMar>
            <w:tcW w:w="7613" w:type="dxa"/>
            <w:vAlign w:val="top"/>
          </w:tcPr>
          <w:p>
            <w:pPr>
              <w:pStyle w:val="1296"/>
              <w:pBdr/>
              <w:spacing/>
              <w:ind/>
              <w:rPr/>
            </w:pPr>
            <w:r>
              <w:rPr>
                <w:b/>
              </w:rPr>
              <w:t xml:space="preserve">Research and evidence burden:</w:t>
            </w:r>
            <w:r>
              <w:t xml:space="preserve"> Governing research specification [Research Specification §§1–7]; current comparative-method scholarship [E1–E3].</w:t>
            </w:r>
            <w:r/>
          </w:p>
          <w:p>
            <w:pPr>
              <w:pStyle w:val="1296"/>
              <w:pBdr/>
              <w:spacing/>
              <w:ind/>
              <w:rPr/>
            </w:pPr>
            <w:r>
              <w:t xml:space="preserve">Canonical inputs and generated views: Links to sample Position/QuestionResponse/Claim records.</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Dependencies and local consequence</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RG-01, RG-02, RG-03. Ifá examples remain project-gate and community-governance dependent; Achuar remains a held mediated reconstruction.</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Planned outputs</w:t>
            </w:r>
            <w:r/>
          </w:p>
        </w:tc>
        <w:tc>
          <w:tcPr>
            <w:tcBorders/>
            <w:tcMar>
              <w:left w:w="70" w:type="dxa"/>
              <w:top w:w="60" w:type="dxa"/>
              <w:right w:w="70" w:type="dxa"/>
              <w:bottom w:w="60" w:type="dxa"/>
            </w:tcMar>
            <w:tcW w:w="7613" w:type="dxa"/>
            <w:vAlign w:val="top"/>
          </w:tcPr>
          <w:p>
            <w:pPr>
              <w:pStyle w:val="1296"/>
              <w:pBdr/>
              <w:spacing/>
              <w:ind/>
              <w:rPr/>
            </w:pPr>
            <w:r>
              <w:t xml:space="preserve">Figure 1. Position-first evidence stack; Box 1. Eight primary response states + CAT.</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Target narrative words</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10,000</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Chapter-specific completion tests</w:t>
            </w:r>
            <w:r/>
          </w:p>
        </w:tc>
        <w:tc>
          <w:tcPr>
            <w:tcBorders/>
            <w:tcMar>
              <w:left w:w="70" w:type="dxa"/>
              <w:top w:w="60" w:type="dxa"/>
              <w:right w:w="70" w:type="dxa"/>
              <w:bottom w:w="60" w:type="dxa"/>
            </w:tcMar>
            <w:tcW w:w="7613" w:type="dxa"/>
            <w:vAlign w:val="top"/>
          </w:tcPr>
          <w:p>
            <w:pPr>
              <w:pStyle w:val="1296"/>
              <w:pBdr/>
              <w:spacing/>
              <w:ind/>
              <w:rPr/>
            </w:pPr>
            <w:r>
              <w:t xml:space="preserve">The exam</w:t>
            </w:r>
            <w:r>
              <w:t xml:space="preserve">ples demonstrate the VAR boundary-assessment rule, exactly one primary response state and orthogonal CAT handling; source-bounded Ifá and Achuar material remains explicitly dependency-bounded and mediated reconstruction is not presented as community voice.</w:t>
            </w:r>
            <w:r/>
          </w:p>
        </w:tc>
      </w:tr>
    </w:tbl>
    <w:p>
      <w:pPr>
        <w:pStyle w:val="1300"/>
        <w:pBdr/>
        <w:spacing/>
        <w:ind/>
        <w:rPr/>
      </w:pPr>
      <w:r/>
      <w:r/>
    </w:p>
    <w:p>
      <w:pPr>
        <w:pStyle w:val="1138"/>
        <w:keepNext w:val="true"/>
        <w:keepLines w:val="true"/>
        <w:pBdr/>
        <w:spacing/>
        <w:ind/>
        <w:rPr/>
      </w:pPr>
      <w:r>
        <w:t xml:space="preserve">1.1 The wrong unit: why 'religions' and 'cultures' do not answer questions</w:t>
      </w:r>
      <w:r/>
    </w:p>
    <w:p>
      <w:pPr>
        <w:pBdr/>
        <w:spacing/>
        <w:ind/>
        <w:rPr/>
      </w:pPr>
      <w:r>
        <w:t xml:space="preserve">Uses heterogeneous internal cases to show how family-level prose erases internal disagreement and historical scope.</w:t>
      </w:r>
      <w:r/>
    </w:p>
    <w:p>
      <w:pPr>
        <w:pStyle w:val="1138"/>
        <w:keepNext w:val="true"/>
        <w:keepLines w:val="true"/>
        <w:pBdr/>
        <w:spacing/>
        <w:ind/>
        <w:rPr/>
      </w:pPr>
      <w:r>
        <w:t xml:space="preserve">1.2 The bounded position as the reader’s unit</w:t>
      </w:r>
      <w:r/>
    </w:p>
    <w:p>
      <w:pPr>
        <w:pBdr/>
        <w:spacing/>
        <w:ind/>
        <w:rPr/>
      </w:pPr>
      <w:r>
        <w:t xml:space="preserve">Defines the smallest coherent answer-set that can still carry claims, practices, refusals, and source provenance.</w:t>
      </w:r>
      <w:r/>
    </w:p>
    <w:p>
      <w:pPr>
        <w:pStyle w:val="1138"/>
        <w:keepNext w:val="true"/>
        <w:keepLines w:val="true"/>
        <w:pBdr/>
        <w:spacing/>
        <w:ind/>
        <w:rPr/>
      </w:pPr>
      <w:r>
        <w:t xml:space="preserve">1.2.1 Partial theses are allowed to remain partial</w:t>
      </w:r>
      <w:r/>
    </w:p>
    <w:p>
      <w:pPr>
        <w:pBdr/>
        <w:spacing/>
        <w:ind/>
        <w:rPr/>
      </w:pPr>
      <w:r>
        <w:t xml:space="preserve">Uses physicalism and micropsychism to make underdetermined and non-salient responses visible rather than manufacturing a complete worldview.</w:t>
      </w:r>
      <w:r/>
    </w:p>
    <w:p>
      <w:pPr>
        <w:pStyle w:val="1138"/>
        <w:keepNext w:val="true"/>
        <w:keepLines w:val="true"/>
        <w:pBdr/>
        <w:spacing/>
        <w:ind/>
        <w:rPr/>
      </w:pPr>
      <w:r>
        <w:t xml:space="preserve">1.2.2 Reconstruction is not voice</w:t>
      </w:r>
      <w:r/>
    </w:p>
    <w:p>
      <w:pPr>
        <w:pBdr/>
        <w:spacing/>
        <w:ind/>
        <w:rPr/>
      </w:pPr>
      <w:r>
        <w:t xml:space="preserve">Uses Achuar and Ifá to separate ethnographic/source-community </w:t>
      </w:r>
      <w:r>
        <w:t xml:space="preserve">evidence, community authority, and Atlas interpretation. Any public example or explanation of a limitation must itself be eligible and authorized for that scope under §§8 and 12; a held research record is not cleared by its use as a methodological example.</w:t>
      </w:r>
      <w:r/>
    </w:p>
    <w:p>
      <w:pPr>
        <w:pStyle w:val="1138"/>
        <w:keepNext w:val="true"/>
        <w:keepLines w:val="true"/>
        <w:pBdr/>
        <w:spacing/>
        <w:ind/>
        <w:rPr/>
      </w:pPr>
      <w:r>
        <w:t xml:space="preserve">1.3 The fifteen questions behind the prose</w:t>
      </w:r>
      <w:r/>
    </w:p>
    <w:p>
      <w:pPr>
        <w:pBdr/>
        <w:spacing/>
        <w:ind/>
        <w:rPr/>
      </w:pPr>
      <w:r>
        <w:t xml:space="preserve">Explains that D1–D15 check coverage but will not dictate chapter order.</w:t>
      </w:r>
      <w:r/>
    </w:p>
    <w:p>
      <w:pPr>
        <w:pStyle w:val="1138"/>
        <w:keepNext w:val="true"/>
        <w:keepLines w:val="true"/>
        <w:pBdr/>
        <w:spacing/>
        <w:ind/>
        <w:rPr/>
      </w:pPr>
      <w:r>
        <w:t xml:space="preserve">1.4 What the book will compare</w:t>
      </w:r>
      <w:r/>
    </w:p>
    <w:p>
      <w:pPr>
        <w:pBdr/>
        <w:spacing/>
        <w:ind/>
        <w:rPr/>
      </w:pPr>
      <w:r>
        <w:t xml:space="preserve">Introduces ComparisonEvents, exact Claim pairs, tertia, relation dimensions, temporal/Position scope, typed relations, linked disanalogies, coherence checks and counterexamples as reader-facing argument disciplines.</w:t>
      </w:r>
      <w:r/>
    </w:p>
    <w:p>
      <w:pPr>
        <w:pStyle w:val="1138"/>
        <w:keepNext w:val="true"/>
        <w:keepLines w:val="true"/>
        <w:pBdr/>
        <w:spacing/>
        <w:ind/>
        <w:rPr/>
      </w:pPr>
      <w:r>
        <w:t xml:space="preserve">1.5 Evidence-status legend for the entire work</w:t>
      </w:r>
      <w:r/>
    </w:p>
    <w:p>
      <w:pPr>
        <w:pBdr/>
        <w:spacing/>
        <w:ind/>
        <w:rPr/>
      </w:pPr>
      <w:r>
        <w:t xml:space="preserve">Defines the plain-language reader markers for governing requirement, source-grounded attribution, Atlas inference, editorial decision, provisional evidence, external validation dependency and restricted/HOLD treatment.</w:t>
      </w:r>
      <w:r/>
    </w:p>
    <w:p>
      <w:pPr>
        <w:pStyle w:val="1137"/>
        <w:keepNext w:val="true"/>
        <w:keepLines w:val="true"/>
        <w:pBdr/>
        <w:spacing/>
        <w:ind/>
        <w:rPr/>
      </w:pPr>
      <w:r/>
      <w:bookmarkStart w:id="131" w:name="CH_02"/>
      <w:r>
        <w:t xml:space="preserve">Chapter 2 — Comparing Without Collapsing</w:t>
      </w:r>
      <w:bookmarkEnd w:id="131"/>
      <w:r/>
      <w:r/>
    </w:p>
    <w:p>
      <w:pPr>
        <w:pStyle w:val="1184"/>
        <w:keepNext w:val="true"/>
        <w:keepLines w:val="true"/>
        <w:pBdr/>
        <w:spacing/>
        <w:ind/>
        <w:rPr/>
      </w:pPr>
      <w:r/>
      <w:bookmarkStart w:id="132" w:name="T_CH_02"/>
      <w:r>
        <w:t xml:space="preserve">Governing — Chapter 2 local brief</w:t>
      </w:r>
      <w:bookmarkEnd w:id="132"/>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2393"/>
        <w:gridCol w:w="7613"/>
      </w:tblGrid>
      <w:tr>
        <w:trPr>
          <w:cantSplit/>
          <w:tblHeader/>
        </w:trPr>
        <w:tc>
          <w:tcPr>
            <w:shd w:val="clear" w:color="auto" w:fill="1f5a73"/>
            <w:tcBorders/>
            <w:tcMar>
              <w:left w:w="70" w:type="dxa"/>
              <w:top w:w="60" w:type="dxa"/>
              <w:right w:w="70" w:type="dxa"/>
              <w:bottom w:w="60" w:type="dxa"/>
            </w:tcMar>
            <w:tcW w:w="2393" w:type="dxa"/>
            <w:vAlign w:val="top"/>
          </w:tcPr>
          <w:p>
            <w:pPr>
              <w:pStyle w:val="1298"/>
              <w:pBdr/>
              <w:spacing/>
              <w:ind/>
              <w:rPr/>
            </w:pPr>
            <w:r>
              <w:t xml:space="preserve">Field</w:t>
            </w:r>
            <w:r/>
          </w:p>
        </w:tc>
        <w:tc>
          <w:tcPr>
            <w:shd w:val="clear" w:color="auto" w:fill="1f5a73"/>
            <w:tcBorders/>
            <w:tcMar>
              <w:left w:w="70" w:type="dxa"/>
              <w:top w:w="60" w:type="dxa"/>
              <w:right w:w="70" w:type="dxa"/>
              <w:bottom w:w="60" w:type="dxa"/>
            </w:tcMar>
            <w:tcW w:w="7613" w:type="dxa"/>
            <w:vAlign w:val="top"/>
          </w:tcPr>
          <w:p>
            <w:pPr>
              <w:pStyle w:val="1298"/>
              <w:pBdr/>
              <w:spacing/>
              <w:ind/>
              <w:rPr/>
            </w:pPr>
            <w:r>
              <w:t xml:space="preserve">Chapter brief</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Purpose</w:t>
            </w:r>
            <w:r/>
          </w:p>
        </w:tc>
        <w:tc>
          <w:tcPr>
            <w:tcBorders/>
            <w:tcMar>
              <w:left w:w="70" w:type="dxa"/>
              <w:top w:w="60" w:type="dxa"/>
              <w:right w:w="70" w:type="dxa"/>
              <w:bottom w:w="60" w:type="dxa"/>
            </w:tcMar>
            <w:tcW w:w="7613" w:type="dxa"/>
            <w:vAlign w:val="top"/>
          </w:tcPr>
          <w:p>
            <w:pPr>
              <w:pStyle w:val="1296"/>
              <w:pBdr/>
              <w:spacing/>
              <w:ind/>
              <w:rPr/>
            </w:pPr>
            <w:r>
              <w:t xml:space="preserve">Give readers the minimal conceptual machinery needed to distinguish useful analogy from semantic identity, equivalence, or genealogy.</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Central question</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How can unlike conceptual schemes be compared without translating them into one hidden vocabulary?</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Intellectual payoff</w:t>
            </w:r>
            <w:r/>
          </w:p>
        </w:tc>
        <w:tc>
          <w:tcPr>
            <w:tcBorders/>
            <w:tcMar>
              <w:left w:w="70" w:type="dxa"/>
              <w:top w:w="60" w:type="dxa"/>
              <w:right w:w="70" w:type="dxa"/>
              <w:bottom w:w="60" w:type="dxa"/>
            </w:tcMar>
            <w:tcW w:w="7613" w:type="dxa"/>
            <w:vAlign w:val="top"/>
          </w:tcPr>
          <w:p>
            <w:pPr>
              <w:pStyle w:val="1296"/>
              <w:pBdr/>
              <w:spacing/>
              <w:ind/>
              <w:rPr/>
            </w:pPr>
            <w:r>
              <w:t xml:space="preserve">Makes the comparative chapters auditable while preserving readability.</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Comparative scope</w:t>
            </w:r>
            <w:r/>
          </w:p>
        </w:tc>
        <w:tc>
          <w:tcPr>
            <w:shd w:val="clear" w:color="auto" w:fill="f7f9fa"/>
            <w:tcBorders/>
            <w:tcMar>
              <w:left w:w="70" w:type="dxa"/>
              <w:top w:w="60" w:type="dxa"/>
              <w:right w:w="70" w:type="dxa"/>
              <w:bottom w:w="60" w:type="dxa"/>
            </w:tcMar>
            <w:tcW w:w="7613" w:type="dxa"/>
            <w:vAlign w:val="top"/>
          </w:tcPr>
          <w:p>
            <w:pPr>
              <w:pStyle w:val="1296"/>
              <w:pBdr/>
              <w:spacing/>
              <w:ind/>
              <w:rPr/>
            </w:pPr>
            <w:r>
              <w:rPr>
                <w:b/>
              </w:rPr>
              <w:t xml:space="preserve">Core Positions:</w:t>
            </w:r>
            <w:r>
              <w:t xml:space="preserve"> Śaṅkara; Nāgārjuna; Gregory; Apocryphon; constitutive micropsychism; Ibn ʿArabī</w:t>
            </w:r>
            <w:r/>
          </w:p>
          <w:p>
            <w:pPr>
              <w:pStyle w:val="1296"/>
              <w:pBdr/>
              <w:spacing/>
              <w:ind/>
              <w:rPr/>
            </w:pPr>
            <w:r>
              <w:t xml:space="preserve">Comparators and counterexamples: Leibniz; Plotinus</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Domains and concepts</w:t>
            </w:r>
            <w:r/>
          </w:p>
        </w:tc>
        <w:tc>
          <w:tcPr>
            <w:tcBorders/>
            <w:tcMar>
              <w:left w:w="70" w:type="dxa"/>
              <w:top w:w="60" w:type="dxa"/>
              <w:right w:w="70" w:type="dxa"/>
              <w:bottom w:w="60" w:type="dxa"/>
            </w:tcMar>
            <w:tcW w:w="7613" w:type="dxa"/>
            <w:vAlign w:val="top"/>
          </w:tcPr>
          <w:p>
            <w:pPr>
              <w:pStyle w:val="1296"/>
              <w:pBdr/>
              <w:spacing/>
              <w:ind/>
              <w:rPr/>
            </w:pPr>
            <w:r>
              <w:rPr>
                <w:b/>
              </w:rPr>
              <w:t xml:space="preserve">Primary domains:</w:t>
            </w:r>
            <w:r>
              <w:t xml:space="preserve"> Cross-domain; especially D1 (Ontology &amp; ultimacy), D5 (Mind &amp; consciousness), D6 (Self, personhood &amp; identity), D10 (Causal order &amp; dependence), D14 (Telos / desired condition).</w:t>
            </w:r>
            <w:r/>
          </w:p>
          <w:p>
            <w:pPr>
              <w:pStyle w:val="1296"/>
              <w:pBdr/>
              <w:spacing/>
              <w:ind/>
              <w:rPr/>
            </w:pPr>
            <w:r>
              <w:t xml:space="preserve">Key concepts: ātman; śūnyatā; svabhāva; tajallī; nous; lǐ/qì; lexical resemblance (LEX); semantic overlap (SEM); functional analogy (</w:t>
            </w:r>
            <w:r>
              <w:t xml:space="preserve">FUN); structural homology (STR); phenomenological resemblance (PHE); epistemic-methodological analogy (EPI); genealogical relation (GEN); ontological compatibility (OCO); scoped ontological equivalence (OEQ); incompatibility (INC); category mismatch (MIS).</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Comparison burden</w:t>
            </w:r>
            <w:r/>
          </w:p>
        </w:tc>
        <w:tc>
          <w:tcPr>
            <w:shd w:val="clear" w:color="auto" w:fill="f7f9fa"/>
            <w:tcBorders/>
            <w:tcMar>
              <w:left w:w="70" w:type="dxa"/>
              <w:top w:w="60" w:type="dxa"/>
              <w:right w:w="70" w:type="dxa"/>
              <w:bottom w:w="60" w:type="dxa"/>
            </w:tcMar>
            <w:tcW w:w="7613" w:type="dxa"/>
            <w:vAlign w:val="top"/>
          </w:tcPr>
          <w:p>
            <w:pPr>
              <w:pStyle w:val="1296"/>
              <w:pBdr/>
              <w:spacing/>
              <w:ind/>
              <w:rPr/>
            </w:pPr>
            <w:r>
              <w:rPr>
                <w:b/>
              </w:rPr>
              <w:t xml:space="preserve">Principal comparisons and relations:</w:t>
            </w:r>
            <w:r>
              <w:t xml:space="preserve"> Same English word/different concept; similar function/incompatible ontology; resemblance without tran</w:t>
            </w:r>
            <w:r>
              <w:t xml:space="preserve">smission. All eleven relation types are introduced as stackable only across explicit Claim pairs, dimensions and scopes; same-key OEQ+INC and OCO+INC are prohibited, and a DISTORTING tertium carries category mismatch (MIS) until a revised event is created.</w:t>
            </w:r>
            <w:r/>
          </w:p>
          <w:p>
            <w:pPr>
              <w:pStyle w:val="1296"/>
              <w:pBdr/>
              <w:spacing/>
              <w:ind/>
              <w:rPr/>
            </w:pPr>
            <w:r>
              <w:t xml:space="preserve">Essential disanalogies: Every SEM/FUN/STR/PHE/OCO/OEQ relation carries canonical disanalogy links; OEQ is rare, scoped and separately reviewed.</w:t>
            </w:r>
            <w:r/>
          </w:p>
          <w:p>
            <w:pPr>
              <w:pStyle w:val="1296"/>
              <w:pBdr/>
              <w:spacing/>
              <w:ind/>
              <w:rPr/>
            </w:pPr>
            <w:r>
              <w:t xml:space="preserve">Genealogy: Demonstrates how contact/evidence changes claims of independence without allowing resemblance to prove transmission.</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Evidence and review</w:t>
            </w:r>
            <w:r/>
          </w:p>
        </w:tc>
        <w:tc>
          <w:tcPr>
            <w:tcBorders/>
            <w:tcMar>
              <w:left w:w="70" w:type="dxa"/>
              <w:top w:w="60" w:type="dxa"/>
              <w:right w:w="70" w:type="dxa"/>
              <w:bottom w:w="60" w:type="dxa"/>
            </w:tcMar>
            <w:tcW w:w="7613" w:type="dxa"/>
            <w:vAlign w:val="top"/>
          </w:tcPr>
          <w:p>
            <w:pPr>
              <w:pStyle w:val="1296"/>
              <w:pBdr/>
              <w:spacing/>
              <w:ind/>
              <w:rPr/>
            </w:pPr>
            <w:r>
              <w:rPr>
                <w:b/>
              </w:rPr>
              <w:t xml:space="preserve">Research and evidence burden:</w:t>
            </w:r>
            <w:r>
              <w:t xml:space="preserve"> Governing comparison rules [Research Specification §6]; current comparative methodology [E1–E3]; knowledge-graph caution [E10].</w:t>
            </w:r>
            <w:r/>
          </w:p>
          <w:p>
            <w:pPr>
              <w:pStyle w:val="1296"/>
              <w:pBdr/>
              <w:spacing/>
              <w:ind/>
              <w:rPr/>
            </w:pPr>
            <w:r>
              <w:t xml:space="preserve">Canonical inputs and generated views: Full comparison-event records and disanalogy metadata.</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Dependencies and local consequence</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No dedicated RG ID. A final reader-facing glossary requires concept-record completion for core source terms.</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Planned outputs</w:t>
            </w:r>
            <w:r/>
          </w:p>
        </w:tc>
        <w:tc>
          <w:tcPr>
            <w:tcBorders/>
            <w:tcMar>
              <w:left w:w="70" w:type="dxa"/>
              <w:top w:w="60" w:type="dxa"/>
              <w:right w:w="70" w:type="dxa"/>
              <w:bottom w:w="60" w:type="dxa"/>
            </w:tcMar>
            <w:tcW w:w="7613" w:type="dxa"/>
            <w:vAlign w:val="top"/>
          </w:tcPr>
          <w:p>
            <w:pPr>
              <w:pStyle w:val="1296"/>
              <w:pBdr/>
              <w:spacing/>
              <w:ind/>
              <w:rPr/>
            </w:pPr>
            <w:r>
              <w:t xml:space="preserve">Figure 2. Typed relation stack and coherence matrix; Table 2. Similarity claims that do and do not entail one another.</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Target narrative words</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12,000</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Chapter-specific completion tests</w:t>
            </w:r>
            <w:r/>
          </w:p>
        </w:tc>
        <w:tc>
          <w:tcPr>
            <w:tcBorders/>
            <w:tcMar>
              <w:left w:w="70" w:type="dxa"/>
              <w:top w:w="60" w:type="dxa"/>
              <w:right w:w="70" w:type="dxa"/>
              <w:bottom w:w="60" w:type="dxa"/>
            </w:tcMar>
            <w:tcW w:w="7613" w:type="dxa"/>
            <w:vAlign w:val="top"/>
          </w:tcPr>
          <w:p>
            <w:pPr>
              <w:pStyle w:val="1296"/>
              <w:pBdr/>
              <w:spacing/>
              <w:ind/>
              <w:rPr/>
            </w:pPr>
            <w:r>
              <w:t xml:space="preserve">The reader devices cover all eleven relation types, exact Claim-pair scope and the coherence safeguards; lexical resemblance entails nothing stronger, every positive relation has linked disanalogy, and OEQ remains separately reviewed.</w:t>
            </w:r>
            <w:r/>
          </w:p>
        </w:tc>
      </w:tr>
    </w:tbl>
    <w:p>
      <w:pPr>
        <w:pStyle w:val="1300"/>
        <w:pBdr/>
        <w:spacing/>
        <w:ind/>
        <w:rPr/>
      </w:pPr>
      <w:r/>
      <w:r/>
    </w:p>
    <w:p>
      <w:pPr>
        <w:pStyle w:val="1138"/>
        <w:keepNext w:val="true"/>
        <w:keepLines w:val="true"/>
        <w:pBdr/>
        <w:spacing/>
        <w:ind/>
        <w:rPr/>
      </w:pPr>
      <w:r>
        <w:t xml:space="preserve">2.1 Translation is an argument</w:t>
      </w:r>
      <w:r/>
    </w:p>
    <w:p>
      <w:pPr>
        <w:pBdr/>
        <w:spacing/>
        <w:ind/>
        <w:rPr/>
      </w:pPr>
      <w:r>
        <w:t xml:space="preserve">Shows why 'self,' 'soul,' 'mind,' 'nature,' 'emptiness,' and 'being' cannot function as transparent bridge terms.</w:t>
      </w:r>
      <w:r/>
    </w:p>
    <w:p>
      <w:pPr>
        <w:pStyle w:val="1138"/>
        <w:keepNext w:val="true"/>
        <w:keepLines w:val="true"/>
        <w:pBdr/>
        <w:spacing/>
        <w:ind/>
        <w:rPr/>
      </w:pPr>
      <w:r>
        <w:t xml:space="preserve">2.2 Eleven relation types—and why none is a shortcut</w:t>
      </w:r>
      <w:r/>
    </w:p>
    <w:p>
      <w:pPr>
        <w:pBdr/>
        <w:spacing/>
        <w:ind/>
        <w:rPr/>
      </w:pPr>
      <w:r>
        <w:t xml:space="preserve">Explains all eleven relation types through concrete cases and shows that relation labels stack only across explicit Claim pairs, dimensions and scopes.</w:t>
      </w:r>
      <w:r/>
    </w:p>
    <w:p>
      <w:pPr>
        <w:pStyle w:val="1138"/>
        <w:keepNext w:val="true"/>
        <w:keepLines w:val="true"/>
        <w:pBdr/>
        <w:spacing/>
        <w:ind/>
        <w:rPr/>
      </w:pPr>
      <w:r>
        <w:t xml:space="preserve">2.2.1 Function without equivalence</w:t>
      </w:r>
      <w:r/>
    </w:p>
    <w:p>
      <w:pPr>
        <w:pBdr/>
        <w:spacing/>
        <w:ind/>
        <w:rPr/>
      </w:pPr>
      <w:r>
        <w:t xml:space="preserve">Liberating knowledge across Advaita, Madhyamaka, and Gregory as different structures with partial functional parallels.</w:t>
      </w:r>
      <w:r/>
    </w:p>
    <w:p>
      <w:pPr>
        <w:pStyle w:val="1138"/>
        <w:keepNext w:val="true"/>
        <w:keepLines w:val="true"/>
        <w:pBdr/>
        <w:spacing/>
        <w:ind/>
        <w:rPr/>
      </w:pPr>
      <w:r>
        <w:t xml:space="preserve">2.2.2 Compatibility without sameness</w:t>
      </w:r>
      <w:r/>
    </w:p>
    <w:p>
      <w:pPr>
        <w:pBdr/>
        <w:spacing/>
        <w:ind/>
        <w:rPr/>
      </w:pPr>
      <w:r>
        <w:t xml:space="preserve">Explains OCO and why co-possibility is weaker than scoped OEQ.</w:t>
      </w:r>
      <w:r/>
    </w:p>
    <w:p>
      <w:pPr>
        <w:pStyle w:val="1138"/>
        <w:keepNext w:val="true"/>
        <w:keepLines w:val="true"/>
        <w:pBdr/>
        <w:spacing/>
        <w:ind/>
        <w:rPr/>
      </w:pPr>
      <w:r>
        <w:t xml:space="preserve">2.2.3 Resemblance without genealogy</w:t>
      </w:r>
      <w:r/>
    </w:p>
    <w:p>
      <w:pPr>
        <w:pBdr/>
        <w:spacing/>
        <w:ind/>
        <w:rPr/>
      </w:pPr>
      <w:r>
        <w:t xml:space="preserve">Leibniz, panpsychism, and other recurrent forms as a test of false transmission claims.</w:t>
      </w:r>
      <w:r/>
    </w:p>
    <w:p>
      <w:pPr>
        <w:pStyle w:val="1138"/>
        <w:keepNext w:val="true"/>
        <w:keepLines w:val="true"/>
        <w:pBdr/>
        <w:spacing/>
        <w:ind/>
        <w:rPr/>
      </w:pPr>
      <w:r>
        <w:t xml:space="preserve">2.3 Disanalogy as positive evidence</w:t>
      </w:r>
      <w:r/>
    </w:p>
    <w:p>
      <w:pPr>
        <w:pBdr/>
        <w:spacing/>
        <w:ind/>
        <w:rPr/>
      </w:pPr>
      <w:r>
        <w:t xml:space="preserve">Treats material disanalogies as part of the comparison rather than relegating them to footnotes.</w:t>
      </w:r>
      <w:r/>
    </w:p>
    <w:p>
      <w:pPr>
        <w:pStyle w:val="1138"/>
        <w:keepNext w:val="true"/>
        <w:keepLines w:val="true"/>
        <w:pBdr/>
        <w:spacing/>
        <w:ind/>
        <w:rPr/>
      </w:pPr>
      <w:r>
        <w:t xml:space="preserve">2.4 What comparison cannot decide</w:t>
      </w:r>
      <w:r/>
    </w:p>
    <w:p>
      <w:pPr>
        <w:pBdr/>
        <w:spacing/>
        <w:ind/>
        <w:rPr/>
      </w:pPr>
      <w:r>
        <w:t xml:space="preserve">Separates comparative recurrence from metaphysical truth and previews the L0–L5 synthesis limits.</w:t>
      </w:r>
      <w:r/>
    </w:p>
    <w:p>
      <w:pPr>
        <w:pStyle w:val="1136"/>
        <w:keepNext w:val="true"/>
        <w:keepLines w:val="true"/>
        <w:pBdr/>
        <w:spacing/>
        <w:ind/>
        <w:rPr/>
      </w:pPr>
      <w:r/>
      <w:bookmarkStart w:id="133" w:name="PUB_PART_3"/>
      <w:r>
        <w:t xml:space="preserve">Publication Part II — Grounds and Worlds</w:t>
      </w:r>
      <w:bookmarkEnd w:id="133"/>
      <w:r/>
      <w:r/>
    </w:p>
    <w:p>
      <w:pPr>
        <w:pStyle w:val="1300"/>
        <w:keepNext w:val="true"/>
        <w:pBdr/>
        <w:spacing/>
        <w:ind/>
        <w:rPr/>
      </w:pPr>
      <w:r>
        <w:t xml:space="preserve">Volume I — Worlds, Grounds, Minds</w:t>
      </w:r>
      <w:r/>
    </w:p>
    <w:p>
      <w:pPr>
        <w:pStyle w:val="1137"/>
        <w:keepNext w:val="true"/>
        <w:keepLines w:val="true"/>
        <w:pBdr/>
        <w:spacing/>
        <w:ind/>
        <w:rPr/>
      </w:pPr>
      <w:r/>
      <w:bookmarkStart w:id="134" w:name="CH_03"/>
      <w:r>
        <w:t xml:space="preserve">Chapter 3 — Can Reality Have No Ground?</w:t>
      </w:r>
      <w:bookmarkEnd w:id="134"/>
      <w:r/>
      <w:r/>
    </w:p>
    <w:p>
      <w:pPr>
        <w:pStyle w:val="1184"/>
        <w:keepNext w:val="true"/>
        <w:keepLines w:val="true"/>
        <w:pBdr/>
        <w:spacing/>
        <w:ind/>
        <w:rPr/>
      </w:pPr>
      <w:r/>
      <w:bookmarkStart w:id="135" w:name="T_CH_03"/>
      <w:r>
        <w:t xml:space="preserve">Governing — Chapter 3 local brief</w:t>
      </w:r>
      <w:bookmarkEnd w:id="135"/>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2393"/>
        <w:gridCol w:w="7613"/>
      </w:tblGrid>
      <w:tr>
        <w:trPr>
          <w:cantSplit/>
          <w:tblHeader/>
        </w:trPr>
        <w:tc>
          <w:tcPr>
            <w:shd w:val="clear" w:color="auto" w:fill="1f5a73"/>
            <w:tcBorders/>
            <w:tcMar>
              <w:left w:w="70" w:type="dxa"/>
              <w:top w:w="60" w:type="dxa"/>
              <w:right w:w="70" w:type="dxa"/>
              <w:bottom w:w="60" w:type="dxa"/>
            </w:tcMar>
            <w:tcW w:w="2393" w:type="dxa"/>
            <w:vAlign w:val="top"/>
          </w:tcPr>
          <w:p>
            <w:pPr>
              <w:pStyle w:val="1298"/>
              <w:pBdr/>
              <w:spacing/>
              <w:ind/>
              <w:rPr/>
            </w:pPr>
            <w:r>
              <w:t xml:space="preserve">Field</w:t>
            </w:r>
            <w:r/>
          </w:p>
        </w:tc>
        <w:tc>
          <w:tcPr>
            <w:shd w:val="clear" w:color="auto" w:fill="1f5a73"/>
            <w:tcBorders/>
            <w:tcMar>
              <w:left w:w="70" w:type="dxa"/>
              <w:top w:w="60" w:type="dxa"/>
              <w:right w:w="70" w:type="dxa"/>
              <w:bottom w:w="60" w:type="dxa"/>
            </w:tcMar>
            <w:tcW w:w="7613" w:type="dxa"/>
            <w:vAlign w:val="top"/>
          </w:tcPr>
          <w:p>
            <w:pPr>
              <w:pStyle w:val="1298"/>
              <w:pBdr/>
              <w:spacing/>
              <w:ind/>
              <w:rPr/>
            </w:pPr>
            <w:r>
              <w:t xml:space="preserve">Chapter brief</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Purpose</w:t>
            </w:r>
            <w:r/>
          </w:p>
        </w:tc>
        <w:tc>
          <w:tcPr>
            <w:tcBorders/>
            <w:tcMar>
              <w:left w:w="70" w:type="dxa"/>
              <w:top w:w="60" w:type="dxa"/>
              <w:right w:w="70" w:type="dxa"/>
              <w:bottom w:w="60" w:type="dxa"/>
            </w:tcMar>
            <w:tcW w:w="7613" w:type="dxa"/>
            <w:vAlign w:val="top"/>
          </w:tcPr>
          <w:p>
            <w:pPr>
              <w:pStyle w:val="1296"/>
              <w:pBdr/>
              <w:spacing/>
              <w:ind/>
              <w:rPr/>
            </w:pPr>
            <w:r>
              <w:t xml:space="preserve">Compare claims of foundational reality with a position that refuses a self-subsistent ground.</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Central question</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Must explanation terminate in something intrinsically real?</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Intellectual payoff</w:t>
            </w:r>
            <w:r/>
          </w:p>
        </w:tc>
        <w:tc>
          <w:tcPr>
            <w:tcBorders/>
            <w:tcMar>
              <w:left w:w="70" w:type="dxa"/>
              <w:top w:w="60" w:type="dxa"/>
              <w:right w:w="70" w:type="dxa"/>
              <w:bottom w:w="60" w:type="dxa"/>
            </w:tcMar>
            <w:tcW w:w="7613" w:type="dxa"/>
            <w:vAlign w:val="top"/>
          </w:tcPr>
          <w:p>
            <w:pPr>
              <w:pStyle w:val="1296"/>
              <w:pBdr/>
              <w:spacing/>
              <w:ind/>
              <w:rPr/>
            </w:pPr>
            <w:r>
              <w:t xml:space="preserve">Establishes early that 'ultimate reality' is not a neutral universal question.</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Comparative scope</w:t>
            </w:r>
            <w:r/>
          </w:p>
        </w:tc>
        <w:tc>
          <w:tcPr>
            <w:shd w:val="clear" w:color="auto" w:fill="f7f9fa"/>
            <w:tcBorders/>
            <w:tcMar>
              <w:left w:w="70" w:type="dxa"/>
              <w:top w:w="60" w:type="dxa"/>
              <w:right w:w="70" w:type="dxa"/>
              <w:bottom w:w="60" w:type="dxa"/>
            </w:tcMar>
            <w:tcW w:w="7613" w:type="dxa"/>
            <w:vAlign w:val="top"/>
          </w:tcPr>
          <w:p>
            <w:pPr>
              <w:pStyle w:val="1296"/>
              <w:pBdr/>
              <w:spacing/>
              <w:ind/>
              <w:rPr/>
            </w:pPr>
            <w:r>
              <w:rPr>
                <w:b/>
              </w:rPr>
              <w:t xml:space="preserve">Core Positions:</w:t>
            </w:r>
            <w:r>
              <w:t xml:space="preserve"> Nāgārjuna; Śaṅkara; Spinoza; Maimonides; Zhuangzi as counterpressure</w:t>
            </w:r>
            <w:r/>
          </w:p>
          <w:p>
            <w:pPr>
              <w:pStyle w:val="1296"/>
              <w:pBdr/>
              <w:spacing/>
              <w:ind/>
              <w:rPr/>
            </w:pPr>
            <w:r>
              <w:t xml:space="preserve">Comparators and counterexamples: None beyond the named core positions in the current chapter contract.</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Domains and concepts</w:t>
            </w:r>
            <w:r/>
          </w:p>
        </w:tc>
        <w:tc>
          <w:tcPr>
            <w:tcBorders/>
            <w:tcMar>
              <w:left w:w="70" w:type="dxa"/>
              <w:top w:w="60" w:type="dxa"/>
              <w:right w:w="70" w:type="dxa"/>
              <w:bottom w:w="60" w:type="dxa"/>
            </w:tcMar>
            <w:tcW w:w="7613" w:type="dxa"/>
            <w:vAlign w:val="top"/>
          </w:tcPr>
          <w:p>
            <w:pPr>
              <w:pStyle w:val="1296"/>
              <w:pBdr/>
              <w:spacing/>
              <w:ind/>
              <w:rPr/>
            </w:pPr>
            <w:r>
              <w:rPr>
                <w:b/>
              </w:rPr>
              <w:t xml:space="preserve">Primary domains:</w:t>
            </w:r>
            <w:r>
              <w:t xml:space="preserve"> D1 (Ontology &amp; ultimacy) D2 (Cosmogenesis &amp; world structure) D7 (Epistemology &amp; authority) D14 (Telos / desired condition).</w:t>
            </w:r>
            <w:r/>
          </w:p>
          <w:p>
            <w:pPr>
              <w:pStyle w:val="1296"/>
              <w:pBdr/>
              <w:spacing/>
              <w:ind/>
              <w:rPr/>
            </w:pPr>
            <w:r>
              <w:t xml:space="preserve">Key concepts: svabhāva, śūnyatā, pratītyasamutpāda; Brahman/ātman; substantia; negative predication.</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Comparison burden</w:t>
            </w:r>
            <w:r/>
          </w:p>
        </w:tc>
        <w:tc>
          <w:tcPr>
            <w:shd w:val="clear" w:color="auto" w:fill="f7f9fa"/>
            <w:tcBorders/>
            <w:tcMar>
              <w:left w:w="70" w:type="dxa"/>
              <w:top w:w="60" w:type="dxa"/>
              <w:right w:w="70" w:type="dxa"/>
              <w:bottom w:w="60" w:type="dxa"/>
            </w:tcMar>
            <w:tcW w:w="7613" w:type="dxa"/>
            <w:vAlign w:val="top"/>
          </w:tcPr>
          <w:p>
            <w:pPr>
              <w:pStyle w:val="1296"/>
              <w:pBdr/>
              <w:spacing/>
              <w:ind/>
              <w:rPr/>
            </w:pPr>
            <w:r>
              <w:rPr>
                <w:b/>
              </w:rPr>
              <w:t xml:space="preserve">Principal comparisons and relations:</w:t>
            </w:r>
            <w:r>
              <w:t xml:space="preserve"> Advaita–Madhyamaka; Madhyamaka–Spinoza; Madhyamaka–negative theology.</w:t>
            </w:r>
            <w:r/>
          </w:p>
          <w:p>
            <w:pPr>
              <w:pStyle w:val="1296"/>
              <w:pBdr/>
              <w:spacing/>
              <w:ind/>
              <w:rPr/>
            </w:pPr>
            <w:r>
              <w:t xml:space="preserve">Relation types: FUN (functional analogy), STR (structural homology), INC (incompatibility), MIS (category mismatch); limited SEM (semantic overlap) where warranted.</w:t>
            </w:r>
            <w:r/>
          </w:p>
          <w:p>
            <w:pPr>
              <w:pStyle w:val="1296"/>
              <w:pBdr/>
              <w:spacing/>
              <w:ind/>
              <w:rPr/>
            </w:pPr>
            <w:r>
              <w:t xml:space="preserve">Essential disanalogies: Emptiness is not a hidden substance; negative theology still affirms a divine referent; Spinoza’s substance is not Brahman.</w:t>
            </w:r>
            <w:r/>
          </w:p>
          <w:p>
            <w:pPr>
              <w:pStyle w:val="1296"/>
              <w:pBdr/>
              <w:spacing/>
              <w:ind/>
              <w:rPr/>
            </w:pPr>
            <w:r>
              <w:t xml:space="preserve">Genealogy: No direct genealogy claimed among principal fault-line comparands; within-school histories handled separately.</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Evidence and review</w:t>
            </w:r>
            <w:r/>
          </w:p>
        </w:tc>
        <w:tc>
          <w:tcPr>
            <w:tcBorders/>
            <w:tcMar>
              <w:left w:w="70" w:type="dxa"/>
              <w:top w:w="60" w:type="dxa"/>
              <w:right w:w="70" w:type="dxa"/>
              <w:bottom w:w="60" w:type="dxa"/>
            </w:tcMar>
            <w:tcW w:w="7613" w:type="dxa"/>
            <w:vAlign w:val="top"/>
          </w:tcPr>
          <w:p>
            <w:pPr>
              <w:pStyle w:val="1296"/>
              <w:pBdr/>
              <w:spacing/>
              <w:ind/>
              <w:rPr/>
            </w:pPr>
            <w:r>
              <w:rPr>
                <w:b/>
              </w:rPr>
              <w:t xml:space="preserve">Research and evidence burden:</w:t>
            </w:r>
            <w:r>
              <w:t xml:space="preserve"> Primary texts + specialist scholarship for each; translation controls for Sanskrit/Judeo-Arabic/Latin.</w:t>
            </w:r>
            <w:r/>
          </w:p>
          <w:p>
            <w:pPr>
              <w:pStyle w:val="1296"/>
              <w:pBdr/>
              <w:spacing/>
              <w:ind/>
              <w:rPr/>
            </w:pPr>
            <w:r>
              <w:t xml:space="preserve">Canonical inputs and generated views: D1/D2 records and exact claim locators.</w:t>
            </w:r>
            <w:r/>
          </w:p>
          <w:p>
            <w:pPr>
              <w:pStyle w:val="1296"/>
              <w:pBdr/>
              <w:spacing/>
              <w:ind/>
              <w:rPr/>
            </w:pPr>
            <w:r>
              <w:t xml:space="preserve">Required review: Relevant Sanskrit/Indian-philosophy specialist review; Arabic/Judeo-Arabic philosophical-theology specialist review where claims are translation/genealogy-sensitive</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Dependencies and local consequence</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RG-07 and RG-08 govern the Advaita/Madhyamaka source bounds and phrasing. Separatel</w:t>
            </w:r>
            <w:r>
              <w:t xml:space="preserve">y, the MCPC and local evidence/review requirement govern Maimonidean creation/ultimacy and Arabic/Judeo-Arabic philosophical-theology review; identify claims that remain deliberately unresolved. Those Maimonidean obligations are not cleared by RG-07/RG-08.</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Planned outputs</w:t>
            </w:r>
            <w:r/>
          </w:p>
        </w:tc>
        <w:tc>
          <w:tcPr>
            <w:tcBorders/>
            <w:tcMar>
              <w:left w:w="70" w:type="dxa"/>
              <w:top w:w="60" w:type="dxa"/>
              <w:right w:w="70" w:type="dxa"/>
              <w:bottom w:w="60" w:type="dxa"/>
            </w:tcMar>
            <w:tcW w:w="7613" w:type="dxa"/>
            <w:vAlign w:val="top"/>
          </w:tcPr>
          <w:p>
            <w:pPr>
              <w:pStyle w:val="1296"/>
              <w:pBdr/>
              <w:spacing/>
              <w:ind/>
              <w:rPr/>
            </w:pPr>
            <w:r>
              <w:t xml:space="preserve">Figure 3. Grounding solution-space; Box 3. Why emptiness is not 'nothingness.'</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Target narrative words</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13,000</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Chapter-specific completion tests</w:t>
            </w:r>
            <w:r/>
          </w:p>
        </w:tc>
        <w:tc>
          <w:tcPr>
            <w:tcBorders/>
            <w:tcMar>
              <w:left w:w="70" w:type="dxa"/>
              <w:top w:w="60" w:type="dxa"/>
              <w:right w:w="70" w:type="dxa"/>
              <w:bottom w:w="60" w:type="dxa"/>
            </w:tcMar>
            <w:tcW w:w="7613" w:type="dxa"/>
            <w:vAlign w:val="top"/>
          </w:tcPr>
          <w:p>
            <w:pPr>
              <w:pStyle w:val="1296"/>
              <w:pBdr/>
              <w:spacing/>
              <w:ind/>
              <w:rPr/>
            </w:pPr>
            <w:r>
              <w:t xml:space="preserve">Ground, groundlessness and </w:t>
            </w:r>
            <w:r>
              <w:t xml:space="preserve">negative predication remain distinct; emptiness is not reified, Spinoza is not equated with Advaita, RG-07/RG-08 control Advaita/Madhyamaka source-bounding and specialist review, and the separate local Maimonidean review controls its retained formulations.</w:t>
            </w:r>
            <w:r/>
          </w:p>
        </w:tc>
      </w:tr>
    </w:tbl>
    <w:p>
      <w:pPr>
        <w:pStyle w:val="1300"/>
        <w:pBdr/>
        <w:spacing/>
        <w:ind/>
        <w:rPr/>
      </w:pPr>
      <w:r/>
      <w:r/>
    </w:p>
    <w:p>
      <w:pPr>
        <w:pStyle w:val="1138"/>
        <w:keepNext w:val="true"/>
        <w:keepLines w:val="true"/>
        <w:pBdr/>
        <w:spacing/>
        <w:ind/>
        <w:rPr/>
      </w:pPr>
      <w:r>
        <w:t xml:space="preserve">3.1 Why 'what is ultimately real?' is already a theory-laden question</w:t>
      </w:r>
      <w:r/>
    </w:p>
    <w:p>
      <w:pPr>
        <w:pBdr/>
        <w:spacing/>
        <w:ind/>
        <w:rPr/>
      </w:pPr>
      <w:r>
        <w:t xml:space="preserve">Frames grounding without assuming substance, deity, or monism.</w:t>
      </w:r>
      <w:r/>
    </w:p>
    <w:p>
      <w:pPr>
        <w:pStyle w:val="1138"/>
        <w:keepNext w:val="true"/>
        <w:keepLines w:val="true"/>
        <w:pBdr/>
        <w:spacing/>
        <w:ind/>
        <w:rPr/>
      </w:pPr>
      <w:r>
        <w:t xml:space="preserve">3.2 Nāgārjuna: dependent arising without intrinsic nature</w:t>
      </w:r>
      <w:r/>
    </w:p>
    <w:p>
      <w:pPr>
        <w:pBdr/>
        <w:spacing/>
        <w:ind/>
        <w:rPr/>
      </w:pPr>
      <w:r>
        <w:t xml:space="preserve">Reconstructs the MMK refusal of svabhāva and the non-substantial status of emptiness.</w:t>
      </w:r>
      <w:r/>
    </w:p>
    <w:p>
      <w:pPr>
        <w:pStyle w:val="1138"/>
        <w:keepNext w:val="true"/>
        <w:keepLines w:val="true"/>
        <w:pBdr/>
        <w:spacing/>
        <w:ind/>
        <w:rPr/>
      </w:pPr>
      <w:r>
        <w:t xml:space="preserve">3.2.1 Emptiness is empty</w:t>
      </w:r>
      <w:r/>
    </w:p>
    <w:p>
      <w:pPr>
        <w:pBdr/>
        <w:spacing/>
        <w:ind/>
        <w:rPr/>
      </w:pPr>
      <w:r>
        <w:t xml:space="preserve">Blocks the recurring error of turning śūnyatā into the final entity.</w:t>
      </w:r>
      <w:r/>
    </w:p>
    <w:p>
      <w:pPr>
        <w:pStyle w:val="1138"/>
        <w:keepNext w:val="true"/>
        <w:keepLines w:val="true"/>
        <w:pBdr/>
        <w:spacing/>
        <w:ind/>
        <w:rPr/>
      </w:pPr>
      <w:r>
        <w:t xml:space="preserve">3.2.2 Conventional reality without metaphysical self-grounding</w:t>
      </w:r>
      <w:r/>
    </w:p>
    <w:p>
      <w:pPr>
        <w:pBdr/>
        <w:spacing/>
        <w:ind/>
        <w:rPr/>
      </w:pPr>
      <w:r>
        <w:t xml:space="preserve">Shows how ordinary reference and causal practice remain usable.</w:t>
      </w:r>
      <w:r/>
    </w:p>
    <w:p>
      <w:pPr>
        <w:pStyle w:val="1138"/>
        <w:keepNext w:val="true"/>
        <w:keepLines w:val="true"/>
        <w:pBdr/>
        <w:spacing/>
        <w:ind/>
        <w:rPr/>
      </w:pPr>
      <w:r>
        <w:t xml:space="preserve">3.3 Śaṅkara: nondual ultimacy and dependent appearance</w:t>
      </w:r>
      <w:r/>
    </w:p>
    <w:p>
      <w:pPr>
        <w:pBdr/>
        <w:spacing/>
        <w:ind/>
        <w:rPr/>
      </w:pPr>
      <w:r>
        <w:t xml:space="preserve">Presents Brahman and the liberating ātman-Brahman identity without translating māyā as simple illusion.</w:t>
      </w:r>
      <w:r/>
    </w:p>
    <w:p>
      <w:pPr>
        <w:pStyle w:val="1138"/>
        <w:keepNext w:val="true"/>
        <w:keepLines w:val="true"/>
        <w:pBdr/>
        <w:spacing/>
        <w:ind/>
        <w:rPr/>
      </w:pPr>
      <w:r>
        <w:t xml:space="preserve">3.4 Spinoza: one self-explanatory substance</w:t>
      </w:r>
      <w:r/>
    </w:p>
    <w:p>
      <w:pPr>
        <w:pBdr/>
        <w:spacing/>
        <w:ind/>
        <w:rPr/>
      </w:pPr>
      <w:r>
        <w:t xml:space="preserve">Introduces Spinoza’s necessitarian monism and explains the semantic and soteriological limits of its structural resemblance to Advaita.</w:t>
      </w:r>
      <w:r/>
    </w:p>
    <w:p>
      <w:pPr>
        <w:pStyle w:val="1138"/>
        <w:keepNext w:val="true"/>
        <w:keepLines w:val="true"/>
        <w:pBdr/>
        <w:spacing/>
        <w:ind/>
        <w:rPr/>
      </w:pPr>
      <w:r>
        <w:t xml:space="preserve">3.5 Maimonides: knowing ultimacy by refusing predicates</w:t>
      </w:r>
      <w:r/>
    </w:p>
    <w:p>
      <w:pPr>
        <w:pBdr/>
        <w:spacing/>
        <w:ind/>
        <w:rPr/>
      </w:pPr>
      <w:r>
        <w:t xml:space="preserve">Uses negative theology to show that epistemic reserve differs from anti-foundationalism.</w:t>
      </w:r>
      <w:r/>
    </w:p>
    <w:p>
      <w:pPr>
        <w:pStyle w:val="1138"/>
        <w:keepNext w:val="true"/>
        <w:keepLines w:val="true"/>
        <w:pBdr/>
        <w:spacing/>
        <w:ind/>
        <w:rPr/>
      </w:pPr>
      <w:r>
        <w:t xml:space="preserve">3.6 The fault line: ground, groundlessness, and category refusal</w:t>
      </w:r>
      <w:r/>
    </w:p>
    <w:p>
      <w:pPr>
        <w:pBdr/>
        <w:spacing/>
        <w:ind/>
        <w:rPr/>
      </w:pPr>
      <w:r>
        <w:t xml:space="preserve">Separates functional anti-reification, structural monism, negative predication, and genuine ontological incompatibility.</w:t>
      </w:r>
      <w:r/>
    </w:p>
    <w:p>
      <w:pPr>
        <w:pStyle w:val="1138"/>
        <w:keepNext w:val="true"/>
        <w:keepLines w:val="true"/>
        <w:pBdr/>
        <w:spacing/>
        <w:ind/>
        <w:rPr/>
      </w:pPr>
      <w:r>
        <w:t xml:space="preserve">3.7 What this comparison establishes—and does not</w:t>
      </w:r>
      <w:r/>
    </w:p>
    <w:p>
      <w:pPr>
        <w:pBdr/>
        <w:spacing/>
        <w:ind/>
        <w:rPr/>
      </w:pPr>
      <w:r>
        <w:t xml:space="preserve">State which distinctions among ground, groundlessness and negative predication the comparisons support, and identify the disanalogies or unresolved interpretations that limit them. Keep conclusions within the warranted L1 or L2 scope.</w:t>
      </w:r>
      <w:r/>
    </w:p>
    <w:p>
      <w:pPr>
        <w:pStyle w:val="1137"/>
        <w:keepNext w:val="true"/>
        <w:keepLines w:val="true"/>
        <w:pBdr/>
        <w:spacing/>
        <w:ind/>
        <w:rPr/>
      </w:pPr>
      <w:r/>
      <w:bookmarkStart w:id="136" w:name="CH_04"/>
      <w:r>
        <w:t xml:space="preserve">Chapter 4 — Must the Ultimate Be One?</w:t>
      </w:r>
      <w:bookmarkEnd w:id="136"/>
      <w:r/>
      <w:r/>
    </w:p>
    <w:p>
      <w:pPr>
        <w:pStyle w:val="1184"/>
        <w:keepNext w:val="true"/>
        <w:keepLines w:val="true"/>
        <w:pBdr/>
        <w:spacing/>
        <w:ind/>
        <w:rPr/>
      </w:pPr>
      <w:r/>
      <w:bookmarkStart w:id="137" w:name="T_CH_04"/>
      <w:r>
        <w:t xml:space="preserve">Governing — Chapter 4 local brief</w:t>
      </w:r>
      <w:bookmarkEnd w:id="137"/>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2393"/>
        <w:gridCol w:w="7613"/>
      </w:tblGrid>
      <w:tr>
        <w:trPr>
          <w:cantSplit/>
          <w:tblHeader/>
        </w:trPr>
        <w:tc>
          <w:tcPr>
            <w:shd w:val="clear" w:color="auto" w:fill="1f5a73"/>
            <w:tcBorders/>
            <w:tcMar>
              <w:left w:w="70" w:type="dxa"/>
              <w:top w:w="60" w:type="dxa"/>
              <w:right w:w="70" w:type="dxa"/>
              <w:bottom w:w="60" w:type="dxa"/>
            </w:tcMar>
            <w:tcW w:w="2393" w:type="dxa"/>
            <w:vAlign w:val="top"/>
          </w:tcPr>
          <w:p>
            <w:pPr>
              <w:pStyle w:val="1298"/>
              <w:pBdr/>
              <w:spacing/>
              <w:ind/>
              <w:rPr/>
            </w:pPr>
            <w:r>
              <w:t xml:space="preserve">Field</w:t>
            </w:r>
            <w:r/>
          </w:p>
        </w:tc>
        <w:tc>
          <w:tcPr>
            <w:shd w:val="clear" w:color="auto" w:fill="1f5a73"/>
            <w:tcBorders/>
            <w:tcMar>
              <w:left w:w="70" w:type="dxa"/>
              <w:top w:w="60" w:type="dxa"/>
              <w:right w:w="70" w:type="dxa"/>
              <w:bottom w:w="60" w:type="dxa"/>
            </w:tcMar>
            <w:tcW w:w="7613" w:type="dxa"/>
            <w:vAlign w:val="top"/>
          </w:tcPr>
          <w:p>
            <w:pPr>
              <w:pStyle w:val="1298"/>
              <w:pBdr/>
              <w:spacing/>
              <w:ind/>
              <w:rPr/>
            </w:pPr>
            <w:r>
              <w:t xml:space="preserve">Chapter brief</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Purpose</w:t>
            </w:r>
            <w:r/>
          </w:p>
        </w:tc>
        <w:tc>
          <w:tcPr>
            <w:tcBorders/>
            <w:tcMar>
              <w:left w:w="70" w:type="dxa"/>
              <w:top w:w="60" w:type="dxa"/>
              <w:right w:w="70" w:type="dxa"/>
              <w:bottom w:w="60" w:type="dxa"/>
            </w:tcMar>
            <w:tcW w:w="7613" w:type="dxa"/>
            <w:vAlign w:val="top"/>
          </w:tcPr>
          <w:p>
            <w:pPr>
              <w:pStyle w:val="1296"/>
              <w:pBdr/>
              <w:spacing/>
              <w:ind/>
              <w:rPr/>
            </w:pPr>
            <w:r>
              <w:t xml:space="preserve">Compare monist, dual-principle, pluralist, and emanative architectures without treating plurality as one axis.</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Central question</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Is reality ultimately one, two, many, or irreducibly differentiated?</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Intellectual payoff</w:t>
            </w:r>
            <w:r/>
          </w:p>
        </w:tc>
        <w:tc>
          <w:tcPr>
            <w:tcBorders/>
            <w:tcMar>
              <w:left w:w="70" w:type="dxa"/>
              <w:top w:w="60" w:type="dxa"/>
              <w:right w:w="70" w:type="dxa"/>
              <w:bottom w:w="60" w:type="dxa"/>
            </w:tcMar>
            <w:tcW w:w="7613" w:type="dxa"/>
            <w:vAlign w:val="top"/>
          </w:tcPr>
          <w:p>
            <w:pPr>
              <w:pStyle w:val="1296"/>
              <w:pBdr/>
              <w:spacing/>
              <w:ind/>
              <w:rPr/>
            </w:pPr>
            <w:r>
              <w:t xml:space="preserve">Breaks the common one/many taxonomy into different ontological jobs.</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Comparative scope</w:t>
            </w:r>
            <w:r/>
          </w:p>
        </w:tc>
        <w:tc>
          <w:tcPr>
            <w:shd w:val="clear" w:color="auto" w:fill="f7f9fa"/>
            <w:tcBorders/>
            <w:tcMar>
              <w:left w:w="70" w:type="dxa"/>
              <w:top w:w="60" w:type="dxa"/>
              <w:right w:w="70" w:type="dxa"/>
              <w:bottom w:w="60" w:type="dxa"/>
            </w:tcMar>
            <w:tcW w:w="7613" w:type="dxa"/>
            <w:vAlign w:val="top"/>
          </w:tcPr>
          <w:p>
            <w:pPr>
              <w:pStyle w:val="1296"/>
              <w:pBdr/>
              <w:spacing/>
              <w:ind/>
              <w:rPr/>
            </w:pPr>
            <w:r>
              <w:rPr>
                <w:b/>
              </w:rPr>
              <w:t xml:space="preserve">Core Positions:</w:t>
            </w:r>
            <w:r>
              <w:t xml:space="preserve"> Spinoza; Sāṃkhya; Jaina synthesis; Ibn ʿArabī; micropsychism</w:t>
            </w:r>
            <w:r/>
          </w:p>
          <w:p>
            <w:pPr>
              <w:pStyle w:val="1296"/>
              <w:pBdr/>
              <w:spacing/>
              <w:ind/>
              <w:rPr/>
            </w:pPr>
            <w:r>
              <w:t xml:space="preserve">Comparators and counterexamples: Plotinus</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Domains and concepts</w:t>
            </w:r>
            <w:r/>
          </w:p>
        </w:tc>
        <w:tc>
          <w:tcPr>
            <w:tcBorders/>
            <w:tcMar>
              <w:left w:w="70" w:type="dxa"/>
              <w:top w:w="60" w:type="dxa"/>
              <w:right w:w="70" w:type="dxa"/>
              <w:bottom w:w="60" w:type="dxa"/>
            </w:tcMar>
            <w:tcW w:w="7613" w:type="dxa"/>
            <w:vAlign w:val="top"/>
          </w:tcPr>
          <w:p>
            <w:pPr>
              <w:pStyle w:val="1296"/>
              <w:pBdr/>
              <w:spacing/>
              <w:ind/>
              <w:rPr/>
            </w:pPr>
            <w:r>
              <w:rPr>
                <w:b/>
              </w:rPr>
              <w:t xml:space="preserve">Primary domains:</w:t>
            </w:r>
            <w:r>
              <w:t xml:space="preserve"> D1 (Ontology &amp; ultimacy) D2 (Cosmogenesis &amp; world structure) D5 (Mind &amp; consciousness) D10 (Causal order &amp; dependence).</w:t>
            </w:r>
            <w:r/>
          </w:p>
          <w:p>
            <w:pPr>
              <w:pStyle w:val="1296"/>
              <w:pBdr/>
              <w:spacing/>
              <w:ind/>
              <w:rPr/>
            </w:pPr>
            <w:r>
              <w:t xml:space="preserve">Key concepts: prakṛti/puruṣa; jīva/ajīva; One/Nous; tajallī; substance/mode.</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Comparison burden</w:t>
            </w:r>
            <w:r/>
          </w:p>
        </w:tc>
        <w:tc>
          <w:tcPr>
            <w:shd w:val="clear" w:color="auto" w:fill="f7f9fa"/>
            <w:tcBorders/>
            <w:tcMar>
              <w:left w:w="70" w:type="dxa"/>
              <w:top w:w="60" w:type="dxa"/>
              <w:right w:w="70" w:type="dxa"/>
              <w:bottom w:w="60" w:type="dxa"/>
            </w:tcMar>
            <w:tcW w:w="7613" w:type="dxa"/>
            <w:vAlign w:val="top"/>
          </w:tcPr>
          <w:p>
            <w:pPr>
              <w:pStyle w:val="1296"/>
              <w:pBdr/>
              <w:spacing/>
              <w:ind/>
              <w:rPr/>
            </w:pPr>
            <w:r>
              <w:rPr>
                <w:b/>
              </w:rPr>
              <w:t xml:space="preserve">Principal comparisons and relations:</w:t>
            </w:r>
            <w:r>
              <w:t xml:space="preserve"> Monism vs dual-principle vs plural selves; emanation vs manifestation; microphenomenal plurality.</w:t>
            </w:r>
            <w:r/>
          </w:p>
          <w:p>
            <w:pPr>
              <w:pStyle w:val="1296"/>
              <w:pBdr/>
              <w:spacing/>
              <w:ind/>
              <w:rPr/>
            </w:pPr>
            <w:r>
              <w:t xml:space="preserve">Relation types: STR (structural homology), OCO (ontological compatibility), INC (incompatibility), SEM (semantic overlap); OEQ (scoped ontological equivalence) generally rejected.</w:t>
            </w:r>
            <w:r/>
          </w:p>
          <w:p>
            <w:pPr>
              <w:pStyle w:val="1296"/>
              <w:pBdr/>
              <w:spacing/>
              <w:ind/>
              <w:rPr/>
            </w:pPr>
            <w:r>
              <w:t xml:space="preserve">Essential disanalogies: Numerical unity, explanatory dependence, divine unity, and shared phenomenal fundamentality are not interchangeable.</w:t>
            </w:r>
            <w:r/>
          </w:p>
          <w:p>
            <w:pPr>
              <w:pStyle w:val="1296"/>
              <w:pBdr/>
              <w:spacing/>
              <w:ind/>
              <w:rPr/>
            </w:pPr>
            <w:r>
              <w:t xml:space="preserve">Genealogy: Plotinian influence questions require specific historical evidence; Ibn ʿArabī comparisons avoid automatic Neoplatonic derivation.</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Evidence and review</w:t>
            </w:r>
            <w:r/>
          </w:p>
        </w:tc>
        <w:tc>
          <w:tcPr>
            <w:tcBorders/>
            <w:tcMar>
              <w:left w:w="70" w:type="dxa"/>
              <w:top w:w="60" w:type="dxa"/>
              <w:right w:w="70" w:type="dxa"/>
              <w:bottom w:w="60" w:type="dxa"/>
            </w:tcMar>
            <w:tcW w:w="7613" w:type="dxa"/>
            <w:vAlign w:val="top"/>
          </w:tcPr>
          <w:p>
            <w:pPr>
              <w:pStyle w:val="1296"/>
              <w:pBdr/>
              <w:spacing/>
              <w:ind/>
              <w:rPr/>
            </w:pPr>
            <w:r>
              <w:rPr>
                <w:b/>
              </w:rPr>
              <w:t xml:space="preserve">Research and evidence burden:</w:t>
            </w:r>
            <w:r>
              <w:t xml:space="preserve"> Strong primary text packages; Jaina/Sāṃkhya Sanskrit specialist review.</w:t>
            </w:r>
            <w:r/>
          </w:p>
          <w:p>
            <w:pPr>
              <w:pStyle w:val="1296"/>
              <w:pBdr/>
              <w:spacing/>
              <w:ind/>
              <w:rPr/>
            </w:pPr>
            <w:r>
              <w:t xml:space="preserve">Canonical inputs and generated views: Relation graph with genealogical evidence status.</w:t>
            </w:r>
            <w:r/>
          </w:p>
          <w:p>
            <w:pPr>
              <w:pStyle w:val="1296"/>
              <w:pBdr/>
              <w:spacing/>
              <w:ind/>
              <w:rPr/>
            </w:pPr>
            <w:r>
              <w:t xml:space="preserve">Required review: Relevant Sanskrit/Indian-philosophy specialist review</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Dependencies and local consequence</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RG-09, RG-10, RG-11. More precise genealogy dossier on late antique/Islamic metaphysical vocabulary; no architecture change expected.</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Planned outputs</w:t>
            </w:r>
            <w:r/>
          </w:p>
        </w:tc>
        <w:tc>
          <w:tcPr>
            <w:tcBorders/>
            <w:tcMar>
              <w:left w:w="70" w:type="dxa"/>
              <w:top w:w="60" w:type="dxa"/>
              <w:right w:w="70" w:type="dxa"/>
              <w:bottom w:w="60" w:type="dxa"/>
            </w:tcMar>
            <w:tcW w:w="7613" w:type="dxa"/>
            <w:vAlign w:val="top"/>
          </w:tcPr>
          <w:p>
            <w:pPr>
              <w:pStyle w:val="1296"/>
              <w:pBdr/>
              <w:spacing/>
              <w:ind/>
              <w:rPr/>
            </w:pPr>
            <w:r>
              <w:t xml:space="preserve">Figure 4. One/two/many as distinct dependency graphs.</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Target narrative words</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13,000</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Chapter-specific completion tests</w:t>
            </w:r>
            <w:r/>
          </w:p>
        </w:tc>
        <w:tc>
          <w:tcPr>
            <w:tcBorders/>
            <w:tcMar>
              <w:left w:w="70" w:type="dxa"/>
              <w:top w:w="60" w:type="dxa"/>
              <w:right w:w="70" w:type="dxa"/>
              <w:bottom w:w="60" w:type="dxa"/>
            </w:tcMar>
            <w:tcW w:w="7613" w:type="dxa"/>
            <w:vAlign w:val="top"/>
          </w:tcPr>
          <w:p>
            <w:pPr>
              <w:pStyle w:val="1296"/>
              <w:pBdr/>
              <w:spacing/>
              <w:ind/>
              <w:rPr/>
            </w:pPr>
            <w:r>
              <w:t xml:space="preserve">Numerical unity, dependence, divine unity and phenomenal plurality remain separate; the Plotinus/Avicenna/Ibn ʿArabī genealogy and translation dossiers are explicit, and no unreviewed OEQ is used.</w:t>
            </w:r>
            <w:r/>
          </w:p>
        </w:tc>
      </w:tr>
    </w:tbl>
    <w:p>
      <w:pPr>
        <w:pStyle w:val="1300"/>
        <w:pBdr/>
        <w:spacing/>
        <w:ind/>
        <w:rPr/>
      </w:pPr>
      <w:r/>
      <w:r/>
    </w:p>
    <w:p>
      <w:pPr>
        <w:pStyle w:val="1138"/>
        <w:keepNext w:val="true"/>
        <w:keepLines w:val="true"/>
        <w:pBdr/>
        <w:spacing/>
        <w:ind/>
        <w:rPr/>
      </w:pPr>
      <w:r>
        <w:t xml:space="preserve">4.1 Why counting ultimates is not enough</w:t>
      </w:r>
      <w:r/>
    </w:p>
    <w:p>
      <w:pPr>
        <w:pBdr/>
        <w:spacing/>
        <w:ind/>
        <w:rPr/>
      </w:pPr>
      <w:r>
        <w:t xml:space="preserve">Distinguishes numerical unity from dependence, identity, participation, and constitutive composition.</w:t>
      </w:r>
      <w:r/>
    </w:p>
    <w:p>
      <w:pPr>
        <w:pStyle w:val="1138"/>
        <w:keepNext w:val="true"/>
        <w:keepLines w:val="true"/>
        <w:pBdr/>
        <w:spacing/>
        <w:ind/>
        <w:rPr/>
      </w:pPr>
      <w:r>
        <w:t xml:space="preserve">4.2 Classical Sāṃkhya: one prakṛti, many puruṣas</w:t>
      </w:r>
      <w:r/>
    </w:p>
    <w:p>
      <w:pPr>
        <w:pBdr/>
        <w:spacing/>
        <w:ind/>
        <w:rPr/>
      </w:pPr>
      <w:r>
        <w:t xml:space="preserve">Shows a dual-principle system that is neither Cartesian dualism nor simple pluralism.</w:t>
      </w:r>
      <w:r/>
    </w:p>
    <w:p>
      <w:pPr>
        <w:pStyle w:val="1138"/>
        <w:keepNext w:val="true"/>
        <w:keepLines w:val="true"/>
        <w:pBdr/>
        <w:spacing/>
        <w:ind/>
        <w:rPr/>
      </w:pPr>
      <w:r>
        <w:t xml:space="preserve">4.3 Jaina plurality: many selves in a structured cosmos</w:t>
      </w:r>
      <w:r/>
    </w:p>
    <w:p>
      <w:pPr>
        <w:pBdr/>
        <w:spacing/>
        <w:ind/>
        <w:rPr/>
      </w:pPr>
      <w:r>
        <w:t xml:space="preserve">Adds enduring jīvas, karmic materiality, and epistemic many-sidedness.</w:t>
      </w:r>
      <w:r/>
    </w:p>
    <w:p>
      <w:pPr>
        <w:pStyle w:val="1138"/>
        <w:keepNext w:val="true"/>
        <w:keepLines w:val="true"/>
        <w:pBdr/>
        <w:spacing/>
        <w:ind/>
        <w:rPr/>
      </w:pPr>
      <w:r>
        <w:t xml:space="preserve">4.4 Plotinus and procession from the One</w:t>
      </w:r>
      <w:r/>
    </w:p>
    <w:p>
      <w:pPr>
        <w:pBdr/>
        <w:spacing/>
        <w:ind/>
        <w:rPr/>
      </w:pPr>
      <w:r>
        <w:t xml:space="preserve">Introduces hierarchical derivation without collapsing the One into a creator deity.</w:t>
      </w:r>
      <w:r/>
    </w:p>
    <w:p>
      <w:pPr>
        <w:pStyle w:val="1138"/>
        <w:keepNext w:val="true"/>
        <w:keepLines w:val="true"/>
        <w:pBdr/>
        <w:spacing/>
        <w:ind/>
        <w:rPr/>
      </w:pPr>
      <w:r>
        <w:t xml:space="preserve">4.5 Ibn ʿArabī and differentiated self-disclosure</w:t>
      </w:r>
      <w:r/>
    </w:p>
    <w:p>
      <w:pPr>
        <w:pBdr/>
        <w:spacing/>
        <w:ind/>
        <w:rPr/>
      </w:pPr>
      <w:r>
        <w:t xml:space="preserve">Treats divine unity and tajallī through specialist interpretation rather than a generic 'monism' label.</w:t>
      </w:r>
      <w:r/>
    </w:p>
    <w:p>
      <w:pPr>
        <w:pStyle w:val="1138"/>
        <w:keepNext w:val="true"/>
        <w:keepLines w:val="true"/>
        <w:pBdr/>
        <w:spacing/>
        <w:ind/>
        <w:rPr/>
      </w:pPr>
      <w:r>
        <w:t xml:space="preserve">4.6 Spinoza and immanent necessitarian unity</w:t>
      </w:r>
      <w:r/>
    </w:p>
    <w:p>
      <w:pPr>
        <w:pBdr/>
        <w:spacing/>
        <w:ind/>
        <w:rPr/>
      </w:pPr>
      <w:r>
        <w:t xml:space="preserve">Tests structural resemblance against very different concepts of agency and salvation.</w:t>
      </w:r>
      <w:r/>
    </w:p>
    <w:p>
      <w:pPr>
        <w:pStyle w:val="1138"/>
        <w:keepNext w:val="true"/>
        <w:keepLines w:val="true"/>
        <w:pBdr/>
        <w:spacing/>
        <w:ind/>
        <w:rPr/>
      </w:pPr>
      <w:r>
        <w:t xml:space="preserve">4.7 Micropsychism: plurality at the phenomenal base</w:t>
      </w:r>
      <w:r/>
    </w:p>
    <w:p>
      <w:pPr>
        <w:pBdr/>
        <w:spacing/>
        <w:ind/>
        <w:rPr/>
      </w:pPr>
      <w:r>
        <w:t xml:space="preserve">Shows why 'consciousness is fundamental' does not settle whether the basic ontology is one or many.</w:t>
      </w:r>
      <w:r/>
    </w:p>
    <w:p>
      <w:pPr>
        <w:pStyle w:val="1138"/>
        <w:keepNext w:val="true"/>
        <w:keepLines w:val="true"/>
        <w:pBdr/>
        <w:spacing/>
        <w:ind/>
        <w:rPr/>
      </w:pPr>
      <w:r>
        <w:t xml:space="preserve">4.8 A taxonomy of unity claims</w:t>
      </w:r>
      <w:r/>
    </w:p>
    <w:p>
      <w:pPr>
        <w:pBdr/>
        <w:spacing/>
        <w:ind/>
        <w:rPr/>
      </w:pPr>
      <w:r>
        <w:t xml:space="preserve">Compare numerical unity, explanatory dependenc</w:t>
      </w:r>
      <w:r>
        <w:t xml:space="preserve">e, divine unity and phenomenal plurality as different kinds of claim. Present an L2 morphology only where the synthesis requirements are met; otherwise retain the supported distinctions and pairwise findings. Keep genealogy and equivalence claims separate.</w:t>
      </w:r>
      <w:r/>
    </w:p>
    <w:p>
      <w:pPr>
        <w:pStyle w:val="1137"/>
        <w:keepNext w:val="true"/>
        <w:keepLines w:val="true"/>
        <w:pBdr/>
        <w:spacing/>
        <w:ind/>
        <w:rPr/>
      </w:pPr>
      <w:r/>
      <w:bookmarkStart w:id="138" w:name="CH_05"/>
      <w:r>
        <w:t xml:space="preserve">Chapter 5 — How Does a World Arise?</w:t>
      </w:r>
      <w:bookmarkEnd w:id="138"/>
      <w:r/>
      <w:r/>
    </w:p>
    <w:p>
      <w:pPr>
        <w:pStyle w:val="1184"/>
        <w:keepNext w:val="true"/>
        <w:keepLines w:val="true"/>
        <w:pBdr/>
        <w:spacing/>
        <w:ind/>
        <w:rPr/>
      </w:pPr>
      <w:r/>
      <w:bookmarkStart w:id="139" w:name="T_CH_05"/>
      <w:r>
        <w:t xml:space="preserve">Governing — Chapter 5 local brief</w:t>
      </w:r>
      <w:bookmarkEnd w:id="139"/>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2393"/>
        <w:gridCol w:w="7613"/>
      </w:tblGrid>
      <w:tr>
        <w:trPr>
          <w:cantSplit/>
          <w:tblHeader/>
        </w:trPr>
        <w:tc>
          <w:tcPr>
            <w:shd w:val="clear" w:color="auto" w:fill="1f5a73"/>
            <w:tcBorders/>
            <w:tcMar>
              <w:left w:w="70" w:type="dxa"/>
              <w:top w:w="60" w:type="dxa"/>
              <w:right w:w="70" w:type="dxa"/>
              <w:bottom w:w="60" w:type="dxa"/>
            </w:tcMar>
            <w:tcW w:w="2393" w:type="dxa"/>
            <w:vAlign w:val="top"/>
          </w:tcPr>
          <w:p>
            <w:pPr>
              <w:pStyle w:val="1298"/>
              <w:pBdr/>
              <w:spacing/>
              <w:ind/>
              <w:rPr/>
            </w:pPr>
            <w:r>
              <w:t xml:space="preserve">Field</w:t>
            </w:r>
            <w:r/>
          </w:p>
        </w:tc>
        <w:tc>
          <w:tcPr>
            <w:shd w:val="clear" w:color="auto" w:fill="1f5a73"/>
            <w:tcBorders/>
            <w:tcMar>
              <w:left w:w="70" w:type="dxa"/>
              <w:top w:w="60" w:type="dxa"/>
              <w:right w:w="70" w:type="dxa"/>
              <w:bottom w:w="60" w:type="dxa"/>
            </w:tcMar>
            <w:tcW w:w="7613" w:type="dxa"/>
            <w:vAlign w:val="top"/>
          </w:tcPr>
          <w:p>
            <w:pPr>
              <w:pStyle w:val="1298"/>
              <w:pBdr/>
              <w:spacing/>
              <w:ind/>
              <w:rPr/>
            </w:pPr>
            <w:r>
              <w:t xml:space="preserve">Chapter brief</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Purpose</w:t>
            </w:r>
            <w:r/>
          </w:p>
        </w:tc>
        <w:tc>
          <w:tcPr>
            <w:tcBorders/>
            <w:tcMar>
              <w:left w:w="70" w:type="dxa"/>
              <w:top w:w="60" w:type="dxa"/>
              <w:right w:w="70" w:type="dxa"/>
              <w:bottom w:w="60" w:type="dxa"/>
            </w:tcMar>
            <w:tcW w:w="7613" w:type="dxa"/>
            <w:vAlign w:val="top"/>
          </w:tcPr>
          <w:p>
            <w:pPr>
              <w:pStyle w:val="1296"/>
              <w:pBdr/>
              <w:spacing/>
              <w:ind/>
              <w:rPr/>
            </w:pPr>
            <w:r>
              <w:t xml:space="preserve">Compare creation, emanation, manifestation, dependent arising, patterned generation, and non-teleological naturalism.</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Central question</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What does it mean to explain why there is this world and why it has this structure?</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Intellectual payoff</w:t>
            </w:r>
            <w:r/>
          </w:p>
        </w:tc>
        <w:tc>
          <w:tcPr>
            <w:tcBorders/>
            <w:tcMar>
              <w:left w:w="70" w:type="dxa"/>
              <w:top w:w="60" w:type="dxa"/>
              <w:right w:w="70" w:type="dxa"/>
              <w:bottom w:w="60" w:type="dxa"/>
            </w:tcMar>
            <w:tcW w:w="7613" w:type="dxa"/>
            <w:vAlign w:val="top"/>
          </w:tcPr>
          <w:p>
            <w:pPr>
              <w:pStyle w:val="1296"/>
              <w:pBdr/>
              <w:spacing/>
              <w:ind/>
              <w:rPr/>
            </w:pPr>
            <w:r>
              <w:t xml:space="preserve">Demonstrates that cosmogenesis can be central, reframed, cyclical, derived, or not structurally salient.</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Comparative scope</w:t>
            </w:r>
            <w:r/>
          </w:p>
        </w:tc>
        <w:tc>
          <w:tcPr>
            <w:shd w:val="clear" w:color="auto" w:fill="f7f9fa"/>
            <w:tcBorders/>
            <w:tcMar>
              <w:left w:w="70" w:type="dxa"/>
              <w:top w:w="60" w:type="dxa"/>
              <w:right w:w="70" w:type="dxa"/>
              <w:bottom w:w="60" w:type="dxa"/>
            </w:tcMar>
            <w:tcW w:w="7613" w:type="dxa"/>
            <w:vAlign w:val="top"/>
          </w:tcPr>
          <w:p>
            <w:pPr>
              <w:pStyle w:val="1296"/>
              <w:pBdr/>
              <w:spacing/>
              <w:ind/>
              <w:rPr/>
            </w:pPr>
            <w:r>
              <w:rPr>
                <w:b/>
              </w:rPr>
              <w:t xml:space="preserve">Core Positions:</w:t>
            </w:r>
            <w:r>
              <w:t xml:space="preserve"> Gregory; Apocryphon; Nāgārjuna; Avicenna; Zhu Xi</w:t>
            </w:r>
            <w:r/>
          </w:p>
          <w:p>
            <w:pPr>
              <w:pStyle w:val="1296"/>
              <w:pBdr/>
              <w:spacing/>
              <w:ind/>
              <w:rPr/>
            </w:pPr>
            <w:r>
              <w:t xml:space="preserve">Comparators and counterexamples: Plotinus; Epicurean atomism</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Domains and concepts</w:t>
            </w:r>
            <w:r/>
          </w:p>
        </w:tc>
        <w:tc>
          <w:tcPr>
            <w:tcBorders/>
            <w:tcMar>
              <w:left w:w="70" w:type="dxa"/>
              <w:top w:w="60" w:type="dxa"/>
              <w:right w:w="70" w:type="dxa"/>
              <w:bottom w:w="60" w:type="dxa"/>
            </w:tcMar>
            <w:tcW w:w="7613" w:type="dxa"/>
            <w:vAlign w:val="top"/>
          </w:tcPr>
          <w:p>
            <w:pPr>
              <w:pStyle w:val="1296"/>
              <w:pBdr/>
              <w:spacing/>
              <w:ind/>
              <w:rPr/>
            </w:pPr>
            <w:r>
              <w:rPr>
                <w:b/>
              </w:rPr>
              <w:t xml:space="preserve">Primary domains:</w:t>
            </w:r>
            <w:r>
              <w:t xml:space="preserve"> D2 (Cosmogenesis &amp; world structure) D10 (Causal order &amp; dependence); linked D1 (Ontology &amp; ultimacy) D15 (World relation &amp; normative orientation).</w:t>
            </w:r>
            <w:r/>
          </w:p>
          <w:p>
            <w:pPr>
              <w:pStyle w:val="1296"/>
              <w:pBdr/>
              <w:spacing/>
              <w:ind/>
              <w:rPr/>
            </w:pPr>
            <w:r>
              <w:t xml:space="preserve">Key concepts: creation; emanation; dependent arising; lǐ/qì; atom/void; procession.</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Comparison burden</w:t>
            </w:r>
            <w:r/>
          </w:p>
        </w:tc>
        <w:tc>
          <w:tcPr>
            <w:shd w:val="clear" w:color="auto" w:fill="f7f9fa"/>
            <w:tcBorders/>
            <w:tcMar>
              <w:left w:w="70" w:type="dxa"/>
              <w:top w:w="60" w:type="dxa"/>
              <w:right w:w="70" w:type="dxa"/>
              <w:bottom w:w="60" w:type="dxa"/>
            </w:tcMar>
            <w:tcW w:w="7613" w:type="dxa"/>
            <w:vAlign w:val="top"/>
          </w:tcPr>
          <w:p>
            <w:pPr>
              <w:pStyle w:val="1296"/>
              <w:pBdr/>
              <w:spacing/>
              <w:ind/>
              <w:rPr/>
            </w:pPr>
            <w:r>
              <w:rPr>
                <w:b/>
              </w:rPr>
              <w:t xml:space="preserve">Principal comparisons and relations:</w:t>
            </w:r>
            <w:r>
              <w:t xml:space="preserve"> Creator/creation; lower-cosmos production; emanation; dependence without first ground; naturalistic aggregation.</w:t>
            </w:r>
            <w:r/>
          </w:p>
          <w:p>
            <w:pPr>
              <w:pStyle w:val="1296"/>
              <w:pBdr/>
              <w:spacing/>
              <w:ind/>
              <w:rPr/>
            </w:pPr>
            <w:r>
              <w:t xml:space="preserve">Relation types: STR (structural homology), FUN (functional analogy), INC (incompatibility), GEN (genealogical relation).</w:t>
            </w:r>
            <w:r/>
          </w:p>
          <w:p>
            <w:pPr>
              <w:pStyle w:val="1296"/>
              <w:pBdr/>
              <w:spacing/>
              <w:ind/>
              <w:rPr/>
            </w:pPr>
            <w:r>
              <w:t xml:space="preserve">Essential disanalogies: Creation is not emanation; dependent arising is not creation; qì transformation is not atomism.</w:t>
            </w:r>
            <w:r/>
          </w:p>
          <w:p>
            <w:pPr>
              <w:pStyle w:val="1296"/>
              <w:pBdr/>
              <w:spacing/>
              <w:ind/>
              <w:rPr/>
            </w:pPr>
            <w:r>
              <w:t xml:space="preserve">Genealogy: High importance for Greek/late antique/Islamic lines; no genealogy inferred for Chinese or Buddhist parallels.</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Evidence and review</w:t>
            </w:r>
            <w:r/>
          </w:p>
        </w:tc>
        <w:tc>
          <w:tcPr>
            <w:tcBorders/>
            <w:tcMar>
              <w:left w:w="70" w:type="dxa"/>
              <w:top w:w="60" w:type="dxa"/>
              <w:right w:w="70" w:type="dxa"/>
              <w:bottom w:w="60" w:type="dxa"/>
            </w:tcMar>
            <w:tcW w:w="7613" w:type="dxa"/>
            <w:vAlign w:val="top"/>
          </w:tcPr>
          <w:p>
            <w:pPr>
              <w:pStyle w:val="1296"/>
              <w:pBdr/>
              <w:spacing/>
              <w:ind/>
              <w:rPr/>
            </w:pPr>
            <w:r>
              <w:rPr>
                <w:b/>
              </w:rPr>
              <w:t xml:space="preserve">Research and evidence burden:</w:t>
            </w:r>
            <w:r>
              <w:t xml:space="preserve"> Historical as well as philosophical evidence; source traditions must be temporally bounded.</w:t>
            </w:r>
            <w:r/>
          </w:p>
          <w:p>
            <w:pPr>
              <w:pStyle w:val="1296"/>
              <w:pBdr/>
              <w:spacing/>
              <w:ind/>
              <w:rPr/>
            </w:pPr>
            <w:r>
              <w:t xml:space="preserve">Canonical inputs and generated views: D2 claim map with time-bounded genealogy links.</w:t>
            </w:r>
            <w:r/>
          </w:p>
          <w:p>
            <w:pPr>
              <w:pStyle w:val="1296"/>
              <w:pBdr/>
              <w:spacing/>
              <w:ind/>
              <w:rPr/>
            </w:pPr>
            <w:r>
              <w:t xml:space="preserve">Required review: Arabic/Judeo-Arabic philosophical-theology specialist review where claims are translation/genealogy-sensitive</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Dependencies and local consequence</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RG-09. Avicenna/Plotinus historical transmission summary needs specialist verification.</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Planned outputs</w:t>
            </w:r>
            <w:r/>
          </w:p>
        </w:tc>
        <w:tc>
          <w:tcPr>
            <w:tcBorders/>
            <w:tcMar>
              <w:left w:w="70" w:type="dxa"/>
              <w:top w:w="60" w:type="dxa"/>
              <w:right w:w="70" w:type="dxa"/>
              <w:bottom w:w="60" w:type="dxa"/>
            </w:tcMar>
            <w:tcW w:w="7613" w:type="dxa"/>
            <w:vAlign w:val="top"/>
          </w:tcPr>
          <w:p>
            <w:pPr>
              <w:pStyle w:val="1296"/>
              <w:pBdr/>
              <w:spacing/>
              <w:ind/>
              <w:rPr/>
            </w:pPr>
            <w:r>
              <w:t xml:space="preserve">Figure 5. Six cosmogenetic/dependence architectures.</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Target narrative words</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13,000</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Chapter-specific completion tests</w:t>
            </w:r>
            <w:r/>
          </w:p>
        </w:tc>
        <w:tc>
          <w:tcPr>
            <w:tcBorders/>
            <w:tcMar>
              <w:left w:w="70" w:type="dxa"/>
              <w:top w:w="60" w:type="dxa"/>
              <w:right w:w="70" w:type="dxa"/>
              <w:bottom w:w="60" w:type="dxa"/>
            </w:tcMar>
            <w:tcW w:w="7613" w:type="dxa"/>
            <w:vAlign w:val="top"/>
          </w:tcPr>
          <w:p>
            <w:pPr>
              <w:pStyle w:val="1296"/>
              <w:pBdr/>
              <w:spacing/>
              <w:ind/>
              <w:rPr/>
            </w:pPr>
            <w:r>
              <w:t xml:space="preserve">Creation, emanation, dependent arising, patterned generation and atomistic aggregation remain disanalogous; every historical transmission claim is time-bounded and RG-09 controls the Plotinus/Avicenna dossier.</w:t>
            </w:r>
            <w:r/>
          </w:p>
        </w:tc>
      </w:tr>
    </w:tbl>
    <w:p>
      <w:pPr>
        <w:pStyle w:val="1300"/>
        <w:pBdr/>
        <w:spacing/>
        <w:ind/>
        <w:rPr/>
      </w:pPr>
      <w:r/>
      <w:r/>
    </w:p>
    <w:p>
      <w:pPr>
        <w:pStyle w:val="1138"/>
        <w:keepNext w:val="true"/>
        <w:keepLines w:val="true"/>
        <w:pBdr/>
        <w:spacing/>
        <w:ind/>
        <w:rPr/>
      </w:pPr>
      <w:r>
        <w:t xml:space="preserve">5.1 Six different questions hidden inside 'origin'</w:t>
      </w:r>
      <w:r/>
    </w:p>
    <w:p>
      <w:pPr>
        <w:pBdr/>
        <w:spacing/>
        <w:ind/>
        <w:rPr/>
      </w:pPr>
      <w:r>
        <w:t xml:space="preserve">Separates temporal beginning, ontological dependence, efficient cause, manifestation, cyclical generation, and non-origin.</w:t>
      </w:r>
      <w:r/>
    </w:p>
    <w:p>
      <w:pPr>
        <w:pStyle w:val="1138"/>
        <w:keepNext w:val="true"/>
        <w:keepLines w:val="true"/>
        <w:pBdr/>
        <w:spacing/>
        <w:ind/>
        <w:rPr/>
      </w:pPr>
      <w:r>
        <w:t xml:space="preserve">5.2 Gregory: created order without material evil</w:t>
      </w:r>
      <w:r/>
    </w:p>
    <w:p>
      <w:pPr>
        <w:pBdr/>
        <w:spacing/>
        <w:ind/>
        <w:rPr/>
      </w:pPr>
      <w:r>
        <w:t xml:space="preserve">Defines a created-good world as foil for lower-cosmos accounts.</w:t>
      </w:r>
      <w:r/>
    </w:p>
    <w:p>
      <w:pPr>
        <w:pStyle w:val="1138"/>
        <w:keepNext w:val="true"/>
        <w:keepLines w:val="true"/>
        <w:pBdr/>
        <w:spacing/>
        <w:ind/>
        <w:rPr/>
      </w:pPr>
      <w:r>
        <w:t xml:space="preserve">5.3 Apocryphon of John: deficient lower administration</w:t>
      </w:r>
      <w:r/>
    </w:p>
    <w:p>
      <w:pPr>
        <w:pBdr/>
        <w:spacing/>
        <w:ind/>
        <w:rPr/>
      </w:pPr>
      <w:r>
        <w:t xml:space="preserve">Shows how source-bounded Sethian cosmology rewrites creation through derivative ignorance.</w:t>
      </w:r>
      <w:r/>
    </w:p>
    <w:p>
      <w:pPr>
        <w:pStyle w:val="1138"/>
        <w:keepNext w:val="true"/>
        <w:keepLines w:val="true"/>
        <w:pBdr/>
        <w:spacing/>
        <w:ind/>
        <w:rPr/>
      </w:pPr>
      <w:r>
        <w:t xml:space="preserve">5.4 Plotinus and Avicenna: procession, necessity, and dependence</w:t>
      </w:r>
      <w:r/>
    </w:p>
    <w:p>
      <w:pPr>
        <w:pBdr/>
        <w:spacing/>
        <w:ind/>
        <w:rPr/>
      </w:pPr>
      <w:r>
        <w:t xml:space="preserve">Compares two historically connected but non-identical emanative architectures.</w:t>
      </w:r>
      <w:r/>
    </w:p>
    <w:p>
      <w:pPr>
        <w:pStyle w:val="1138"/>
        <w:keepNext w:val="true"/>
        <w:keepLines w:val="true"/>
        <w:pBdr/>
        <w:spacing/>
        <w:ind/>
        <w:rPr/>
      </w:pPr>
      <w:r>
        <w:t xml:space="preserve">5.5 Nāgārjuna: dependence without a first explanatory ground</w:t>
      </w:r>
      <w:r/>
    </w:p>
    <w:p>
      <w:pPr>
        <w:pBdr/>
        <w:spacing/>
        <w:ind/>
        <w:rPr/>
      </w:pPr>
      <w:r>
        <w:t xml:space="preserve">Reframes cosmogenesis into dependent arising.</w:t>
      </w:r>
      <w:r/>
    </w:p>
    <w:p>
      <w:pPr>
        <w:pStyle w:val="1138"/>
        <w:keepNext w:val="true"/>
        <w:keepLines w:val="true"/>
        <w:pBdr/>
        <w:spacing/>
        <w:ind/>
        <w:rPr/>
      </w:pPr>
      <w:r>
        <w:t xml:space="preserve">5.6 Zhu Xi: patterned generation through lǐ and qì</w:t>
      </w:r>
      <w:r/>
    </w:p>
    <w:p>
      <w:pPr>
        <w:pBdr/>
        <w:spacing/>
        <w:ind/>
        <w:rPr/>
      </w:pPr>
      <w:r>
        <w:t xml:space="preserve">Adds non-creator ordered transformation.</w:t>
      </w:r>
      <w:r/>
    </w:p>
    <w:p>
      <w:pPr>
        <w:pStyle w:val="1138"/>
        <w:keepNext w:val="true"/>
        <w:keepLines w:val="true"/>
        <w:pBdr/>
        <w:spacing/>
        <w:ind/>
        <w:rPr/>
      </w:pPr>
      <w:r>
        <w:t xml:space="preserve">5.7 Epicurean atomism: worlds without providential design</w:t>
      </w:r>
      <w:r/>
    </w:p>
    <w:p>
      <w:pPr>
        <w:pBdr/>
        <w:spacing/>
        <w:ind/>
        <w:rPr/>
      </w:pPr>
      <w:r>
        <w:t xml:space="preserve">Provides an ancient naturalistic counterexample.</w:t>
      </w:r>
      <w:r/>
    </w:p>
    <w:p>
      <w:pPr>
        <w:pStyle w:val="1138"/>
        <w:keepNext w:val="true"/>
        <w:keepLines w:val="true"/>
        <w:pBdr/>
        <w:spacing/>
        <w:ind/>
        <w:rPr/>
      </w:pPr>
      <w:r>
        <w:t xml:space="preserve">5.8 Cosmogenesis as a comparative decision tree</w:t>
      </w:r>
      <w:r/>
    </w:p>
    <w:p>
      <w:pPr>
        <w:pBdr/>
        <w:spacing/>
        <w:ind/>
        <w:rPr/>
      </w:pPr>
      <w:r>
        <w:t xml:space="preserve">Shows which questions each position answers, denies, reframes, or leaves open.</w:t>
      </w:r>
      <w:r/>
    </w:p>
    <w:p>
      <w:pPr>
        <w:pStyle w:val="1137"/>
        <w:keepNext w:val="true"/>
        <w:keepLines w:val="true"/>
        <w:pBdr/>
        <w:spacing/>
        <w:ind/>
        <w:rPr/>
      </w:pPr>
      <w:r/>
      <w:bookmarkStart w:id="140" w:name="CH_06"/>
      <w:r>
        <w:t xml:space="preserve">Chapter 6 — What Kind of World Is This?</w:t>
      </w:r>
      <w:bookmarkEnd w:id="140"/>
      <w:r/>
      <w:r/>
    </w:p>
    <w:p>
      <w:pPr>
        <w:pStyle w:val="1184"/>
        <w:keepNext w:val="true"/>
        <w:keepLines w:val="true"/>
        <w:pBdr/>
        <w:spacing/>
        <w:ind/>
        <w:rPr/>
      </w:pPr>
      <w:r/>
      <w:bookmarkStart w:id="141" w:name="T_CH_06"/>
      <w:r>
        <w:t xml:space="preserve">Governing — Chapter 6 local brief</w:t>
      </w:r>
      <w:bookmarkEnd w:id="141"/>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2393"/>
        <w:gridCol w:w="7613"/>
      </w:tblGrid>
      <w:tr>
        <w:trPr>
          <w:cantSplit/>
          <w:tblHeader/>
        </w:trPr>
        <w:tc>
          <w:tcPr>
            <w:shd w:val="clear" w:color="auto" w:fill="1f5a73"/>
            <w:tcBorders/>
            <w:tcMar>
              <w:left w:w="70" w:type="dxa"/>
              <w:top w:w="60" w:type="dxa"/>
              <w:right w:w="70" w:type="dxa"/>
              <w:bottom w:w="60" w:type="dxa"/>
            </w:tcMar>
            <w:tcW w:w="2393" w:type="dxa"/>
            <w:vAlign w:val="top"/>
          </w:tcPr>
          <w:p>
            <w:pPr>
              <w:pStyle w:val="1298"/>
              <w:pBdr/>
              <w:spacing/>
              <w:ind/>
              <w:rPr/>
            </w:pPr>
            <w:r>
              <w:t xml:space="preserve">Field</w:t>
            </w:r>
            <w:r/>
          </w:p>
        </w:tc>
        <w:tc>
          <w:tcPr>
            <w:shd w:val="clear" w:color="auto" w:fill="1f5a73"/>
            <w:tcBorders/>
            <w:tcMar>
              <w:left w:w="70" w:type="dxa"/>
              <w:top w:w="60" w:type="dxa"/>
              <w:right w:w="70" w:type="dxa"/>
              <w:bottom w:w="60" w:type="dxa"/>
            </w:tcMar>
            <w:tcW w:w="7613" w:type="dxa"/>
            <w:vAlign w:val="top"/>
          </w:tcPr>
          <w:p>
            <w:pPr>
              <w:pStyle w:val="1298"/>
              <w:pBdr/>
              <w:spacing/>
              <w:ind/>
              <w:rPr/>
            </w:pPr>
            <w:r>
              <w:t xml:space="preserve">Chapter brief</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Purpose</w:t>
            </w:r>
            <w:r/>
          </w:p>
        </w:tc>
        <w:tc>
          <w:tcPr>
            <w:tcBorders/>
            <w:tcMar>
              <w:left w:w="70" w:type="dxa"/>
              <w:top w:w="60" w:type="dxa"/>
              <w:right w:w="70" w:type="dxa"/>
              <w:bottom w:w="60" w:type="dxa"/>
            </w:tcMar>
            <w:tcW w:w="7613" w:type="dxa"/>
            <w:vAlign w:val="top"/>
          </w:tcPr>
          <w:p>
            <w:pPr>
              <w:pStyle w:val="1296"/>
              <w:pBdr/>
              <w:spacing/>
              <w:ind/>
              <w:rPr/>
            </w:pPr>
            <w:r>
              <w:t xml:space="preserve">Compare defective, good, empty/dependently arisen, relational, patterned, and non-providential worlds, with special care around human/nonhuman partitions.</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Central question</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Is the world something to escape, affirm, read as disclosure, inhabit relationally, or refuse to reify?</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Intellectual payoff</w:t>
            </w:r>
            <w:r/>
          </w:p>
        </w:tc>
        <w:tc>
          <w:tcPr>
            <w:tcBorders/>
            <w:tcMar>
              <w:left w:w="70" w:type="dxa"/>
              <w:top w:w="60" w:type="dxa"/>
              <w:right w:w="70" w:type="dxa"/>
              <w:bottom w:w="60" w:type="dxa"/>
            </w:tcMar>
            <w:tcW w:w="7613" w:type="dxa"/>
            <w:vAlign w:val="top"/>
          </w:tcPr>
          <w:p>
            <w:pPr>
              <w:pStyle w:val="1296"/>
              <w:pBdr/>
              <w:spacing/>
              <w:ind/>
              <w:rPr/>
            </w:pPr>
            <w:r>
              <w:t xml:space="preserve">Connects D3 and D15 without forcing a nature/culture binary.</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Comparative scope</w:t>
            </w:r>
            <w:r/>
          </w:p>
        </w:tc>
        <w:tc>
          <w:tcPr>
            <w:shd w:val="clear" w:color="auto" w:fill="f7f9fa"/>
            <w:tcBorders/>
            <w:tcMar>
              <w:left w:w="70" w:type="dxa"/>
              <w:top w:w="60" w:type="dxa"/>
              <w:right w:w="70" w:type="dxa"/>
              <w:bottom w:w="60" w:type="dxa"/>
            </w:tcMar>
            <w:tcW w:w="7613" w:type="dxa"/>
            <w:vAlign w:val="top"/>
          </w:tcPr>
          <w:p>
            <w:pPr>
              <w:pStyle w:val="1296"/>
              <w:pBdr/>
              <w:spacing/>
              <w:ind/>
              <w:rPr/>
            </w:pPr>
            <w:r>
              <w:rPr>
                <w:b/>
              </w:rPr>
              <w:t xml:space="preserve">Core Positions:</w:t>
            </w:r>
            <w:r>
              <w:t xml:space="preserve"> Apocryphon; Gregory; Zhu Xi; Zhuangzi; Ifá; Guru Nanak</w:t>
            </w:r>
            <w:r/>
          </w:p>
          <w:p>
            <w:pPr>
              <w:pStyle w:val="1296"/>
              <w:pBdr/>
              <w:spacing/>
              <w:ind/>
              <w:rPr/>
            </w:pPr>
            <w:r>
              <w:t xml:space="preserve">Comparators and counterexamples: Achuar held comparator; Epicureanism</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Domains and concepts</w:t>
            </w:r>
            <w:r/>
          </w:p>
        </w:tc>
        <w:tc>
          <w:tcPr>
            <w:tcBorders/>
            <w:tcMar>
              <w:left w:w="70" w:type="dxa"/>
              <w:top w:w="60" w:type="dxa"/>
              <w:right w:w="70" w:type="dxa"/>
              <w:bottom w:w="60" w:type="dxa"/>
            </w:tcMar>
            <w:tcW w:w="7613" w:type="dxa"/>
            <w:vAlign w:val="top"/>
          </w:tcPr>
          <w:p>
            <w:pPr>
              <w:pStyle w:val="1296"/>
              <w:pBdr/>
              <w:spacing/>
              <w:ind/>
              <w:rPr/>
            </w:pPr>
            <w:r>
              <w:rPr>
                <w:b/>
              </w:rPr>
              <w:t xml:space="preserve">Primary domains:</w:t>
            </w:r>
            <w:r>
              <w:t xml:space="preserve"> D3 (World-partitioning, materiality &amp; human/nonhuman relations) D8 (Axiology, meaning &amp; value) D15 (World relation &amp; normative orientation); linked D2 (Cosmogenesis &amp; world structure) D14 (Telos / desired condition).</w:t>
            </w:r>
            <w:r/>
          </w:p>
          <w:p>
            <w:pPr>
              <w:pStyle w:val="1296"/>
              <w:pBdr/>
              <w:spacing/>
              <w:ind/>
              <w:rPr/>
            </w:pPr>
            <w:r>
              <w:t xml:space="preserve">Key concepts: nature/culture as optional category; qì; hukam; relational interiority; cosmos/world.</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Comparison burden</w:t>
            </w:r>
            <w:r/>
          </w:p>
        </w:tc>
        <w:tc>
          <w:tcPr>
            <w:shd w:val="clear" w:color="auto" w:fill="f7f9fa"/>
            <w:tcBorders/>
            <w:tcMar>
              <w:left w:w="70" w:type="dxa"/>
              <w:top w:w="60" w:type="dxa"/>
              <w:right w:w="70" w:type="dxa"/>
              <w:bottom w:w="60" w:type="dxa"/>
            </w:tcMar>
            <w:tcW w:w="7613" w:type="dxa"/>
            <w:vAlign w:val="top"/>
          </w:tcPr>
          <w:p>
            <w:pPr>
              <w:pStyle w:val="1296"/>
              <w:pBdr/>
              <w:spacing/>
              <w:ind/>
              <w:rPr/>
            </w:pPr>
            <w:r>
              <w:rPr>
                <w:b/>
              </w:rPr>
              <w:t xml:space="preserve">Principal comparisons and relations:</w:t>
            </w:r>
            <w:r>
              <w:t xml:space="preserve"> Defective vs created-good world; participation vs exit; human/nonhuman distribution; providential vs non-providential.</w:t>
            </w:r>
            <w:r/>
          </w:p>
          <w:p>
            <w:pPr>
              <w:pStyle w:val="1296"/>
              <w:pBdr/>
              <w:spacing/>
              <w:ind/>
              <w:rPr/>
            </w:pPr>
            <w:r>
              <w:t xml:space="preserve">Relation types: STR (structural homology), FUN (functional analogy), INC (incompatibility), MIS (category mismatch); PHE (phenomenological resemblance) only with adequate evidence.</w:t>
            </w:r>
            <w:r/>
          </w:p>
          <w:p>
            <w:pPr>
              <w:pStyle w:val="1296"/>
              <w:pBdr/>
              <w:spacing/>
              <w:ind/>
              <w:rPr/>
            </w:pPr>
            <w:r>
              <w:t xml:space="preserve">Essential disanalogies: Relationality does not imply one animism; world-affirmation does not entail the same ontology; Ifá is not 'African animism.'</w:t>
            </w:r>
            <w:r/>
          </w:p>
          <w:p>
            <w:pPr>
              <w:pStyle w:val="1296"/>
              <w:pBdr/>
              <w:spacing/>
              <w:ind/>
              <w:rPr/>
            </w:pPr>
            <w:r>
              <w:t xml:space="preserve">Genealogy: Cross-cultural comparison requires a scoped genealogy/contact assessment; historical independence is asserted only where supported. Contact-possible, dependence-known, unresolved or not-applicable states remain available.</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Evidence and review</w:t>
            </w:r>
            <w:r/>
          </w:p>
        </w:tc>
        <w:tc>
          <w:tcPr>
            <w:tcBorders/>
            <w:tcMar>
              <w:left w:w="70" w:type="dxa"/>
              <w:top w:w="60" w:type="dxa"/>
              <w:right w:w="70" w:type="dxa"/>
              <w:bottom w:w="60" w:type="dxa"/>
            </w:tcMar>
            <w:tcW w:w="7613" w:type="dxa"/>
            <w:vAlign w:val="top"/>
          </w:tcPr>
          <w:p>
            <w:pPr>
              <w:pStyle w:val="1296"/>
              <w:pBdr/>
              <w:spacing/>
              <w:ind/>
              <w:rPr/>
            </w:pPr>
            <w:r>
              <w:rPr>
                <w:b/>
              </w:rPr>
              <w:t xml:space="preserve">Research and evidence burden:</w:t>
            </w:r>
            <w:r>
              <w:t xml:space="preserve"> High for Indigenous/local materials; G4/G5 directly affect Ifá release and Achuar remains held.</w:t>
            </w:r>
            <w:r/>
          </w:p>
          <w:p>
            <w:pPr>
              <w:pStyle w:val="1296"/>
              <w:pBdr/>
              <w:spacing/>
              <w:ind/>
              <w:rPr/>
            </w:pPr>
            <w:r>
              <w:t xml:space="preserve">Canonical inputs and generated views: Full D3 records and community-governance metadata.</w:t>
            </w:r>
            <w:r/>
          </w:p>
          <w:p>
            <w:pPr>
              <w:pStyle w:val="1296"/>
              <w:pBdr/>
              <w:spacing/>
              <w:ind/>
              <w:rPr/>
            </w:pPr>
            <w:r>
              <w:t xml:space="preserve">Required review: Applicable source-community/governance and provenance review</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Dependencies and local consequence</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RG-01, RG-02, RG-03. Ifá oral SourceInstance and community review are blocking for every retained unit of the selected treatment under §12, not only for a project capability case; Achuar cannot be upgraded without direct/community evidence.</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Planned outputs</w:t>
            </w:r>
            <w:r/>
          </w:p>
        </w:tc>
        <w:tc>
          <w:tcPr>
            <w:tcBorders/>
            <w:tcMar>
              <w:left w:w="70" w:type="dxa"/>
              <w:top w:w="60" w:type="dxa"/>
              <w:right w:w="70" w:type="dxa"/>
              <w:bottom w:w="60" w:type="dxa"/>
            </w:tcMar>
            <w:tcW w:w="7613" w:type="dxa"/>
            <w:vAlign w:val="top"/>
          </w:tcPr>
          <w:p>
            <w:pPr>
              <w:pStyle w:val="1296"/>
              <w:pBdr/>
              <w:spacing/>
              <w:ind/>
              <w:rPr/>
            </w:pPr>
            <w:r>
              <w:t xml:space="preserve">Figure 6. World-relation matrix; Box 6. Why 'nature' cannot be presumed universal.</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Target narrative words</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13,000</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Chapter-specific completion tests</w:t>
            </w:r>
            <w:r/>
          </w:p>
        </w:tc>
        <w:tc>
          <w:tcPr>
            <w:tcBorders/>
            <w:tcMar>
              <w:left w:w="70" w:type="dxa"/>
              <w:top w:w="60" w:type="dxa"/>
              <w:right w:w="70" w:type="dxa"/>
              <w:bottom w:w="60" w:type="dxa"/>
            </w:tcMar>
            <w:tcW w:w="7613" w:type="dxa"/>
            <w:vAlign w:val="top"/>
          </w:tcPr>
          <w:p>
            <w:pPr>
              <w:pStyle w:val="1296"/>
              <w:pBdr/>
              <w:spacing/>
              <w:ind/>
              <w:rPr/>
            </w:pPr>
            <w:r>
              <w:t xml:space="preserve">D3 categor</w:t>
            </w:r>
            <w:r>
              <w:t xml:space="preserve">y warnings remain visible; any public Ifá treatment requires RG-01/RG-02 capability evidence and each retained unit’s eligibility, review and authorization under §12, Achuar remains held, and no generic animism or world-affirmation equivalence is asserted.</w:t>
            </w:r>
            <w:r/>
          </w:p>
        </w:tc>
      </w:tr>
    </w:tbl>
    <w:p>
      <w:pPr>
        <w:pStyle w:val="1300"/>
        <w:pBdr/>
        <w:spacing/>
        <w:ind/>
        <w:rPr/>
      </w:pPr>
      <w:r/>
      <w:r/>
    </w:p>
    <w:p>
      <w:pPr>
        <w:pStyle w:val="1138"/>
        <w:keepNext w:val="true"/>
        <w:keepLines w:val="true"/>
        <w:pBdr/>
        <w:spacing/>
        <w:ind/>
        <w:rPr/>
      </w:pPr>
      <w:r>
        <w:t xml:space="preserve">6.1 The category problem: 'nature' is not neutral</w:t>
      </w:r>
      <w:r/>
    </w:p>
    <w:p>
      <w:pPr>
        <w:pBdr/>
        <w:spacing/>
        <w:ind/>
        <w:rPr/>
      </w:pPr>
      <w:r>
        <w:t xml:space="preserve">Applies the D3 de-biasing rule and shows why human/nonhuman, materiality, life and personhood must be separately tracked.</w:t>
      </w:r>
      <w:r/>
    </w:p>
    <w:p>
      <w:pPr>
        <w:pStyle w:val="1138"/>
        <w:keepNext w:val="true"/>
        <w:keepLines w:val="true"/>
        <w:pBdr/>
        <w:spacing/>
        <w:ind/>
        <w:rPr/>
      </w:pPr>
      <w:r>
        <w:t xml:space="preserve">6.2 Defective world, good creation</w:t>
      </w:r>
      <w:r/>
    </w:p>
    <w:p>
      <w:pPr>
        <w:pBdr/>
        <w:spacing/>
        <w:ind/>
        <w:rPr/>
      </w:pPr>
      <w:r>
        <w:t xml:space="preserve">Directly compares Apocryphon and Gregory while preserving their shared Christian-era vocabulary and sharp ontological incompatibility.</w:t>
      </w:r>
      <w:r/>
    </w:p>
    <w:p>
      <w:pPr>
        <w:pStyle w:val="1138"/>
        <w:keepNext w:val="true"/>
        <w:keepLines w:val="true"/>
        <w:pBdr/>
        <w:spacing/>
        <w:ind/>
        <w:rPr/>
      </w:pPr>
      <w:r>
        <w:t xml:space="preserve">6.3 Patterned and transforming worlds: Zhu Xi and Zhuangzi</w:t>
      </w:r>
      <w:r/>
    </w:p>
    <w:p>
      <w:pPr>
        <w:pBdr/>
        <w:spacing/>
        <w:ind/>
        <w:rPr/>
      </w:pPr>
      <w:r>
        <w:t xml:space="preserve">Uses Chinese comparands to separate patterned moral cosmos from perspectival/transformation-centered orientation.</w:t>
      </w:r>
      <w:r/>
    </w:p>
    <w:p>
      <w:pPr>
        <w:pStyle w:val="1138"/>
        <w:keepNext w:val="true"/>
        <w:keepLines w:val="true"/>
        <w:pBdr/>
        <w:spacing/>
        <w:ind/>
        <w:rPr/>
      </w:pPr>
      <w:r>
        <w:t xml:space="preserve">6.4 Guru Nanak: hukam, embodiment, and living in the world</w:t>
      </w:r>
      <w:r/>
    </w:p>
    <w:p>
      <w:pPr>
        <w:pBdr/>
        <w:spacing/>
        <w:ind/>
        <w:rPr/>
      </w:pPr>
      <w:r>
        <w:t xml:space="preserve">Tests whether liberation can be fully world-engaged without collapsing into secular affirmation.</w:t>
      </w:r>
      <w:r/>
    </w:p>
    <w:p>
      <w:pPr>
        <w:pStyle w:val="1138"/>
        <w:keepNext w:val="true"/>
        <w:keepLines w:val="true"/>
        <w:pBdr/>
        <w:spacing/>
        <w:ind/>
        <w:rPr/>
      </w:pPr>
      <w:r>
        <w:t xml:space="preserve">6.5 Ifá: a performed world of destiny, divination, and adjustment</w:t>
      </w:r>
      <w:r/>
    </w:p>
    <w:p>
      <w:pPr>
        <w:pBdr/>
        <w:spacing/>
        <w:ind/>
        <w:rPr/>
      </w:pPr>
      <w:r>
        <w:t xml:space="preserve">Examine how destiny, divination and adjustment relate in the bounded Ifá source package. Distinguish its account of the world from the actions through which participants respond to that world.</w:t>
      </w:r>
      <w:r/>
    </w:p>
    <w:p>
      <w:pPr>
        <w:pBdr/>
        <w:spacing/>
        <w:ind/>
        <w:rPr/>
      </w:pPr>
      <w:r>
        <w:t xml:space="preserve">Publication of Ifá material requires the applicable project gates and each selected unit’s evidence, provenance, representation, rights and review conditions to be satisfied. An explanation of a method</w:t>
      </w:r>
      <w:r>
        <w:t xml:space="preserve">ological or coverage limitation must itself be eligible and authorized for the intended publication scope, without disclosing material that is not release-eligible for that scope. Boxed or digital presentation confers neither eligibility nor authorization.</w:t>
      </w:r>
      <w:r/>
    </w:p>
    <w:p>
      <w:pPr>
        <w:pStyle w:val="1138"/>
        <w:keepNext w:val="true"/>
        <w:keepLines w:val="true"/>
        <w:pBdr/>
        <w:spacing/>
        <w:ind/>
        <w:rPr/>
      </w:pPr>
      <w:r>
        <w:t xml:space="preserve">6.6 Achuar as a boundary case, not community voice</w:t>
      </w:r>
      <w:r/>
    </w:p>
    <w:p>
      <w:pPr>
        <w:pBdr/>
        <w:spacing/>
        <w:ind/>
        <w:rPr/>
      </w:pPr>
      <w:r>
        <w:t xml:space="preserve">Explains why Descola’s reconstruction is analytically useful but not releas</w:t>
      </w:r>
      <w:r>
        <w:t xml:space="preserve">e-grade representation. Any public limitation discussion must itself satisfy the evidence, representation, rights and authorization requirements in §§8 and 12 without disclosing held material; the case retains its HOLD-FUTURE role and promotion conditions.</w:t>
      </w:r>
      <w:r/>
    </w:p>
    <w:p>
      <w:pPr>
        <w:pStyle w:val="1138"/>
        <w:keepNext w:val="true"/>
        <w:keepLines w:val="true"/>
        <w:pBdr/>
        <w:spacing/>
        <w:ind/>
        <w:rPr/>
      </w:pPr>
      <w:r>
        <w:t xml:space="preserve">6.7 Epicurean worlds without providence</w:t>
      </w:r>
      <w:r/>
    </w:p>
    <w:p>
      <w:pPr>
        <w:pBdr/>
        <w:spacing/>
        <w:ind/>
        <w:rPr/>
      </w:pPr>
      <w:r>
        <w:t xml:space="preserve">Adds a non-providential materialist counterexample.</w:t>
      </w:r>
      <w:r/>
    </w:p>
    <w:p>
      <w:pPr>
        <w:pStyle w:val="1138"/>
        <w:keepNext w:val="true"/>
        <w:keepLines w:val="true"/>
        <w:pBdr/>
        <w:spacing/>
        <w:ind/>
        <w:rPr/>
      </w:pPr>
      <w:r>
        <w:t xml:space="preserve">6.8 Exit, participation, transformation—and what those labels miss</w:t>
      </w:r>
      <w:r/>
    </w:p>
    <w:p>
      <w:pPr>
        <w:pBdr/>
        <w:spacing/>
        <w:ind/>
        <w:rPr/>
      </w:pPr>
      <w:r>
        <w:t xml:space="preserve">Assess what exit, participation and transformation reveal or obscure about the world descriptions examined in this chapter. Identify the source-grounded links to world orientation and carry the unresolved distinctions forward to Chapter 16.</w:t>
      </w:r>
      <w:r/>
    </w:p>
    <w:p>
      <w:pPr>
        <w:pStyle w:val="1136"/>
        <w:keepNext w:val="true"/>
        <w:keepLines w:val="true"/>
        <w:pBdr/>
        <w:spacing/>
        <w:ind/>
        <w:rPr/>
      </w:pPr>
      <w:r/>
      <w:bookmarkStart w:id="142" w:name="PUB_PART_7"/>
      <w:r>
        <w:t xml:space="preserve">Publication Part III — Minds, Selves, Persons</w:t>
      </w:r>
      <w:bookmarkEnd w:id="142"/>
      <w:r/>
      <w:r/>
    </w:p>
    <w:p>
      <w:pPr>
        <w:pStyle w:val="1300"/>
        <w:keepNext w:val="true"/>
        <w:pBdr/>
        <w:spacing/>
        <w:ind/>
        <w:rPr/>
      </w:pPr>
      <w:r>
        <w:t xml:space="preserve">Volume I — Worlds, Grounds, Minds</w:t>
      </w:r>
      <w:r/>
    </w:p>
    <w:p>
      <w:pPr>
        <w:pStyle w:val="1137"/>
        <w:keepNext w:val="true"/>
        <w:keepLines w:val="true"/>
        <w:pBdr/>
        <w:spacing/>
        <w:ind/>
        <w:rPr/>
      </w:pPr>
      <w:r/>
      <w:bookmarkStart w:id="143" w:name="CH_07"/>
      <w:r>
        <w:t xml:space="preserve">Chapter 7 — What Is Consciousness Made Of—or Is It Made at All?</w:t>
      </w:r>
      <w:bookmarkEnd w:id="143"/>
      <w:r/>
      <w:r/>
    </w:p>
    <w:p>
      <w:pPr>
        <w:pStyle w:val="1184"/>
        <w:keepNext w:val="true"/>
        <w:keepLines w:val="true"/>
        <w:pBdr/>
        <w:spacing/>
        <w:ind/>
        <w:rPr/>
      </w:pPr>
      <w:r/>
      <w:bookmarkStart w:id="144" w:name="T_CH_07"/>
      <w:r>
        <w:t xml:space="preserve">Governing — Chapter 7 local brief</w:t>
      </w:r>
      <w:bookmarkEnd w:id="144"/>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2393"/>
        <w:gridCol w:w="7613"/>
      </w:tblGrid>
      <w:tr>
        <w:trPr>
          <w:cantSplit/>
          <w:tblHeader/>
        </w:trPr>
        <w:tc>
          <w:tcPr>
            <w:shd w:val="clear" w:color="auto" w:fill="1f5a73"/>
            <w:tcBorders/>
            <w:tcMar>
              <w:left w:w="70" w:type="dxa"/>
              <w:top w:w="60" w:type="dxa"/>
              <w:right w:w="70" w:type="dxa"/>
              <w:bottom w:w="60" w:type="dxa"/>
            </w:tcMar>
            <w:tcW w:w="2393" w:type="dxa"/>
            <w:vAlign w:val="top"/>
          </w:tcPr>
          <w:p>
            <w:pPr>
              <w:pStyle w:val="1298"/>
              <w:pBdr/>
              <w:spacing/>
              <w:ind/>
              <w:rPr/>
            </w:pPr>
            <w:r>
              <w:t xml:space="preserve">Field</w:t>
            </w:r>
            <w:r/>
          </w:p>
        </w:tc>
        <w:tc>
          <w:tcPr>
            <w:shd w:val="clear" w:color="auto" w:fill="1f5a73"/>
            <w:tcBorders/>
            <w:tcMar>
              <w:left w:w="70" w:type="dxa"/>
              <w:top w:w="60" w:type="dxa"/>
              <w:right w:w="70" w:type="dxa"/>
              <w:bottom w:w="60" w:type="dxa"/>
            </w:tcMar>
            <w:tcW w:w="7613" w:type="dxa"/>
            <w:vAlign w:val="top"/>
          </w:tcPr>
          <w:p>
            <w:pPr>
              <w:pStyle w:val="1298"/>
              <w:pBdr/>
              <w:spacing/>
              <w:ind/>
              <w:rPr/>
            </w:pPr>
            <w:r>
              <w:t xml:space="preserve">Chapter brief</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Purpose</w:t>
            </w:r>
            <w:r/>
          </w:p>
        </w:tc>
        <w:tc>
          <w:tcPr>
            <w:tcBorders/>
            <w:tcMar>
              <w:left w:w="70" w:type="dxa"/>
              <w:top w:w="60" w:type="dxa"/>
              <w:right w:w="70" w:type="dxa"/>
              <w:bottom w:w="60" w:type="dxa"/>
            </w:tcMar>
            <w:tcW w:w="7613" w:type="dxa"/>
            <w:vAlign w:val="top"/>
          </w:tcPr>
          <w:p>
            <w:pPr>
              <w:pStyle w:val="1296"/>
              <w:pBdr/>
              <w:spacing/>
              <w:ind/>
              <w:rPr/>
            </w:pPr>
            <w:r>
              <w:t xml:space="preserve">Map contemporary and historical architectures of consciousness without conflating consciousness with selfhood.</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Central question</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Is consciousness physical, fundamental, plural, emergent, illusory, or a category transformed by the position?</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Intellectual payoff</w:t>
            </w:r>
            <w:r/>
          </w:p>
        </w:tc>
        <w:tc>
          <w:tcPr>
            <w:tcBorders/>
            <w:tcMar>
              <w:left w:w="70" w:type="dxa"/>
              <w:top w:w="60" w:type="dxa"/>
              <w:right w:w="70" w:type="dxa"/>
              <w:bottom w:w="60" w:type="dxa"/>
            </w:tcMar>
            <w:tcW w:w="7613" w:type="dxa"/>
            <w:vAlign w:val="top"/>
          </w:tcPr>
          <w:p>
            <w:pPr>
              <w:pStyle w:val="1296"/>
              <w:pBdr/>
              <w:spacing/>
              <w:ind/>
              <w:rPr/>
            </w:pPr>
            <w:r>
              <w:t xml:space="preserve">Creates the book’s most direct bridge between historical metaphysics and current analytic philosophy while preserving the science/metaphysics boundary.</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Comparative scope</w:t>
            </w:r>
            <w:r/>
          </w:p>
        </w:tc>
        <w:tc>
          <w:tcPr>
            <w:shd w:val="clear" w:color="auto" w:fill="f7f9fa"/>
            <w:tcBorders/>
            <w:tcMar>
              <w:left w:w="70" w:type="dxa"/>
              <w:top w:w="60" w:type="dxa"/>
              <w:right w:w="70" w:type="dxa"/>
              <w:bottom w:w="60" w:type="dxa"/>
            </w:tcMar>
            <w:tcW w:w="7613" w:type="dxa"/>
            <w:vAlign w:val="top"/>
          </w:tcPr>
          <w:p>
            <w:pPr>
              <w:pStyle w:val="1296"/>
              <w:pBdr/>
              <w:spacing/>
              <w:ind/>
              <w:rPr/>
            </w:pPr>
            <w:r>
              <w:rPr>
                <w:b/>
              </w:rPr>
              <w:t xml:space="preserve">Core Positions:</w:t>
            </w:r>
            <w:r>
              <w:t xml:space="preserve"> Papineau physicalism; constitutive micropsychism; Sāṃkhya</w:t>
            </w:r>
            <w:r/>
          </w:p>
          <w:p>
            <w:pPr>
              <w:pStyle w:val="1296"/>
              <w:pBdr/>
              <w:spacing/>
              <w:ind/>
              <w:rPr/>
            </w:pPr>
            <w:r>
              <w:t xml:space="preserve">Comparators and counterexamples: Chalmers stress case; Frankish stress case; Utpaladeva; Leibniz; Whitehead</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Domains and concepts</w:t>
            </w:r>
            <w:r/>
          </w:p>
        </w:tc>
        <w:tc>
          <w:tcPr>
            <w:tcBorders/>
            <w:tcMar>
              <w:left w:w="70" w:type="dxa"/>
              <w:top w:w="60" w:type="dxa"/>
              <w:right w:w="70" w:type="dxa"/>
              <w:bottom w:w="60" w:type="dxa"/>
            </w:tcMar>
            <w:tcW w:w="7613" w:type="dxa"/>
            <w:vAlign w:val="top"/>
          </w:tcPr>
          <w:p>
            <w:pPr>
              <w:pStyle w:val="1296"/>
              <w:pBdr/>
              <w:spacing/>
              <w:ind/>
              <w:rPr/>
            </w:pPr>
            <w:r>
              <w:rPr>
                <w:b/>
              </w:rPr>
              <w:t xml:space="preserve">Primary domains:</w:t>
            </w:r>
            <w:r>
              <w:t xml:space="preserve"> D5 (Mind &amp; consciousness) D1 (Ontology &amp; ultimacy) D10 (Causal order &amp; dependence).</w:t>
            </w:r>
            <w:r/>
          </w:p>
          <w:p>
            <w:pPr>
              <w:pStyle w:val="1296"/>
              <w:pBdr/>
              <w:spacing/>
              <w:ind/>
              <w:rPr/>
            </w:pPr>
            <w:r>
              <w:t xml:space="preserve">Key concepts: physical causal closure; phenomenal consciousness; puruṣa; cit/prakāśa; perception/prehension.</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Comparison burden</w:t>
            </w:r>
            <w:r/>
          </w:p>
        </w:tc>
        <w:tc>
          <w:tcPr>
            <w:shd w:val="clear" w:color="auto" w:fill="f7f9fa"/>
            <w:tcBorders/>
            <w:tcMar>
              <w:left w:w="70" w:type="dxa"/>
              <w:top w:w="60" w:type="dxa"/>
              <w:right w:w="70" w:type="dxa"/>
              <w:bottom w:w="60" w:type="dxa"/>
            </w:tcMar>
            <w:tcW w:w="7613" w:type="dxa"/>
            <w:vAlign w:val="top"/>
          </w:tcPr>
          <w:p>
            <w:pPr>
              <w:pStyle w:val="1296"/>
              <w:pBdr/>
              <w:spacing/>
              <w:ind/>
              <w:rPr/>
            </w:pPr>
            <w:r>
              <w:rPr>
                <w:b/>
              </w:rPr>
              <w:t xml:space="preserve">Principal comparisons and relations:</w:t>
            </w:r>
            <w:r>
              <w:t xml:space="preserve"> Physical/emergent vs fundamental phenomenal base; plural consciousness; illusionist reframing.</w:t>
            </w:r>
            <w:r/>
          </w:p>
          <w:p>
            <w:pPr>
              <w:pStyle w:val="1296"/>
              <w:pBdr/>
              <w:spacing/>
              <w:ind/>
              <w:rPr/>
            </w:pPr>
            <w:r>
              <w:t xml:space="preserve">Relation types: SEM (semantic overlap), STR (structural homology), OCO (ontological compatibility), INC (incompatibility), MIS (category mismatch).</w:t>
            </w:r>
            <w:r/>
          </w:p>
          <w:p>
            <w:pPr>
              <w:pStyle w:val="1296"/>
              <w:pBdr/>
              <w:spacing/>
              <w:ind/>
              <w:rPr/>
            </w:pPr>
            <w:r>
              <w:t xml:space="preserve">Essential disanalogies: Fundamental consciousness in Śaiva or Sāṃkhya systems is not equivalent to micropsychism; empirical science does not prove physicalism.</w:t>
            </w:r>
            <w:r/>
          </w:p>
          <w:p>
            <w:pPr>
              <w:pStyle w:val="1296"/>
              <w:pBdr/>
              <w:spacing/>
              <w:ind/>
              <w:rPr/>
            </w:pPr>
            <w:r>
              <w:t xml:space="preserve">Genealogy: Historical independence assumed only where evidence supports; contemporary analytic debates have direct argumentative genealogy.</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Evidence and review</w:t>
            </w:r>
            <w:r/>
          </w:p>
        </w:tc>
        <w:tc>
          <w:tcPr>
            <w:tcBorders/>
            <w:tcMar>
              <w:left w:w="70" w:type="dxa"/>
              <w:top w:w="60" w:type="dxa"/>
              <w:right w:w="70" w:type="dxa"/>
              <w:bottom w:w="60" w:type="dxa"/>
            </w:tcMar>
            <w:tcW w:w="7613" w:type="dxa"/>
            <w:vAlign w:val="top"/>
          </w:tcPr>
          <w:p>
            <w:pPr>
              <w:pStyle w:val="1296"/>
              <w:pBdr/>
              <w:spacing/>
              <w:ind/>
              <w:rPr/>
            </w:pPr>
            <w:r>
              <w:rPr>
                <w:b/>
              </w:rPr>
              <w:t xml:space="preserve">Research and evidence burden:</w:t>
            </w:r>
            <w:r>
              <w:t xml:space="preserve"> Current philosophy of mind literature; careful separation of empirical claims and metaphysical inference [E28, E36, E37].</w:t>
            </w:r>
            <w:r/>
          </w:p>
          <w:p>
            <w:pPr>
              <w:pStyle w:val="1296"/>
              <w:pBdr/>
              <w:spacing/>
              <w:ind/>
              <w:rPr/>
            </w:pPr>
            <w:r>
              <w:t xml:space="preserve">Canonical inputs and generated views: Claim-level links to empirical evidence where invoked.</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Dependencies and local consequence</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RG-06, RG-12, RG-13, RG-14. Update analytic literature immediately before manuscript freeze; specialist check on Utpaladeva terminology.</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Planned outputs</w:t>
            </w:r>
            <w:r/>
          </w:p>
        </w:tc>
        <w:tc>
          <w:tcPr>
            <w:tcBorders/>
            <w:tcMar>
              <w:left w:w="70" w:type="dxa"/>
              <w:top w:w="60" w:type="dxa"/>
              <w:right w:w="70" w:type="dxa"/>
              <w:bottom w:w="60" w:type="dxa"/>
            </w:tcMar>
            <w:tcW w:w="7613" w:type="dxa"/>
            <w:vAlign w:val="top"/>
          </w:tcPr>
          <w:p>
            <w:pPr>
              <w:pStyle w:val="1296"/>
              <w:pBdr/>
              <w:spacing/>
              <w:ind/>
              <w:rPr/>
            </w:pPr>
            <w:r>
              <w:t xml:space="preserve">Figure 7. Consciousness ontology solution-space; Table 7. What each thesis actually entails.</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Target narrative words</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13,000</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Chapter-specific completion tests</w:t>
            </w:r>
            <w:r/>
          </w:p>
        </w:tc>
        <w:tc>
          <w:tcPr>
            <w:tcBorders/>
            <w:tcMar>
              <w:left w:w="70" w:type="dxa"/>
              <w:top w:w="60" w:type="dxa"/>
              <w:right w:w="70" w:type="dxa"/>
              <w:bottom w:w="60" w:type="dxa"/>
            </w:tcMar>
            <w:tcW w:w="7613" w:type="dxa"/>
            <w:vAlign w:val="top"/>
          </w:tcPr>
          <w:p>
            <w:pPr>
              <w:pStyle w:val="1296"/>
              <w:pBdr/>
              <w:spacing/>
              <w:ind/>
              <w:rPr/>
            </w:pPr>
            <w:r>
              <w:t xml:space="preserve">Empirical findings remain distinct from physicalist inference; fundamental-consciousness cases are split by architecture, current-literature and Utpaladeva dependencies are current, and no historical case is labeled equivalent to micropsychism.</w:t>
            </w:r>
            <w:r/>
          </w:p>
        </w:tc>
      </w:tr>
    </w:tbl>
    <w:p>
      <w:pPr>
        <w:pStyle w:val="1300"/>
        <w:pBdr/>
        <w:spacing/>
        <w:ind/>
        <w:rPr/>
      </w:pPr>
      <w:r/>
      <w:r/>
    </w:p>
    <w:p>
      <w:pPr>
        <w:pStyle w:val="1138"/>
        <w:keepNext w:val="true"/>
        <w:keepLines w:val="true"/>
        <w:pBdr/>
        <w:spacing/>
        <w:ind/>
        <w:rPr/>
      </w:pPr>
      <w:r>
        <w:t xml:space="preserve">7.1 First split the questions: consciousness is not personhood</w:t>
      </w:r>
      <w:r/>
    </w:p>
    <w:p>
      <w:pPr>
        <w:pBdr/>
        <w:spacing/>
        <w:ind/>
        <w:rPr/>
      </w:pPr>
      <w:r>
        <w:t xml:space="preserve">Dist</w:t>
      </w:r>
      <w:r>
        <w:t xml:space="preserve">inguish a claim about mentality, awareness or experience from a claim about what constitutes a self, person or subject. Use the chapter’s cases to show why an answer about consciousness leaves personhood and identity questions to be established separately.</w:t>
      </w:r>
      <w:r/>
    </w:p>
    <w:p>
      <w:pPr>
        <w:pStyle w:val="1138"/>
        <w:keepNext w:val="true"/>
        <w:keepLines w:val="true"/>
        <w:pBdr/>
        <w:spacing/>
        <w:ind/>
        <w:rPr/>
      </w:pPr>
      <w:r>
        <w:t xml:space="preserve">7.2 Papineau-style physicalism and the causal case</w:t>
      </w:r>
      <w:r/>
    </w:p>
    <w:p>
      <w:pPr>
        <w:pBdr/>
        <w:spacing/>
        <w:ind/>
        <w:rPr/>
      </w:pPr>
      <w:r>
        <w:t xml:space="preserve">Presents physicalism as metaphysical interpretation responsive to science, not as science’s theorem.</w:t>
      </w:r>
      <w:r/>
    </w:p>
    <w:p>
      <w:pPr>
        <w:pStyle w:val="1138"/>
        <w:keepNext w:val="true"/>
        <w:keepLines w:val="true"/>
        <w:pBdr/>
        <w:spacing/>
        <w:ind/>
        <w:rPr/>
      </w:pPr>
      <w:r>
        <w:t xml:space="preserve">7.3 Constitutive micropsychism and the combination problem</w:t>
      </w:r>
      <w:r/>
    </w:p>
    <w:p>
      <w:pPr>
        <w:pBdr/>
        <w:spacing/>
        <w:ind/>
        <w:rPr/>
      </w:pPr>
      <w:r>
        <w:t xml:space="preserve">Shows one way to make phenomenal reality fundamental without positing a cosmic person.</w:t>
      </w:r>
      <w:r/>
    </w:p>
    <w:p>
      <w:pPr>
        <w:pStyle w:val="1138"/>
        <w:keepNext w:val="true"/>
        <w:keepLines w:val="true"/>
        <w:pBdr/>
        <w:spacing/>
        <w:ind/>
        <w:rPr/>
      </w:pPr>
      <w:r>
        <w:t xml:space="preserve">7.4 Property dualism as stress case</w:t>
      </w:r>
      <w:r/>
    </w:p>
    <w:p>
      <w:pPr>
        <w:pBdr/>
        <w:spacing/>
        <w:ind/>
        <w:rPr/>
      </w:pPr>
      <w:r>
        <w:t xml:space="preserve">Prevents the book from treating physicalism and panpsychism as exhaustive.</w:t>
      </w:r>
      <w:r/>
    </w:p>
    <w:p>
      <w:pPr>
        <w:pStyle w:val="1138"/>
        <w:keepNext w:val="true"/>
        <w:keepLines w:val="true"/>
        <w:pBdr/>
        <w:spacing/>
        <w:ind/>
        <w:rPr/>
      </w:pPr>
      <w:r>
        <w:t xml:space="preserve">7.5 Illusionism as category refusal</w:t>
      </w:r>
      <w:r/>
    </w:p>
    <w:p>
      <w:pPr>
        <w:pBdr/>
        <w:spacing/>
        <w:ind/>
        <w:rPr/>
      </w:pPr>
      <w:r>
        <w:t xml:space="preserve">Tests whether the comparative question itself presupposes robust phenomenal properties.</w:t>
      </w:r>
      <w:r/>
    </w:p>
    <w:p>
      <w:pPr>
        <w:pStyle w:val="1138"/>
        <w:keepNext w:val="true"/>
        <w:keepLines w:val="true"/>
        <w:pBdr/>
        <w:spacing/>
        <w:ind/>
        <w:rPr/>
      </w:pPr>
      <w:r>
        <w:t xml:space="preserve">7.6 Sāṃkhya: many conscious witnesses</w:t>
      </w:r>
      <w:r/>
    </w:p>
    <w:p>
      <w:pPr>
        <w:pBdr/>
        <w:spacing/>
        <w:ind/>
        <w:rPr/>
      </w:pPr>
      <w:r>
        <w:t xml:space="preserve">Adds plural puruṣas without making them Cartesian minds.</w:t>
      </w:r>
      <w:r/>
    </w:p>
    <w:p>
      <w:pPr>
        <w:pStyle w:val="1138"/>
        <w:keepNext w:val="true"/>
        <w:keepLines w:val="true"/>
        <w:pBdr/>
        <w:spacing/>
        <w:ind/>
        <w:rPr/>
      </w:pPr>
      <w:r>
        <w:t xml:space="preserve">7.7 Utpaladeva: consciousness, recognition, and agency</w:t>
      </w:r>
      <w:r/>
    </w:p>
    <w:p>
      <w:pPr>
        <w:pBdr/>
        <w:spacing/>
        <w:ind/>
        <w:rPr/>
      </w:pPr>
      <w:r>
        <w:t xml:space="preserve">Adds a fundamental-consciousness architecture in which manifestation and agency are central.</w:t>
      </w:r>
      <w:r/>
    </w:p>
    <w:p>
      <w:pPr>
        <w:pStyle w:val="1138"/>
        <w:keepNext w:val="true"/>
        <w:keepLines w:val="true"/>
        <w:pBdr/>
        <w:spacing/>
        <w:ind/>
        <w:rPr/>
      </w:pPr>
      <w:r>
        <w:t xml:space="preserve">7.8 Leibniz and Whitehead: distributed perception without modern equivalence</w:t>
      </w:r>
      <w:r/>
    </w:p>
    <w:p>
      <w:pPr>
        <w:pBdr/>
        <w:spacing/>
        <w:ind/>
        <w:rPr/>
      </w:pPr>
      <w:r>
        <w:t xml:space="preserve">Shows why historical resemblance to panpsychism needs disanalogy and genealogy controls.</w:t>
      </w:r>
      <w:r/>
    </w:p>
    <w:p>
      <w:pPr>
        <w:pStyle w:val="1138"/>
        <w:keepNext w:val="true"/>
        <w:keepLines w:val="true"/>
        <w:pBdr/>
        <w:spacing/>
        <w:ind/>
        <w:rPr/>
      </w:pPr>
      <w:r>
        <w:t xml:space="preserve">7.9 What 'fundamental consciousness' does—and does not—name</w:t>
      </w:r>
      <w:r/>
    </w:p>
    <w:p>
      <w:pPr>
        <w:pBdr/>
        <w:spacing/>
        <w:ind/>
        <w:rPr/>
      </w:pPr>
      <w:r>
        <w:t xml:space="preserve">Compare the different senses in which the selected Positions treat consciousness as</w:t>
      </w:r>
      <w:r>
        <w:t xml:space="preserve"> fundamental, including plural witnesses, microphenomenal constitution and distributed perception. Present an L2 typology only where supported; retain material disanalogies and any narrower or negative findings. Do not infer a shared perennial metaphysics.</w:t>
      </w:r>
      <w:r/>
    </w:p>
    <w:p>
      <w:pPr>
        <w:pStyle w:val="1137"/>
        <w:keepNext w:val="true"/>
        <w:keepLines w:val="true"/>
        <w:pBdr/>
        <w:spacing/>
        <w:ind/>
        <w:rPr/>
      </w:pPr>
      <w:r/>
      <w:bookmarkStart w:id="145" w:name="CH_08"/>
      <w:r>
        <w:t xml:space="preserve">Chapter 8 — Is Consciousness a Self?</w:t>
      </w:r>
      <w:bookmarkEnd w:id="145"/>
      <w:r/>
      <w:r/>
    </w:p>
    <w:p>
      <w:pPr>
        <w:pStyle w:val="1184"/>
        <w:keepNext w:val="true"/>
        <w:keepLines w:val="true"/>
        <w:pBdr/>
        <w:spacing/>
        <w:ind/>
        <w:rPr/>
      </w:pPr>
      <w:r/>
      <w:bookmarkStart w:id="146" w:name="T_CH_08"/>
      <w:r>
        <w:t xml:space="preserve">Governing — Chapter 8 local brief</w:t>
      </w:r>
      <w:bookmarkEnd w:id="146"/>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2393"/>
        <w:gridCol w:w="7613"/>
      </w:tblGrid>
      <w:tr>
        <w:trPr>
          <w:cantSplit/>
          <w:tblHeader/>
        </w:trPr>
        <w:tc>
          <w:tcPr>
            <w:shd w:val="clear" w:color="auto" w:fill="1f5a73"/>
            <w:tcBorders/>
            <w:tcMar>
              <w:left w:w="70" w:type="dxa"/>
              <w:top w:w="60" w:type="dxa"/>
              <w:right w:w="70" w:type="dxa"/>
              <w:bottom w:w="60" w:type="dxa"/>
            </w:tcMar>
            <w:tcW w:w="2393" w:type="dxa"/>
            <w:vAlign w:val="top"/>
          </w:tcPr>
          <w:p>
            <w:pPr>
              <w:pStyle w:val="1298"/>
              <w:pBdr/>
              <w:spacing/>
              <w:ind/>
              <w:rPr/>
            </w:pPr>
            <w:r>
              <w:t xml:space="preserve">Field</w:t>
            </w:r>
            <w:r/>
          </w:p>
        </w:tc>
        <w:tc>
          <w:tcPr>
            <w:shd w:val="clear" w:color="auto" w:fill="1f5a73"/>
            <w:tcBorders/>
            <w:tcMar>
              <w:left w:w="70" w:type="dxa"/>
              <w:top w:w="60" w:type="dxa"/>
              <w:right w:w="70" w:type="dxa"/>
              <w:bottom w:w="60" w:type="dxa"/>
            </w:tcMar>
            <w:tcW w:w="7613" w:type="dxa"/>
            <w:vAlign w:val="top"/>
          </w:tcPr>
          <w:p>
            <w:pPr>
              <w:pStyle w:val="1298"/>
              <w:pBdr/>
              <w:spacing/>
              <w:ind/>
              <w:rPr/>
            </w:pPr>
            <w:r>
              <w:t xml:space="preserve">Chapter brief</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Purpose</w:t>
            </w:r>
            <w:r/>
          </w:p>
        </w:tc>
        <w:tc>
          <w:tcPr>
            <w:tcBorders/>
            <w:tcMar>
              <w:left w:w="70" w:type="dxa"/>
              <w:top w:w="60" w:type="dxa"/>
              <w:right w:w="70" w:type="dxa"/>
              <w:bottom w:w="60" w:type="dxa"/>
            </w:tcMar>
            <w:tcW w:w="7613" w:type="dxa"/>
            <w:vAlign w:val="top"/>
          </w:tcPr>
          <w:p>
            <w:pPr>
              <w:pStyle w:val="1296"/>
              <w:pBdr/>
              <w:spacing/>
              <w:ind/>
              <w:rPr/>
            </w:pPr>
            <w:r>
              <w:t xml:space="preserve">Separate awareness, subjectivity, self, person, and identity across positions.</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Central question</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What, if anything, turns awareness into a self?</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Intellectual payoff</w:t>
            </w:r>
            <w:r/>
          </w:p>
        </w:tc>
        <w:tc>
          <w:tcPr>
            <w:tcBorders/>
            <w:tcMar>
              <w:left w:w="70" w:type="dxa"/>
              <w:top w:w="60" w:type="dxa"/>
              <w:right w:w="70" w:type="dxa"/>
              <w:bottom w:w="60" w:type="dxa"/>
            </w:tcMar>
            <w:tcW w:w="7613" w:type="dxa"/>
            <w:vAlign w:val="top"/>
          </w:tcPr>
          <w:p>
            <w:pPr>
              <w:pStyle w:val="1296"/>
              <w:pBdr/>
              <w:spacing/>
              <w:ind/>
              <w:rPr/>
            </w:pPr>
            <w:r>
              <w:t xml:space="preserve">Makes the D5/D6 split philosophically productive rather than merely methodological.</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Comparative scope</w:t>
            </w:r>
            <w:r/>
          </w:p>
        </w:tc>
        <w:tc>
          <w:tcPr>
            <w:shd w:val="clear" w:color="auto" w:fill="f7f9fa"/>
            <w:tcBorders/>
            <w:tcMar>
              <w:left w:w="70" w:type="dxa"/>
              <w:top w:w="60" w:type="dxa"/>
              <w:right w:w="70" w:type="dxa"/>
              <w:bottom w:w="60" w:type="dxa"/>
            </w:tcMar>
            <w:tcW w:w="7613" w:type="dxa"/>
            <w:vAlign w:val="top"/>
          </w:tcPr>
          <w:p>
            <w:pPr>
              <w:pStyle w:val="1296"/>
              <w:pBdr/>
              <w:spacing/>
              <w:ind/>
              <w:rPr/>
            </w:pPr>
            <w:r>
              <w:rPr>
                <w:b/>
              </w:rPr>
              <w:t xml:space="preserve">Core Positions:</w:t>
            </w:r>
            <w:r>
              <w:t xml:space="preserve"> Śaṅkara; Nāgārjuna; Yogācāra; Sartre; Sāṃkhya</w:t>
            </w:r>
            <w:r/>
          </w:p>
          <w:p>
            <w:pPr>
              <w:pStyle w:val="1296"/>
              <w:pBdr/>
              <w:spacing/>
              <w:ind/>
              <w:rPr/>
            </w:pPr>
            <w:r>
              <w:t xml:space="preserve">Comparators and counterexamples: Hume; Descartes</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Domains and concepts</w:t>
            </w:r>
            <w:r/>
          </w:p>
        </w:tc>
        <w:tc>
          <w:tcPr>
            <w:tcBorders/>
            <w:tcMar>
              <w:left w:w="70" w:type="dxa"/>
              <w:top w:w="60" w:type="dxa"/>
              <w:right w:w="70" w:type="dxa"/>
              <w:bottom w:w="60" w:type="dxa"/>
            </w:tcMar>
            <w:tcW w:w="7613" w:type="dxa"/>
            <w:vAlign w:val="top"/>
          </w:tcPr>
          <w:p>
            <w:pPr>
              <w:pStyle w:val="1296"/>
              <w:pBdr/>
              <w:spacing/>
              <w:ind/>
              <w:rPr/>
            </w:pPr>
            <w:r>
              <w:rPr>
                <w:b/>
              </w:rPr>
              <w:t xml:space="preserve">Primary domains:</w:t>
            </w:r>
            <w:r>
              <w:t xml:space="preserve"> D5 (Mind &amp; consciousness) D6 (Self, personhood &amp; identity) D4 (Human constitution &amp; embodiment).</w:t>
            </w:r>
            <w:r/>
          </w:p>
          <w:p>
            <w:pPr>
              <w:pStyle w:val="1296"/>
              <w:pBdr/>
              <w:spacing/>
              <w:ind/>
              <w:rPr/>
            </w:pPr>
            <w:r>
              <w:t xml:space="preserve">Key concepts: ātman; anātman; vijñāna; puruṣa; cogito; pour-soi.</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Comparison burden</w:t>
            </w:r>
            <w:r/>
          </w:p>
        </w:tc>
        <w:tc>
          <w:tcPr>
            <w:shd w:val="clear" w:color="auto" w:fill="f7f9fa"/>
            <w:tcBorders/>
            <w:tcMar>
              <w:left w:w="70" w:type="dxa"/>
              <w:top w:w="60" w:type="dxa"/>
              <w:right w:w="70" w:type="dxa"/>
              <w:bottom w:w="60" w:type="dxa"/>
            </w:tcMar>
            <w:tcW w:w="7613" w:type="dxa"/>
            <w:vAlign w:val="top"/>
          </w:tcPr>
          <w:p>
            <w:pPr>
              <w:pStyle w:val="1296"/>
              <w:pBdr/>
              <w:spacing/>
              <w:ind/>
              <w:rPr/>
            </w:pPr>
            <w:r>
              <w:rPr>
                <w:b/>
              </w:rPr>
              <w:t xml:space="preserve">Principal comparisons and relations:</w:t>
            </w:r>
            <w:r>
              <w:t xml:space="preserve"> Ultimate Self/no-self; bundle/project/witness; consciousness without substantial person.</w:t>
            </w:r>
            <w:r/>
          </w:p>
          <w:p>
            <w:pPr>
              <w:pStyle w:val="1296"/>
              <w:pBdr/>
              <w:spacing/>
              <w:ind/>
              <w:rPr/>
            </w:pPr>
            <w:r>
              <w:t xml:space="preserve">Relation types: FUN (functional analogy), STR (structural homology), INC (incompatibility), MIS (category mismatch); SEM (semantic overlap) only term-specific.</w:t>
            </w:r>
            <w:r/>
          </w:p>
          <w:p>
            <w:pPr>
              <w:pStyle w:val="1296"/>
              <w:pBdr/>
              <w:spacing/>
              <w:ind/>
              <w:rPr/>
            </w:pPr>
            <w:r>
              <w:t xml:space="preserve">Essential disanalogies: Buddhist no-self is not Humean bundle theory; Sartrean nothingness is not Madhyamaka emptiness; puruṣa is not Cartesian ego.</w:t>
            </w:r>
            <w:r/>
          </w:p>
          <w:p>
            <w:pPr>
              <w:pStyle w:val="1296"/>
              <w:pBdr/>
              <w:spacing/>
              <w:ind/>
              <w:rPr/>
            </w:pPr>
            <w:r>
              <w:t xml:space="preserve">Genealogy: No cross-cultural genealogy claimed among main parallels; direct European genealogy handled for Hume/Descartes/Sartre.</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Evidence and review</w:t>
            </w:r>
            <w:r/>
          </w:p>
        </w:tc>
        <w:tc>
          <w:tcPr>
            <w:tcBorders/>
            <w:tcMar>
              <w:left w:w="70" w:type="dxa"/>
              <w:top w:w="60" w:type="dxa"/>
              <w:right w:w="70" w:type="dxa"/>
              <w:bottom w:w="60" w:type="dxa"/>
            </w:tcMar>
            <w:tcW w:w="7613" w:type="dxa"/>
            <w:vAlign w:val="top"/>
          </w:tcPr>
          <w:p>
            <w:pPr>
              <w:pStyle w:val="1296"/>
              <w:pBdr/>
              <w:spacing/>
              <w:ind/>
              <w:rPr/>
            </w:pPr>
            <w:r>
              <w:rPr>
                <w:b/>
              </w:rPr>
              <w:t xml:space="preserve">Research and evidence burden:</w:t>
            </w:r>
            <w:r>
              <w:t xml:space="preserve"> Strong textual packages; high translation burden.</w:t>
            </w:r>
            <w:r/>
          </w:p>
          <w:p>
            <w:pPr>
              <w:pStyle w:val="1296"/>
              <w:pBdr/>
              <w:spacing/>
              <w:ind/>
              <w:rPr/>
            </w:pPr>
            <w:r>
              <w:t xml:space="preserve">Canonical inputs and generated views: Concept records for high-risk terms.</w:t>
            </w:r>
            <w:r/>
          </w:p>
          <w:p>
            <w:pPr>
              <w:pStyle w:val="1296"/>
              <w:pBdr/>
              <w:spacing/>
              <w:ind/>
              <w:rPr/>
            </w:pPr>
            <w:r>
              <w:t xml:space="preserve">Required review: Relevant Sanskrit/Indian-philosophy specialist review</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Dependencies and local consequence</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RG-07, RG-08, RG-15. Yogācāra school-internal interpretation must remain bounded to selected Vasubandhu texts.</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Planned outputs</w:t>
            </w:r>
            <w:r/>
          </w:p>
        </w:tc>
        <w:tc>
          <w:tcPr>
            <w:tcBorders/>
            <w:tcMar>
              <w:left w:w="70" w:type="dxa"/>
              <w:top w:w="60" w:type="dxa"/>
              <w:right w:w="70" w:type="dxa"/>
              <w:bottom w:w="60" w:type="dxa"/>
            </w:tcMar>
            <w:tcW w:w="7613" w:type="dxa"/>
            <w:vAlign w:val="top"/>
          </w:tcPr>
          <w:p>
            <w:pPr>
              <w:pStyle w:val="1296"/>
              <w:pBdr/>
              <w:spacing/>
              <w:ind/>
              <w:rPr/>
            </w:pPr>
            <w:r>
              <w:t xml:space="preserve">Figure 8. Awareness/self/person identity matrix.</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Target narrative words</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12,000</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Chapter-specific completion tests</w:t>
            </w:r>
            <w:r/>
          </w:p>
        </w:tc>
        <w:tc>
          <w:tcPr>
            <w:tcBorders/>
            <w:tcMar>
              <w:left w:w="70" w:type="dxa"/>
              <w:top w:w="60" w:type="dxa"/>
              <w:right w:w="70" w:type="dxa"/>
              <w:bottom w:w="60" w:type="dxa"/>
            </w:tcMar>
            <w:tcW w:w="7613" w:type="dxa"/>
            <w:vAlign w:val="top"/>
          </w:tcPr>
          <w:p>
            <w:pPr>
              <w:pStyle w:val="1296"/>
              <w:pBdr/>
              <w:spacing/>
              <w:ind/>
              <w:rPr/>
            </w:pPr>
            <w:r>
              <w:t xml:space="preserve">Consciousness, self, personhood and identity remain separate; Buddhist, Sāṃkhya, Cartesian, Humean and Sartrean cases retain their exact concept controls and the Vasubandhu corpus remains text-bounded.</w:t>
            </w:r>
            <w:r/>
          </w:p>
        </w:tc>
      </w:tr>
    </w:tbl>
    <w:p>
      <w:pPr>
        <w:pStyle w:val="1300"/>
        <w:pBdr/>
        <w:spacing/>
        <w:ind/>
        <w:rPr/>
      </w:pPr>
      <w:r/>
      <w:r/>
    </w:p>
    <w:p>
      <w:pPr>
        <w:pStyle w:val="1138"/>
        <w:keepNext w:val="true"/>
        <w:keepLines w:val="true"/>
        <w:pBdr/>
        <w:spacing/>
        <w:ind/>
        <w:rPr/>
      </w:pPr>
      <w:r>
        <w:t xml:space="preserve">8.1 Five questions usually hidden inside 'self'</w:t>
      </w:r>
      <w:r/>
    </w:p>
    <w:p>
      <w:pPr>
        <w:pBdr/>
        <w:spacing/>
        <w:ind/>
        <w:rPr/>
      </w:pPr>
      <w:r>
        <w:t xml:space="preserve">Separates subjectivity, ownership, continuity, moral personhood, and ultimacy.</w:t>
      </w:r>
      <w:r/>
    </w:p>
    <w:p>
      <w:pPr>
        <w:pStyle w:val="1138"/>
        <w:keepNext w:val="true"/>
        <w:keepLines w:val="true"/>
        <w:pBdr/>
        <w:spacing/>
        <w:ind/>
        <w:rPr/>
      </w:pPr>
      <w:r>
        <w:t xml:space="preserve">8.2 Śaṅkara: the Self that is not the empirical person</w:t>
      </w:r>
      <w:r/>
    </w:p>
    <w:p>
      <w:pPr>
        <w:pBdr/>
        <w:spacing/>
        <w:ind/>
        <w:rPr/>
      </w:pPr>
      <w:r>
        <w:t xml:space="preserve">Distinguishes ātman from mind-body individuality.</w:t>
      </w:r>
      <w:r/>
    </w:p>
    <w:p>
      <w:pPr>
        <w:pStyle w:val="1138"/>
        <w:keepNext w:val="true"/>
        <w:keepLines w:val="true"/>
        <w:pBdr/>
        <w:spacing/>
        <w:ind/>
        <w:rPr/>
      </w:pPr>
      <w:r>
        <w:t xml:space="preserve">8.3 Nāgārjuna: person without svabhāva</w:t>
      </w:r>
      <w:r/>
    </w:p>
    <w:p>
      <w:pPr>
        <w:pBdr/>
        <w:spacing/>
        <w:ind/>
        <w:rPr/>
      </w:pPr>
      <w:r>
        <w:t xml:space="preserve">Shows conventional personhood without intrinsic self-nature.</w:t>
      </w:r>
      <w:r/>
    </w:p>
    <w:p>
      <w:pPr>
        <w:pStyle w:val="1138"/>
        <w:keepNext w:val="true"/>
        <w:keepLines w:val="true"/>
        <w:pBdr/>
        <w:spacing/>
        <w:ind/>
        <w:rPr/>
      </w:pPr>
      <w:r>
        <w:t xml:space="preserve">8.4 Vasubandhu: continuity and constructed subjectivity</w:t>
      </w:r>
      <w:r/>
    </w:p>
    <w:p>
      <w:pPr>
        <w:pBdr/>
        <w:spacing/>
        <w:ind/>
        <w:rPr/>
      </w:pPr>
      <w:r>
        <w:t xml:space="preserve">Uses Yogācāra to prevent the Buddhist side from collapsing into one Madhyamaka model.</w:t>
      </w:r>
      <w:r/>
    </w:p>
    <w:p>
      <w:pPr>
        <w:pStyle w:val="1138"/>
        <w:keepNext w:val="true"/>
        <w:keepLines w:val="true"/>
        <w:pBdr/>
        <w:spacing/>
        <w:ind/>
        <w:rPr/>
      </w:pPr>
      <w:r>
        <w:t xml:space="preserve">8.5 Sāṃkhya: witness consciousness without one universal Self</w:t>
      </w:r>
      <w:r/>
    </w:p>
    <w:p>
      <w:pPr>
        <w:pBdr/>
        <w:spacing/>
        <w:ind/>
        <w:rPr/>
      </w:pPr>
      <w:r>
        <w:t xml:space="preserve">Compare Sāṃkhya’s plurality of conscious witnesses with the universal Self claim examined in §8.2. Explain what this difference changes in the comparison of consciousness and selfhood, while preserving the source-specific meaning of puruṣa.</w:t>
      </w:r>
      <w:r/>
    </w:p>
    <w:p>
      <w:pPr>
        <w:pStyle w:val="1138"/>
        <w:keepNext w:val="true"/>
        <w:keepLines w:val="true"/>
        <w:pBdr/>
        <w:spacing/>
        <w:ind/>
        <w:rPr/>
      </w:pPr>
      <w:r>
        <w:t xml:space="preserve">8.6 Descartes: thinking subject as substance</w:t>
      </w:r>
      <w:r/>
    </w:p>
    <w:p>
      <w:pPr>
        <w:pBdr/>
        <w:spacing/>
        <w:ind/>
        <w:rPr/>
      </w:pPr>
      <w:r>
        <w:t xml:space="preserve">Provides a historically influential substance-subject model.</w:t>
      </w:r>
      <w:r/>
    </w:p>
    <w:p>
      <w:pPr>
        <w:pStyle w:val="1138"/>
        <w:keepNext w:val="true"/>
        <w:keepLines w:val="true"/>
        <w:pBdr/>
        <w:spacing/>
        <w:ind/>
        <w:rPr/>
      </w:pPr>
      <w:r>
        <w:t xml:space="preserve">8.7 Hume and Sartre: two non-substantial selves, two different arguments</w:t>
      </w:r>
      <w:r/>
    </w:p>
    <w:p>
      <w:pPr>
        <w:pBdr/>
        <w:spacing/>
        <w:ind/>
        <w:rPr/>
      </w:pPr>
      <w:r>
        <w:t xml:space="preserve">Compare Hume’s bundle-like and Sartre’s projective accounts, identifying how each treats selfhood and where their arguments differ. Assert historical independence only where a scoped genealogy/contact assessment supports it.</w:t>
      </w:r>
      <w:r/>
    </w:p>
    <w:p>
      <w:pPr>
        <w:pStyle w:val="1138"/>
        <w:keepNext w:val="true"/>
        <w:keepLines w:val="true"/>
        <w:pBdr/>
        <w:spacing/>
        <w:ind/>
        <w:rPr/>
      </w:pPr>
      <w:r>
        <w:t xml:space="preserve">8.8 Ultimate Self versus no-self is not one binary</w:t>
      </w:r>
      <w:r/>
    </w:p>
    <w:p>
      <w:pPr>
        <w:pBdr/>
        <w:spacing/>
        <w:ind/>
        <w:rPr/>
      </w:pPr>
      <w:r>
        <w:t xml:space="preserve">Separates metaphysical, phenomenological, and soteriological axes.</w:t>
      </w:r>
      <w:r/>
    </w:p>
    <w:p>
      <w:pPr>
        <w:pStyle w:val="1137"/>
        <w:keepNext w:val="true"/>
        <w:keepLines w:val="true"/>
        <w:pBdr/>
        <w:spacing/>
        <w:ind/>
        <w:rPr/>
      </w:pPr>
      <w:r/>
      <w:bookmarkStart w:id="147" w:name="CH_09"/>
      <w:r>
        <w:t xml:space="preserve">Chapter 9 — What Makes a Person Persist?</w:t>
      </w:r>
      <w:bookmarkEnd w:id="147"/>
      <w:r/>
      <w:r/>
    </w:p>
    <w:p>
      <w:pPr>
        <w:pStyle w:val="1184"/>
        <w:keepNext w:val="true"/>
        <w:keepLines w:val="true"/>
        <w:pBdr/>
        <w:spacing/>
        <w:ind/>
        <w:rPr/>
      </w:pPr>
      <w:r/>
      <w:bookmarkStart w:id="148" w:name="T_CH_09"/>
      <w:r>
        <w:t xml:space="preserve">Governing — Chapter 9 local brief</w:t>
      </w:r>
      <w:bookmarkEnd w:id="148"/>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2393"/>
        <w:gridCol w:w="7613"/>
      </w:tblGrid>
      <w:tr>
        <w:trPr>
          <w:cantSplit/>
          <w:tblHeader/>
        </w:trPr>
        <w:tc>
          <w:tcPr>
            <w:shd w:val="clear" w:color="auto" w:fill="1f5a73"/>
            <w:tcBorders/>
            <w:tcMar>
              <w:left w:w="70" w:type="dxa"/>
              <w:top w:w="60" w:type="dxa"/>
              <w:right w:w="70" w:type="dxa"/>
              <w:bottom w:w="60" w:type="dxa"/>
            </w:tcMar>
            <w:tcW w:w="2393" w:type="dxa"/>
            <w:vAlign w:val="top"/>
          </w:tcPr>
          <w:p>
            <w:pPr>
              <w:pStyle w:val="1298"/>
              <w:pBdr/>
              <w:spacing/>
              <w:ind/>
              <w:rPr/>
            </w:pPr>
            <w:r>
              <w:t xml:space="preserve">Field</w:t>
            </w:r>
            <w:r/>
          </w:p>
        </w:tc>
        <w:tc>
          <w:tcPr>
            <w:shd w:val="clear" w:color="auto" w:fill="1f5a73"/>
            <w:tcBorders/>
            <w:tcMar>
              <w:left w:w="70" w:type="dxa"/>
              <w:top w:w="60" w:type="dxa"/>
              <w:right w:w="70" w:type="dxa"/>
              <w:bottom w:w="60" w:type="dxa"/>
            </w:tcMar>
            <w:tcW w:w="7613" w:type="dxa"/>
            <w:vAlign w:val="top"/>
          </w:tcPr>
          <w:p>
            <w:pPr>
              <w:pStyle w:val="1298"/>
              <w:pBdr/>
              <w:spacing/>
              <w:ind/>
              <w:rPr/>
            </w:pPr>
            <w:r>
              <w:t xml:space="preserve">Chapter brief</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Purpose</w:t>
            </w:r>
            <w:r/>
          </w:p>
        </w:tc>
        <w:tc>
          <w:tcPr>
            <w:tcBorders/>
            <w:tcMar>
              <w:left w:w="70" w:type="dxa"/>
              <w:top w:w="60" w:type="dxa"/>
              <w:right w:w="70" w:type="dxa"/>
              <w:bottom w:w="60" w:type="dxa"/>
            </w:tcMar>
            <w:tcW w:w="7613" w:type="dxa"/>
            <w:vAlign w:val="top"/>
          </w:tcPr>
          <w:p>
            <w:pPr>
              <w:pStyle w:val="1296"/>
              <w:pBdr/>
              <w:spacing/>
              <w:ind/>
              <w:rPr/>
            </w:pPr>
            <w:r>
              <w:t xml:space="preserve">Link personal identity to embodiment, memory, rebirth, resurrection, and continuity without presupposing an immortal substance.</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Central question</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What grounds identity through change—and, where claimed, through death?</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Intellectual payoff</w:t>
            </w:r>
            <w:r/>
          </w:p>
        </w:tc>
        <w:tc>
          <w:tcPr>
            <w:tcBorders/>
            <w:tcMar>
              <w:left w:w="70" w:type="dxa"/>
              <w:top w:w="60" w:type="dxa"/>
              <w:right w:w="70" w:type="dxa"/>
              <w:bottom w:w="60" w:type="dxa"/>
            </w:tcMar>
            <w:tcW w:w="7613" w:type="dxa"/>
            <w:vAlign w:val="top"/>
          </w:tcPr>
          <w:p>
            <w:pPr>
              <w:pStyle w:val="1296"/>
              <w:pBdr/>
              <w:spacing/>
              <w:ind/>
              <w:rPr/>
            </w:pPr>
            <w:r>
              <w:t xml:space="preserve">Prepares the later death chapter while exposing divergent criteria of personhood.</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Comparative scope</w:t>
            </w:r>
            <w:r/>
          </w:p>
        </w:tc>
        <w:tc>
          <w:tcPr>
            <w:shd w:val="clear" w:color="auto" w:fill="f7f9fa"/>
            <w:tcBorders/>
            <w:tcMar>
              <w:left w:w="70" w:type="dxa"/>
              <w:top w:w="60" w:type="dxa"/>
              <w:right w:w="70" w:type="dxa"/>
              <w:bottom w:w="60" w:type="dxa"/>
            </w:tcMar>
            <w:tcW w:w="7613" w:type="dxa"/>
            <w:vAlign w:val="top"/>
          </w:tcPr>
          <w:p>
            <w:pPr>
              <w:pStyle w:val="1296"/>
              <w:pBdr/>
              <w:spacing/>
              <w:ind/>
              <w:rPr/>
            </w:pPr>
            <w:r>
              <w:rPr>
                <w:b/>
              </w:rPr>
              <w:t xml:space="preserve">Core Positions:</w:t>
            </w:r>
            <w:r>
              <w:t xml:space="preserve"> Gregory; Jaina synthesis; Yogācāra; Sartre; Avicenna</w:t>
            </w:r>
            <w:r/>
          </w:p>
          <w:p>
            <w:pPr>
              <w:pStyle w:val="1296"/>
              <w:pBdr/>
              <w:spacing/>
              <w:ind/>
              <w:rPr/>
            </w:pPr>
            <w:r>
              <w:t xml:space="preserve">Comparators and counterexamples: Hume; Descartes</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Domains and concepts</w:t>
            </w:r>
            <w:r/>
          </w:p>
        </w:tc>
        <w:tc>
          <w:tcPr>
            <w:tcBorders/>
            <w:tcMar>
              <w:left w:w="70" w:type="dxa"/>
              <w:top w:w="60" w:type="dxa"/>
              <w:right w:w="70" w:type="dxa"/>
              <w:bottom w:w="60" w:type="dxa"/>
            </w:tcMar>
            <w:tcW w:w="7613" w:type="dxa"/>
            <w:vAlign w:val="top"/>
          </w:tcPr>
          <w:p>
            <w:pPr>
              <w:pStyle w:val="1296"/>
              <w:pBdr/>
              <w:spacing/>
              <w:ind/>
              <w:rPr/>
            </w:pPr>
            <w:r>
              <w:rPr>
                <w:b/>
              </w:rPr>
              <w:t xml:space="preserve">Primary domains:</w:t>
            </w:r>
            <w:r>
              <w:t xml:space="preserve"> D4 (Human constitution &amp; embodiment) D6 (Self, personhood &amp; identity) D13 (Death &amp; continuity).</w:t>
            </w:r>
            <w:r/>
          </w:p>
          <w:p>
            <w:pPr>
              <w:pStyle w:val="1296"/>
              <w:pBdr/>
              <w:spacing/>
              <w:ind/>
              <w:rPr/>
            </w:pPr>
            <w:r>
              <w:t xml:space="preserve">Key concepts: resurrection; jīva; karmic continuum; soul; memory; project.</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Comparison burden</w:t>
            </w:r>
            <w:r/>
          </w:p>
        </w:tc>
        <w:tc>
          <w:tcPr>
            <w:shd w:val="clear" w:color="auto" w:fill="f7f9fa"/>
            <w:tcBorders/>
            <w:tcMar>
              <w:left w:w="70" w:type="dxa"/>
              <w:top w:w="60" w:type="dxa"/>
              <w:right w:w="70" w:type="dxa"/>
              <w:bottom w:w="60" w:type="dxa"/>
            </w:tcMar>
            <w:tcW w:w="7613" w:type="dxa"/>
            <w:vAlign w:val="top"/>
          </w:tcPr>
          <w:p>
            <w:pPr>
              <w:pStyle w:val="1296"/>
              <w:pBdr/>
              <w:spacing/>
              <w:ind/>
              <w:rPr/>
            </w:pPr>
            <w:r>
              <w:rPr>
                <w:b/>
              </w:rPr>
              <w:t xml:space="preserve">Principal comparisons and relations:</w:t>
            </w:r>
            <w:r>
              <w:t xml:space="preserve"> Substantial continuity; conventional/causal continuity; bodily restoration; projective identity.</w:t>
            </w:r>
            <w:r/>
          </w:p>
          <w:p>
            <w:pPr>
              <w:pStyle w:val="1296"/>
              <w:pBdr/>
              <w:spacing/>
              <w:ind/>
              <w:rPr/>
            </w:pPr>
            <w:r>
              <w:t xml:space="preserve">Relation types: STR (structural homology), FUN (functional analogy), INC (incompatibility).</w:t>
            </w:r>
            <w:r/>
          </w:p>
          <w:p>
            <w:pPr>
              <w:pStyle w:val="1296"/>
              <w:pBdr/>
              <w:spacing/>
              <w:ind/>
              <w:rPr/>
            </w:pPr>
            <w:r>
              <w:t xml:space="preserve">Essential disanalogies: Rebirth is not resurrection; soul survival is not identical to person survival; causal continuity is not substance continuity.</w:t>
            </w:r>
            <w:r/>
          </w:p>
          <w:p>
            <w:pPr>
              <w:pStyle w:val="1296"/>
              <w:pBdr/>
              <w:spacing/>
              <w:ind/>
              <w:rPr/>
            </w:pPr>
            <w:r>
              <w:t xml:space="preserve">Genealogy: Historical relations within </w:t>
            </w:r>
            <w:r>
              <w:t xml:space="preserve">Abrahamic philosophical traditions are investigated; comparisons elsewhere are not independent by default. Independence requires a scoped genealogy/contact assessment; otherwise retain the applicable unresolved, contact, dependence or not-applicable state.</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Evidence and review</w:t>
            </w:r>
            <w:r/>
          </w:p>
        </w:tc>
        <w:tc>
          <w:tcPr>
            <w:tcBorders/>
            <w:tcMar>
              <w:left w:w="70" w:type="dxa"/>
              <w:top w:w="60" w:type="dxa"/>
              <w:right w:w="70" w:type="dxa"/>
              <w:bottom w:w="60" w:type="dxa"/>
            </w:tcMar>
            <w:tcW w:w="7613" w:type="dxa"/>
            <w:vAlign w:val="top"/>
          </w:tcPr>
          <w:p>
            <w:pPr>
              <w:pStyle w:val="1296"/>
              <w:pBdr/>
              <w:spacing/>
              <w:ind/>
              <w:rPr/>
            </w:pPr>
            <w:r>
              <w:rPr>
                <w:b/>
              </w:rPr>
              <w:t xml:space="preserve">Research and evidence burden:</w:t>
            </w:r>
            <w:r>
              <w:t xml:space="preserve"> Text-specific eschatological evidence; avoid importing later doctrine into bounded figures.</w:t>
            </w:r>
            <w:r/>
          </w:p>
          <w:p>
            <w:pPr>
              <w:pStyle w:val="1296"/>
              <w:pBdr/>
              <w:spacing/>
              <w:ind/>
              <w:rPr/>
            </w:pPr>
            <w:r>
              <w:t xml:space="preserve">Canonical inputs and generated views: D6/D13 crosswalk and evidence locators.</w:t>
            </w:r>
            <w:r/>
          </w:p>
          <w:p>
            <w:pPr>
              <w:pStyle w:val="1296"/>
              <w:pBdr/>
              <w:spacing/>
              <w:ind/>
              <w:rPr/>
            </w:pPr>
            <w:r>
              <w:t xml:space="preserve">Required review: Arabic/Judeo-Arabic philosophical-theology specialist review where claims are translation/genealogy-sensitive</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Dependencies and local consequence</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RG-11 governs J</w:t>
            </w:r>
            <w:r>
              <w:t xml:space="preserve">aina sources, RG-15 Yogācāra and RG-22 Gregory. Exact Gregory resurrection identity and Avicennan postmortem identity require specialist review. The Avicennan psychology and Arabic-source review is a separate local MCPC obligation; RG-11 does not cover it.</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Planned outputs</w:t>
            </w:r>
            <w:r/>
          </w:p>
        </w:tc>
        <w:tc>
          <w:tcPr>
            <w:tcBorders/>
            <w:tcMar>
              <w:left w:w="70" w:type="dxa"/>
              <w:top w:w="60" w:type="dxa"/>
              <w:right w:w="70" w:type="dxa"/>
              <w:bottom w:w="60" w:type="dxa"/>
            </w:tcMar>
            <w:tcW w:w="7613" w:type="dxa"/>
            <w:vAlign w:val="top"/>
          </w:tcPr>
          <w:p>
            <w:pPr>
              <w:pStyle w:val="1296"/>
              <w:pBdr/>
              <w:spacing/>
              <w:ind/>
              <w:rPr/>
            </w:pPr>
            <w:r>
              <w:t xml:space="preserve">Figure 9. Continuity criteria across positions.</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Target narrative words</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11,000</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Chapter-specific completion tests</w:t>
            </w:r>
            <w:r/>
          </w:p>
        </w:tc>
        <w:tc>
          <w:tcPr>
            <w:tcBorders/>
            <w:tcMar>
              <w:left w:w="70" w:type="dxa"/>
              <w:top w:w="60" w:type="dxa"/>
              <w:right w:w="70" w:type="dxa"/>
              <w:bottom w:w="60" w:type="dxa"/>
            </w:tcMar>
            <w:tcW w:w="7613" w:type="dxa"/>
            <w:vAlign w:val="top"/>
          </w:tcPr>
          <w:p>
            <w:pPr>
              <w:pStyle w:val="1296"/>
              <w:pBdr/>
              <w:spacing/>
              <w:ind/>
              <w:rPr/>
            </w:pPr>
            <w:r>
              <w:t xml:space="preserve">The chapter distinguishes numerical, psychological, embodied, moral and postmortem continuity; resurrection, rebirth, soul survival and causal continuity are not conflated, and Gregory/Avicenna claims carry the required review.</w:t>
            </w:r>
            <w:r/>
          </w:p>
        </w:tc>
      </w:tr>
    </w:tbl>
    <w:p>
      <w:pPr>
        <w:pStyle w:val="1300"/>
        <w:pBdr/>
        <w:spacing/>
        <w:ind/>
        <w:rPr/>
      </w:pPr>
      <w:r/>
      <w:r/>
    </w:p>
    <w:p>
      <w:pPr>
        <w:pStyle w:val="1138"/>
        <w:keepNext w:val="true"/>
        <w:keepLines w:val="true"/>
        <w:pBdr/>
        <w:spacing/>
        <w:ind/>
        <w:rPr/>
      </w:pPr>
      <w:r>
        <w:t xml:space="preserve">9.1 Persistence is not one problem</w:t>
      </w:r>
      <w:r/>
    </w:p>
    <w:p>
      <w:pPr>
        <w:pBdr/>
        <w:spacing/>
        <w:ind/>
        <w:rPr/>
      </w:pPr>
      <w:r>
        <w:t xml:space="preserve">Separates numerical identity, psychological continuity, embodied continuity, moral accountability, and postmortem survival.</w:t>
      </w:r>
      <w:r/>
    </w:p>
    <w:p>
      <w:pPr>
        <w:pStyle w:val="1138"/>
        <w:keepNext w:val="true"/>
        <w:keepLines w:val="true"/>
        <w:pBdr/>
        <w:spacing/>
        <w:ind/>
        <w:rPr/>
      </w:pPr>
      <w:r>
        <w:t xml:space="preserve">9.2 Gregory: resurrection and restored embodiment</w:t>
      </w:r>
      <w:r/>
    </w:p>
    <w:p>
      <w:pPr>
        <w:pBdr/>
        <w:spacing/>
        <w:ind/>
        <w:rPr/>
      </w:pPr>
      <w:r>
        <w:t xml:space="preserve">Examine which features of Gregory’s account make restored embodiment the continuation of the person. Distinguish those identity criteria from a claim about the survival of a soul, and preserve the account’s treatment of embodiment.</w:t>
      </w:r>
      <w:r/>
    </w:p>
    <w:p>
      <w:pPr>
        <w:pStyle w:val="1138"/>
        <w:keepNext w:val="true"/>
        <w:keepLines w:val="true"/>
        <w:pBdr/>
        <w:spacing/>
        <w:ind/>
        <w:rPr/>
      </w:pPr>
      <w:r>
        <w:t xml:space="preserve">9.3 Jaina jīva and karmic continuity</w:t>
      </w:r>
      <w:r/>
    </w:p>
    <w:p>
      <w:pPr>
        <w:pBdr/>
        <w:spacing/>
        <w:ind/>
        <w:rPr/>
      </w:pPr>
      <w:r>
        <w:t xml:space="preserve">Presents enduring self plus changing karmic accretion.</w:t>
      </w:r>
      <w:r/>
    </w:p>
    <w:p>
      <w:pPr>
        <w:pStyle w:val="1138"/>
        <w:keepNext w:val="true"/>
        <w:keepLines w:val="true"/>
        <w:pBdr/>
        <w:spacing/>
        <w:ind/>
        <w:rPr/>
      </w:pPr>
      <w:r>
        <w:t xml:space="preserve">9.4 Yogācāra continuity without permanent self</w:t>
      </w:r>
      <w:r/>
    </w:p>
    <w:p>
      <w:pPr>
        <w:pBdr/>
        <w:spacing/>
        <w:ind/>
        <w:rPr/>
      </w:pPr>
      <w:r>
        <w:t xml:space="preserve">Shows how causal/mental continuity can function without ātman.</w:t>
      </w:r>
      <w:r/>
    </w:p>
    <w:p>
      <w:pPr>
        <w:pStyle w:val="1138"/>
        <w:keepNext w:val="true"/>
        <w:keepLines w:val="true"/>
        <w:pBdr/>
        <w:spacing/>
        <w:ind/>
        <w:rPr/>
      </w:pPr>
      <w:r>
        <w:t xml:space="preserve">9.5 Avicenna and the immaterial rational soul</w:t>
      </w:r>
      <w:r/>
    </w:p>
    <w:p>
      <w:pPr>
        <w:pBdr/>
        <w:spacing/>
        <w:ind/>
        <w:rPr/>
      </w:pPr>
      <w:r>
        <w:t xml:space="preserve">Ide</w:t>
      </w:r>
      <w:r>
        <w:t xml:space="preserve">ntify what the bounded Avicennan account treats as the continuing rational soul and what supports its continuity. Separate that claim from any further claim about personal identity, and compare the relevant criteria with the other accounts in this chapter.</w:t>
      </w:r>
      <w:r/>
    </w:p>
    <w:p>
      <w:pPr>
        <w:pStyle w:val="1138"/>
        <w:keepNext w:val="true"/>
        <w:keepLines w:val="true"/>
        <w:pBdr/>
        <w:spacing/>
        <w:ind/>
        <w:rPr/>
      </w:pPr>
      <w:r>
        <w:t xml:space="preserve">9.6 Hume and Sartre: persistence without metaphysical essence</w:t>
      </w:r>
      <w:r/>
    </w:p>
    <w:p>
      <w:pPr>
        <w:pBdr/>
        <w:spacing/>
        <w:ind/>
        <w:rPr/>
      </w:pPr>
      <w:r>
        <w:t xml:space="preserve">Contrasts bundle-like and projective accounts.</w:t>
      </w:r>
      <w:r/>
    </w:p>
    <w:p>
      <w:pPr>
        <w:pStyle w:val="1138"/>
        <w:keepNext w:val="true"/>
        <w:keepLines w:val="true"/>
        <w:pBdr/>
        <w:spacing/>
        <w:ind/>
        <w:rPr/>
      </w:pPr>
      <w:r>
        <w:t xml:space="preserve">9.7 Why 'what survives?' can be a malformed question</w:t>
      </w:r>
      <w:r/>
    </w:p>
    <w:p>
      <w:pPr>
        <w:pBdr/>
        <w:spacing/>
        <w:ind/>
        <w:rPr/>
      </w:pPr>
      <w:r>
        <w:t xml:space="preserve">Identifies positions for which the presupposed bearer is denied or reframed.</w:t>
      </w:r>
      <w:r/>
    </w:p>
    <w:p>
      <w:pPr>
        <w:pStyle w:val="1137"/>
        <w:keepNext w:val="true"/>
        <w:keepLines w:val="true"/>
        <w:pBdr/>
        <w:spacing/>
        <w:ind/>
        <w:rPr/>
      </w:pPr>
      <w:r/>
      <w:bookmarkStart w:id="149" w:name="CH_10"/>
      <w:r>
        <w:t xml:space="preserve">Chapter 10 — Who or What Can Be a Subject?</w:t>
      </w:r>
      <w:bookmarkEnd w:id="149"/>
      <w:r/>
      <w:r/>
    </w:p>
    <w:p>
      <w:pPr>
        <w:pStyle w:val="1184"/>
        <w:keepNext w:val="true"/>
        <w:keepLines w:val="true"/>
        <w:pBdr/>
        <w:spacing/>
        <w:ind/>
        <w:rPr/>
      </w:pPr>
      <w:r/>
      <w:bookmarkStart w:id="150" w:name="T_CH_10"/>
      <w:r>
        <w:t xml:space="preserve">Governing — Chapter 10 local brief</w:t>
      </w:r>
      <w:bookmarkEnd w:id="150"/>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2393"/>
        <w:gridCol w:w="7613"/>
      </w:tblGrid>
      <w:tr>
        <w:trPr>
          <w:cantSplit/>
          <w:tblHeader/>
        </w:trPr>
        <w:tc>
          <w:tcPr>
            <w:shd w:val="clear" w:color="auto" w:fill="1f5a73"/>
            <w:tcBorders/>
            <w:tcMar>
              <w:left w:w="70" w:type="dxa"/>
              <w:top w:w="60" w:type="dxa"/>
              <w:right w:w="70" w:type="dxa"/>
              <w:bottom w:w="60" w:type="dxa"/>
            </w:tcMar>
            <w:tcW w:w="2393" w:type="dxa"/>
            <w:vAlign w:val="top"/>
          </w:tcPr>
          <w:p>
            <w:pPr>
              <w:pStyle w:val="1298"/>
              <w:pBdr/>
              <w:spacing/>
              <w:ind/>
              <w:rPr/>
            </w:pPr>
            <w:r>
              <w:t xml:space="preserve">Field</w:t>
            </w:r>
            <w:r/>
          </w:p>
        </w:tc>
        <w:tc>
          <w:tcPr>
            <w:shd w:val="clear" w:color="auto" w:fill="1f5a73"/>
            <w:tcBorders/>
            <w:tcMar>
              <w:left w:w="70" w:type="dxa"/>
              <w:top w:w="60" w:type="dxa"/>
              <w:right w:w="70" w:type="dxa"/>
              <w:bottom w:w="60" w:type="dxa"/>
            </w:tcMar>
            <w:tcW w:w="7613" w:type="dxa"/>
            <w:vAlign w:val="top"/>
          </w:tcPr>
          <w:p>
            <w:pPr>
              <w:pStyle w:val="1298"/>
              <w:pBdr/>
              <w:spacing/>
              <w:ind/>
              <w:rPr/>
            </w:pPr>
            <w:r>
              <w:t xml:space="preserve">Chapter brief</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Purpose</w:t>
            </w:r>
            <w:r/>
          </w:p>
        </w:tc>
        <w:tc>
          <w:tcPr>
            <w:tcBorders/>
            <w:tcMar>
              <w:left w:w="70" w:type="dxa"/>
              <w:top w:w="60" w:type="dxa"/>
              <w:right w:w="70" w:type="dxa"/>
              <w:bottom w:w="60" w:type="dxa"/>
            </w:tcMar>
            <w:tcW w:w="7613" w:type="dxa"/>
            <w:vAlign w:val="top"/>
          </w:tcPr>
          <w:p>
            <w:pPr>
              <w:pStyle w:val="1296"/>
              <w:pBdr/>
              <w:spacing/>
              <w:ind/>
              <w:rPr/>
            </w:pPr>
            <w:r>
              <w:t xml:space="preserve">Examine how personhood, interiority, and agency are distributed beyond the modern individual human.</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Central question</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Who counts as a bearer of interiority, agency, moral standing, or personhood?</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Intellectual payoff</w:t>
            </w:r>
            <w:r/>
          </w:p>
        </w:tc>
        <w:tc>
          <w:tcPr>
            <w:tcBorders/>
            <w:tcMar>
              <w:left w:w="70" w:type="dxa"/>
              <w:top w:w="60" w:type="dxa"/>
              <w:right w:w="70" w:type="dxa"/>
              <w:bottom w:w="60" w:type="dxa"/>
            </w:tcMar>
            <w:tcW w:w="7613" w:type="dxa"/>
            <w:vAlign w:val="top"/>
          </w:tcPr>
          <w:p>
            <w:pPr>
              <w:pStyle w:val="1296"/>
              <w:pBdr/>
              <w:spacing/>
              <w:ind/>
              <w:rPr/>
            </w:pPr>
            <w:r>
              <w:t xml:space="preserve">Expands personhood comparison beyond human individualism while making representation risk explicit.</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Comparative scope</w:t>
            </w:r>
            <w:r/>
          </w:p>
        </w:tc>
        <w:tc>
          <w:tcPr>
            <w:shd w:val="clear" w:color="auto" w:fill="f7f9fa"/>
            <w:tcBorders/>
            <w:tcMar>
              <w:left w:w="70" w:type="dxa"/>
              <w:top w:w="60" w:type="dxa"/>
              <w:right w:w="70" w:type="dxa"/>
              <w:bottom w:w="60" w:type="dxa"/>
            </w:tcMar>
            <w:tcW w:w="7613" w:type="dxa"/>
            <w:vAlign w:val="top"/>
          </w:tcPr>
          <w:p>
            <w:pPr>
              <w:pStyle w:val="1296"/>
              <w:pBdr/>
              <w:spacing/>
              <w:ind/>
              <w:rPr/>
            </w:pPr>
            <w:r>
              <w:rPr>
                <w:b/>
              </w:rPr>
              <w:t xml:space="preserve">Core Positions:</w:t>
            </w:r>
            <w:r>
              <w:t xml:space="preserve"> source-bounded Ifá where evidence permits; Jaina; Zhu Xi as counterpoint</w:t>
            </w:r>
            <w:r/>
          </w:p>
          <w:p>
            <w:pPr>
              <w:pStyle w:val="1296"/>
              <w:pBdr/>
              <w:spacing/>
              <w:ind/>
              <w:rPr/>
            </w:pPr>
            <w:r>
              <w:t xml:space="preserve">Comparators and counterexamples: Akan modern debate; Leibniz; Whitehead; Māori and Achuar as held boundary cases</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Domains and concepts</w:t>
            </w:r>
            <w:r/>
          </w:p>
        </w:tc>
        <w:tc>
          <w:tcPr>
            <w:tcBorders/>
            <w:tcMar>
              <w:left w:w="70" w:type="dxa"/>
              <w:top w:w="60" w:type="dxa"/>
              <w:right w:w="70" w:type="dxa"/>
              <w:bottom w:w="60" w:type="dxa"/>
            </w:tcMar>
            <w:tcW w:w="7613" w:type="dxa"/>
            <w:vAlign w:val="top"/>
          </w:tcPr>
          <w:p>
            <w:pPr>
              <w:pStyle w:val="1296"/>
              <w:pBdr/>
              <w:spacing/>
              <w:ind/>
              <w:rPr/>
            </w:pPr>
            <w:r>
              <w:rPr>
                <w:b/>
              </w:rPr>
              <w:t xml:space="preserve">Primary domains:</w:t>
            </w:r>
            <w:r>
              <w:t xml:space="preserve"> D3 (World-partitioning, materiality &amp; human/nonhuman relations) D6 (Self, personhood &amp; identity) D8 (Axiology, meaning &amp; value) D11 (Agency, freedom &amp; constraint) D15 (World relation &amp; normative orientation).</w:t>
            </w:r>
            <w:r/>
          </w:p>
          <w:p>
            <w:pPr>
              <w:pStyle w:val="1296"/>
              <w:pBdr/>
              <w:spacing/>
              <w:ind/>
              <w:rPr/>
            </w:pPr>
            <w:r>
              <w:t xml:space="preserve">Key concepts: personhood; sunsum/okra as relevant and carefully sourced; jīva; monad; prehension; whakapapa.</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Comparison burden</w:t>
            </w:r>
            <w:r/>
          </w:p>
        </w:tc>
        <w:tc>
          <w:tcPr>
            <w:shd w:val="clear" w:color="auto" w:fill="f7f9fa"/>
            <w:tcBorders/>
            <w:tcMar>
              <w:left w:w="70" w:type="dxa"/>
              <w:top w:w="60" w:type="dxa"/>
              <w:right w:w="70" w:type="dxa"/>
              <w:bottom w:w="60" w:type="dxa"/>
            </w:tcMar>
            <w:tcW w:w="7613" w:type="dxa"/>
            <w:vAlign w:val="top"/>
          </w:tcPr>
          <w:p>
            <w:pPr>
              <w:pStyle w:val="1296"/>
              <w:pBdr/>
              <w:spacing/>
              <w:ind/>
              <w:rPr/>
            </w:pPr>
            <w:r>
              <w:rPr>
                <w:b/>
              </w:rPr>
              <w:t xml:space="preserve">Principal comparisons and relations:</w:t>
            </w:r>
            <w:r>
              <w:t xml:space="preserve"> Normative vs metaphysical personhood; distributed sentience/interiority; relational status.</w:t>
            </w:r>
            <w:r/>
          </w:p>
          <w:p>
            <w:pPr>
              <w:pStyle w:val="1296"/>
              <w:pBdr/>
              <w:spacing/>
              <w:ind/>
              <w:rPr/>
            </w:pPr>
            <w:r>
              <w:t xml:space="preserve">Relation types: SEM (semantic overlap), STR (structural homology), FUN (functional analogy), MIS (category mismatch).</w:t>
            </w:r>
            <w:r/>
          </w:p>
          <w:p>
            <w:pPr>
              <w:pStyle w:val="1296"/>
              <w:pBdr/>
              <w:spacing/>
              <w:ind/>
              <w:rPr/>
            </w:pPr>
            <w:r>
              <w:t xml:space="preserve">Essential disanalogies: Social personhood is not panpsychism; distributed interiority is not universal moral equivalence; local relational ontologies cannot be generalized from mediated accounts.</w:t>
            </w:r>
            <w:r/>
          </w:p>
          <w:p>
            <w:pPr>
              <w:pStyle w:val="1296"/>
              <w:pBdr/>
              <w:spacing/>
              <w:ind/>
              <w:rPr/>
            </w:pPr>
            <w:r>
              <w:t xml:space="preserve">Genealogy: Modern philosophical rec</w:t>
            </w:r>
            <w:r>
              <w:t xml:space="preserve">onstruction has its own intellectual history. Each cross-cultural comparison requires a scoped genealogy/contact assessment before historical independence is asserted; otherwise retain the applicable contact, dependence, unresolved or not-applicable state.</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Evidence and review</w:t>
            </w:r>
            <w:r/>
          </w:p>
        </w:tc>
        <w:tc>
          <w:tcPr>
            <w:tcBorders/>
            <w:tcMar>
              <w:left w:w="70" w:type="dxa"/>
              <w:top w:w="60" w:type="dxa"/>
              <w:right w:w="70" w:type="dxa"/>
              <w:bottom w:w="60" w:type="dxa"/>
            </w:tcMar>
            <w:tcW w:w="7613" w:type="dxa"/>
            <w:vAlign w:val="top"/>
          </w:tcPr>
          <w:p>
            <w:pPr>
              <w:pStyle w:val="1296"/>
              <w:pBdr/>
              <w:spacing/>
              <w:ind/>
              <w:rPr/>
            </w:pPr>
            <w:r>
              <w:rPr>
                <w:b/>
              </w:rPr>
              <w:t xml:space="preserve">Research and evidence burden:</w:t>
            </w:r>
            <w:r>
              <w:t xml:space="preserve"> High representation and source-community burden for local/Indigenous cases; specialist African philosophy review.</w:t>
            </w:r>
            <w:r/>
          </w:p>
          <w:p>
            <w:pPr>
              <w:pStyle w:val="1296"/>
              <w:pBdr/>
              <w:spacing/>
              <w:ind/>
              <w:rPr/>
            </w:pPr>
            <w:r>
              <w:t xml:space="preserve">Canonical inputs and generated views: Held records may exist digitally as research-only, clearly non-release.</w:t>
            </w:r>
            <w:r/>
          </w:p>
          <w:p>
            <w:pPr>
              <w:pStyle w:val="1296"/>
              <w:pBdr/>
              <w:spacing/>
              <w:ind/>
              <w:rPr/>
            </w:pPr>
            <w:r>
              <w:t xml:space="preserve">Required review: Applicable source-community/governance and provenance review</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Dependencies and local consequence</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RG-01, RG-02, RG-03, RG-04, RG-16. Māori and Achuar remain HOLD; Ifá depends on G4/G5; Akan discussion must foreground Wiredu/Gyekye disagreement rather than 'Akan belief.'</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Planned outputs</w:t>
            </w:r>
            <w:r/>
          </w:p>
        </w:tc>
        <w:tc>
          <w:tcPr>
            <w:tcBorders/>
            <w:tcMar>
              <w:left w:w="70" w:type="dxa"/>
              <w:top w:w="60" w:type="dxa"/>
              <w:right w:w="70" w:type="dxa"/>
              <w:bottom w:w="60" w:type="dxa"/>
            </w:tcMar>
            <w:tcW w:w="7613" w:type="dxa"/>
            <w:vAlign w:val="top"/>
          </w:tcPr>
          <w:p>
            <w:pPr>
              <w:pStyle w:val="1296"/>
              <w:pBdr/>
              <w:spacing/>
              <w:ind/>
              <w:rPr/>
            </w:pPr>
            <w:r>
              <w:t xml:space="preserve">Figure 10. Four dimensions of subjecthood/personhood.</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Target narrative words</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12,000</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Chapter-specific completion tests</w:t>
            </w:r>
            <w:r/>
          </w:p>
        </w:tc>
        <w:tc>
          <w:tcPr>
            <w:tcBorders/>
            <w:tcMar>
              <w:left w:w="70" w:type="dxa"/>
              <w:top w:w="60" w:type="dxa"/>
              <w:right w:w="70" w:type="dxa"/>
              <w:bottom w:w="60" w:type="dxa"/>
            </w:tcMar>
            <w:tcW w:w="7613" w:type="dxa"/>
            <w:vAlign w:val="top"/>
          </w:tcPr>
          <w:p>
            <w:pPr>
              <w:pStyle w:val="1296"/>
              <w:pBdr/>
              <w:spacing/>
              <w:ind/>
              <w:rPr/>
            </w:pPr>
            <w:r>
              <w:t xml:space="preserve">Personhood, interiority, agency and moral standing remain distinct dimensions; the Akan material is presented as a bounded dispute, Ifá remains dependency-bounded, and Achuar/Māori remain HOLD-FUTURE.</w:t>
            </w:r>
            <w:r/>
          </w:p>
        </w:tc>
      </w:tr>
    </w:tbl>
    <w:p>
      <w:pPr>
        <w:pStyle w:val="1300"/>
        <w:pBdr/>
        <w:spacing/>
        <w:ind/>
        <w:rPr/>
      </w:pPr>
      <w:r/>
      <w:r/>
    </w:p>
    <w:p>
      <w:pPr>
        <w:pStyle w:val="1138"/>
        <w:keepNext w:val="true"/>
        <w:keepLines w:val="true"/>
        <w:pBdr/>
        <w:spacing/>
        <w:ind/>
        <w:rPr/>
      </w:pPr>
      <w:r>
        <w:t xml:space="preserve">10.1 Personhood, interiority, agency, moral standing: four different distributions</w:t>
      </w:r>
      <w:r/>
    </w:p>
    <w:p>
      <w:pPr>
        <w:pBdr/>
        <w:spacing/>
        <w:ind/>
        <w:rPr/>
      </w:pPr>
      <w:r>
        <w:t xml:space="preserve">Track separately which beings are attributed personhood, interiority, agency and moral standing. Compare where these distributions coincide and where they diverge; an attribution in one dimension does not settle the others.</w:t>
      </w:r>
      <w:r/>
    </w:p>
    <w:p>
      <w:pPr>
        <w:pStyle w:val="1138"/>
        <w:keepNext w:val="true"/>
        <w:keepLines w:val="true"/>
        <w:pBdr/>
        <w:spacing/>
        <w:ind/>
        <w:rPr/>
      </w:pPr>
      <w:r>
        <w:t xml:space="preserve">10.2 Akan personhood as a modern philosophical dispute</w:t>
      </w:r>
      <w:r/>
    </w:p>
    <w:p>
      <w:pPr>
        <w:pBdr/>
        <w:spacing/>
        <w:ind/>
        <w:rPr/>
      </w:pPr>
      <w:r>
        <w:t xml:space="preserve">Uses Wiredu/Gyekye and related scholarship to make internal disagreement part of the data.</w:t>
      </w:r>
      <w:r/>
    </w:p>
    <w:p>
      <w:pPr>
        <w:pStyle w:val="1138"/>
        <w:keepNext w:val="true"/>
        <w:keepLines w:val="true"/>
        <w:pBdr/>
        <w:spacing/>
        <w:ind/>
        <w:rPr/>
      </w:pPr>
      <w:r>
        <w:t xml:space="preserve">10.3 Jaina jīvas and a densely populated moral cosmos</w:t>
      </w:r>
      <w:r/>
    </w:p>
    <w:p>
      <w:pPr>
        <w:pBdr/>
        <w:spacing/>
        <w:ind/>
        <w:rPr/>
      </w:pPr>
      <w:r>
        <w:t xml:space="preserve">Examine the source-grounded links between the plurality of jīvas and ethical orientation. Identify the claims that connect them rather than deriving moral standing or normative orientation from ontological plurality alone.</w:t>
      </w:r>
      <w:r/>
    </w:p>
    <w:p>
      <w:pPr>
        <w:pStyle w:val="1138"/>
        <w:keepNext w:val="true"/>
        <w:keepLines w:val="true"/>
        <w:pBdr/>
        <w:spacing/>
        <w:ind/>
        <w:rPr/>
      </w:pPr>
      <w:r>
        <w:t xml:space="preserve">10.4 Leibniz and Whitehead: distributed perception in philosophical systems</w:t>
      </w:r>
      <w:r/>
    </w:p>
    <w:p>
      <w:pPr>
        <w:pBdr/>
        <w:spacing/>
        <w:ind/>
        <w:rPr/>
      </w:pPr>
      <w:r>
        <w:t xml:space="preserve">Compare how Leibniz and</w:t>
      </w:r>
      <w:r>
        <w:t xml:space="preserve"> Whitehead distribute perception or prehension within their philosophical systems. Identify the relevant units and their relation to personhood, retaining the differences between the accounts and their limits as comparators for local relational ontologies.</w:t>
      </w:r>
      <w:r/>
    </w:p>
    <w:p>
      <w:pPr>
        <w:pStyle w:val="1138"/>
        <w:keepNext w:val="true"/>
        <w:keepLines w:val="true"/>
        <w:pBdr/>
        <w:spacing/>
        <w:ind/>
        <w:rPr/>
      </w:pPr>
      <w:r>
        <w:t xml:space="preserve">10.5 Ifá and distributed agency, conditionally</w:t>
      </w:r>
      <w:r/>
    </w:p>
    <w:p>
      <w:pPr>
        <w:pBdr/>
        <w:spacing/>
        <w:ind/>
        <w:rPr/>
      </w:pPr>
      <w:r>
        <w:t xml:space="preserve">Examine how the bounded Ifá evidence attributes agency and whether it connects agency to interiority, personhood or moral standing. Record only the links the evidence supports.</w:t>
      </w:r>
      <w:r/>
    </w:p>
    <w:p>
      <w:pPr>
        <w:pBdr/>
        <w:spacing/>
        <w:ind/>
        <w:rPr/>
      </w:pPr>
      <w:r>
        <w:t xml:space="preserve">Incl</w:t>
      </w:r>
      <w:r>
        <w:t xml:space="preserve">uded only to the extent the source-bounded record and community/provenance gates support release. Each retained unit must also satisfy the evidence, rights, review and authorization conditions in §§8 and 12; project capability does not clear the treatment.</w:t>
      </w:r>
      <w:r/>
    </w:p>
    <w:p>
      <w:pPr>
        <w:pStyle w:val="1138"/>
        <w:keepNext w:val="true"/>
        <w:keepLines w:val="true"/>
        <w:pBdr/>
        <w:spacing/>
        <w:ind/>
        <w:rPr/>
      </w:pPr>
      <w:r>
        <w:t xml:space="preserve">10.6 Held comparisons: Achuar and Māori relational ontologies</w:t>
      </w:r>
      <w:r/>
    </w:p>
    <w:p>
      <w:pPr>
        <w:pBdr/>
        <w:spacing/>
        <w:ind/>
        <w:rPr/>
      </w:pPr>
      <w:r>
        <w:t xml:space="preserve">Explains what these cases could change, why they are intellectually important, and why the present book </w:t>
      </w:r>
      <w:r>
        <w:t xml:space="preserve">cannot treat them as settled evidence. Only eligible and authorized limitation discussion may appear publicly; held source material is not released through a box, note or digital pointer. Their HOLD-FUTURE roles and promotion requirements remain unchanged.</w:t>
      </w:r>
      <w:r/>
    </w:p>
    <w:p>
      <w:pPr>
        <w:pStyle w:val="1138"/>
        <w:keepNext w:val="true"/>
        <w:keepLines w:val="true"/>
        <w:pBdr/>
        <w:spacing/>
        <w:ind/>
        <w:rPr/>
      </w:pPr>
      <w:r>
        <w:t xml:space="preserve">10.7 The category challenge: when 'subject' is the wrong noun</w:t>
      </w:r>
      <w:r/>
    </w:p>
    <w:p>
      <w:pPr>
        <w:pBdr/>
        <w:spacing/>
        <w:ind/>
        <w:rPr/>
      </w:pPr>
      <w:r>
        <w:t xml:space="preserve">Leaves room for relational/process accounts that do not map cleanly onto bearer-property grammar.</w:t>
      </w:r>
      <w:r/>
    </w:p>
    <w:p>
      <w:pPr>
        <w:pStyle w:val="1136"/>
        <w:keepNext w:val="true"/>
        <w:keepLines w:val="true"/>
        <w:pBdr/>
        <w:spacing/>
        <w:ind/>
        <w:rPr/>
      </w:pPr>
      <w:r/>
      <w:bookmarkStart w:id="151" w:name="PUB_PART_11"/>
      <w:r>
        <w:t xml:space="preserve">Publication Part IV — Knowing, Error, Transformation</w:t>
      </w:r>
      <w:bookmarkEnd w:id="151"/>
      <w:r/>
      <w:r/>
    </w:p>
    <w:p>
      <w:pPr>
        <w:pStyle w:val="1300"/>
        <w:keepNext w:val="true"/>
        <w:pBdr/>
        <w:spacing/>
        <w:ind/>
        <w:rPr/>
      </w:pPr>
      <w:r>
        <w:t xml:space="preserve">Volume II — Agency, Transformation, Ends</w:t>
      </w:r>
      <w:r/>
    </w:p>
    <w:p>
      <w:pPr>
        <w:pStyle w:val="1137"/>
        <w:keepNext w:val="true"/>
        <w:keepLines w:val="true"/>
        <w:pBdr/>
        <w:spacing/>
        <w:ind/>
        <w:rPr/>
      </w:pPr>
      <w:r/>
      <w:bookmarkStart w:id="152" w:name="CH_11"/>
      <w:r>
        <w:t xml:space="preserve">Chapter 11 — What Counts as Knowing?</w:t>
      </w:r>
      <w:bookmarkEnd w:id="152"/>
      <w:r/>
      <w:r/>
    </w:p>
    <w:p>
      <w:pPr>
        <w:pStyle w:val="1184"/>
        <w:keepNext w:val="true"/>
        <w:keepLines w:val="true"/>
        <w:pBdr/>
        <w:spacing/>
        <w:ind/>
        <w:rPr/>
      </w:pPr>
      <w:r/>
      <w:bookmarkStart w:id="153" w:name="T_CH_11"/>
      <w:r>
        <w:t xml:space="preserve">Governing — Chapter 11 local brief</w:t>
      </w:r>
      <w:bookmarkEnd w:id="153"/>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2393"/>
        <w:gridCol w:w="7613"/>
      </w:tblGrid>
      <w:tr>
        <w:trPr>
          <w:cantSplit/>
          <w:tblHeader/>
        </w:trPr>
        <w:tc>
          <w:tcPr>
            <w:shd w:val="clear" w:color="auto" w:fill="1f5a73"/>
            <w:tcBorders/>
            <w:tcMar>
              <w:left w:w="70" w:type="dxa"/>
              <w:top w:w="60" w:type="dxa"/>
              <w:right w:w="70" w:type="dxa"/>
              <w:bottom w:w="60" w:type="dxa"/>
            </w:tcMar>
            <w:tcW w:w="2393" w:type="dxa"/>
            <w:vAlign w:val="top"/>
          </w:tcPr>
          <w:p>
            <w:pPr>
              <w:pStyle w:val="1298"/>
              <w:pBdr/>
              <w:spacing/>
              <w:ind/>
              <w:rPr/>
            </w:pPr>
            <w:r>
              <w:t xml:space="preserve">Field</w:t>
            </w:r>
            <w:r/>
          </w:p>
        </w:tc>
        <w:tc>
          <w:tcPr>
            <w:shd w:val="clear" w:color="auto" w:fill="1f5a73"/>
            <w:tcBorders/>
            <w:tcMar>
              <w:left w:w="70" w:type="dxa"/>
              <w:top w:w="60" w:type="dxa"/>
              <w:right w:w="70" w:type="dxa"/>
              <w:bottom w:w="60" w:type="dxa"/>
            </w:tcMar>
            <w:tcW w:w="7613" w:type="dxa"/>
            <w:vAlign w:val="top"/>
          </w:tcPr>
          <w:p>
            <w:pPr>
              <w:pStyle w:val="1298"/>
              <w:pBdr/>
              <w:spacing/>
              <w:ind/>
              <w:rPr/>
            </w:pPr>
            <w:r>
              <w:t xml:space="preserve">Chapter brief</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Purpose</w:t>
            </w:r>
            <w:r/>
          </w:p>
        </w:tc>
        <w:tc>
          <w:tcPr>
            <w:tcBorders/>
            <w:tcMar>
              <w:left w:w="70" w:type="dxa"/>
              <w:top w:w="60" w:type="dxa"/>
              <w:right w:w="70" w:type="dxa"/>
              <w:bottom w:w="60" w:type="dxa"/>
            </w:tcMar>
            <w:tcW w:w="7613" w:type="dxa"/>
            <w:vAlign w:val="top"/>
          </w:tcPr>
          <w:p>
            <w:pPr>
              <w:pStyle w:val="1296"/>
              <w:pBdr/>
              <w:spacing/>
              <w:ind/>
              <w:rPr/>
            </w:pPr>
            <w:r>
              <w:t xml:space="preserve">Compare inferential, revelatory, contemplative, textual, divi</w:t>
            </w:r>
            <w:r>
              <w:t xml:space="preserve">natory and practical forms of authority together with the capacities, dispositions, relations, practices or transformations each Position claims as conditions of epistemic access, without reducing them to one epistemic scale or presuming a distinct knower.</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Central question</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What can authorize a claim about reality, self, value or action, and what, if anything, must be true of the epistemic situation, practice, relation or a source-recognized knower or subject for that authority to operate?</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Intellectual payoff</w:t>
            </w:r>
            <w:r/>
          </w:p>
        </w:tc>
        <w:tc>
          <w:tcPr>
            <w:tcBorders/>
            <w:tcMar>
              <w:left w:w="70" w:type="dxa"/>
              <w:top w:w="60" w:type="dxa"/>
              <w:right w:w="70" w:type="dxa"/>
              <w:bottom w:w="60" w:type="dxa"/>
            </w:tcMar>
            <w:tcW w:w="7613" w:type="dxa"/>
            <w:vAlign w:val="top"/>
          </w:tcPr>
          <w:p>
            <w:pPr>
              <w:pStyle w:val="1296"/>
              <w:pBdr/>
              <w:spacing/>
              <w:ind/>
              <w:rPr/>
            </w:pPr>
            <w:r>
              <w:t xml:space="preserve">Makes both epistemic authority and position-specific conditions of knowing comparable while keeping Atlas evidence distinct from each Position’s own warrant and keeping consciousness, subjecthood and access analytically separate.</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Comparative scope</w:t>
            </w:r>
            <w:r/>
          </w:p>
        </w:tc>
        <w:tc>
          <w:tcPr>
            <w:shd w:val="clear" w:color="auto" w:fill="f7f9fa"/>
            <w:tcBorders/>
            <w:tcMar>
              <w:left w:w="70" w:type="dxa"/>
              <w:top w:w="60" w:type="dxa"/>
              <w:right w:w="70" w:type="dxa"/>
              <w:bottom w:w="60" w:type="dxa"/>
            </w:tcMar>
            <w:tcW w:w="7613" w:type="dxa"/>
            <w:vAlign w:val="top"/>
          </w:tcPr>
          <w:p>
            <w:pPr>
              <w:pStyle w:val="1296"/>
              <w:pBdr/>
              <w:spacing/>
              <w:ind/>
              <w:rPr/>
            </w:pPr>
            <w:r>
              <w:rPr>
                <w:b/>
              </w:rPr>
              <w:t xml:space="preserve">Core Positions:</w:t>
            </w:r>
            <w:r>
              <w:t xml:space="preserve"> Nāgārjuna; Śaṅkara; Gregory; Maimonides; source-bounded Ifá (dependency-bounded treatment); Zhu Xi; Guru Nanak</w:t>
            </w:r>
            <w:r/>
          </w:p>
          <w:p>
            <w:pPr>
              <w:pStyle w:val="1296"/>
              <w:pBdr/>
              <w:spacing/>
              <w:ind/>
              <w:rPr/>
            </w:pPr>
            <w:r>
              <w:t xml:space="preserve">Comparators and counterexamples: None beyond the named core positions in the current chapter contract.</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Domains and concepts</w:t>
            </w:r>
            <w:r/>
          </w:p>
        </w:tc>
        <w:tc>
          <w:tcPr>
            <w:tcBorders/>
            <w:tcMar>
              <w:left w:w="70" w:type="dxa"/>
              <w:top w:w="60" w:type="dxa"/>
              <w:right w:w="70" w:type="dxa"/>
              <w:bottom w:w="60" w:type="dxa"/>
            </w:tcMar>
            <w:tcW w:w="7613" w:type="dxa"/>
            <w:vAlign w:val="top"/>
          </w:tcPr>
          <w:p>
            <w:pPr>
              <w:pStyle w:val="1296"/>
              <w:pBdr/>
              <w:spacing/>
              <w:ind/>
              <w:rPr/>
            </w:pPr>
            <w:r>
              <w:rPr>
                <w:b/>
              </w:rPr>
              <w:t xml:space="preserve">Primary domains:</w:t>
            </w:r>
            <w:r>
              <w:t xml:space="preserve"> D7 (Epistemology &amp; authority); linked D9 (Human condition &amp; diagnosis) and D12 (Praxis &amp; transformation), with D5/D6 used only where the Position itself makes mentality, awareness, self or subject-structure material.</w:t>
            </w:r>
            <w:r/>
          </w:p>
          <w:p>
            <w:pPr>
              <w:pStyle w:val="1296"/>
              <w:pBdr/>
              <w:spacing/>
              <w:ind/>
              <w:rPr/>
            </w:pPr>
            <w:r>
              <w:t xml:space="preserve">Key concepts: pramāṇa; śruti; revelation; divination; gewu; nām/gurbāṇī where relevant; conditions of epistemic access; knower/subject qualification where source-relevant.</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Comparison burden</w:t>
            </w:r>
            <w:r/>
          </w:p>
        </w:tc>
        <w:tc>
          <w:tcPr>
            <w:shd w:val="clear" w:color="auto" w:fill="f7f9fa"/>
            <w:tcBorders/>
            <w:tcMar>
              <w:left w:w="70" w:type="dxa"/>
              <w:top w:w="60" w:type="dxa"/>
              <w:right w:w="70" w:type="dxa"/>
              <w:bottom w:w="60" w:type="dxa"/>
            </w:tcMar>
            <w:tcW w:w="7613" w:type="dxa"/>
            <w:vAlign w:val="top"/>
          </w:tcPr>
          <w:p>
            <w:pPr>
              <w:pStyle w:val="1296"/>
              <w:pBdr/>
              <w:spacing/>
              <w:ind/>
              <w:rPr/>
            </w:pPr>
            <w:r>
              <w:rPr>
                <w:b/>
              </w:rPr>
              <w:t xml:space="preserve">Principal comparisons and relations:</w:t>
            </w:r>
            <w:r>
              <w:t xml:space="preserve"> reason/revelation; text/teacher; performance/divination; contemplative realization; investigation/cultivation; and claims that formation, purification, participation, grace or practice enables knowing.</w:t>
            </w:r>
            <w:r/>
          </w:p>
          <w:p>
            <w:pPr>
              <w:pStyle w:val="1296"/>
              <w:pBdr/>
              <w:spacing/>
              <w:ind/>
              <w:rPr/>
            </w:pPr>
            <w:r>
              <w:t xml:space="preserve">Relation types: EPI, FUN, STR and MIS; PH</w:t>
            </w:r>
            <w:r>
              <w:t xml:space="preserve">E only where independently evidenced. For each Position, distinguish the source or mode of authority, any claimed condition of epistemic access, any source-grounded diagnosis or limitation, and the minimal bridge statement about whether transformation is r</w:t>
            </w:r>
            <w:r>
              <w:t xml:space="preserve">equired, consequential, constitutive, denied, reframed or left open. Do not require all elements as positive claims, and use knower/subject language only where the Position supports it. These are reader-facing analytic questions, not new controlled values.</w:t>
            </w:r>
            <w:r/>
          </w:p>
          <w:p>
            <w:pPr>
              <w:pStyle w:val="1296"/>
              <w:pBdr/>
              <w:spacing/>
              <w:ind/>
              <w:rPr/>
            </w:pPr>
            <w:r>
              <w:t xml:space="preserve">Essential disanalogies: t</w:t>
            </w:r>
            <w:r>
              <w:t xml:space="preserve">he Atlas evidence standard is not identical to a Position’s internal authority structure; transformative or ritual efficacy is not automatic empirical confirmation; training or altered state does not independently establish the object of a knowledge claim.</w:t>
            </w:r>
            <w:r/>
          </w:p>
          <w:p>
            <w:pPr>
              <w:pStyle w:val="1296"/>
              <w:pBdr/>
              <w:spacing/>
              <w:ind/>
              <w:rPr/>
            </w:pPr>
            <w:r>
              <w:t xml:space="preserve">Genealogy: historical traditions handled internally; no global lineage inferred.</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Evidence and review</w:t>
            </w:r>
            <w:r/>
          </w:p>
        </w:tc>
        <w:tc>
          <w:tcPr>
            <w:tcBorders/>
            <w:tcMar>
              <w:left w:w="70" w:type="dxa"/>
              <w:top w:w="60" w:type="dxa"/>
              <w:right w:w="70" w:type="dxa"/>
              <w:bottom w:w="60" w:type="dxa"/>
            </w:tcMar>
            <w:tcW w:w="7613" w:type="dxa"/>
            <w:vAlign w:val="top"/>
          </w:tcPr>
          <w:p>
            <w:pPr>
              <w:pStyle w:val="1296"/>
              <w:pBdr/>
              <w:spacing/>
              <w:ind/>
              <w:rPr/>
            </w:pPr>
            <w:r>
              <w:rPr>
                <w:b/>
              </w:rPr>
              <w:t xml:space="preserve">Research and evidence burden:</w:t>
            </w:r>
            <w:r>
              <w:t xml:space="preserve"> Primary texts and source-commun</w:t>
            </w:r>
            <w:r>
              <w:t xml:space="preserve">ity evidence where oral/performed; strong source-fit distinction; exact support for any claimed access condition or qualification of knowing or a knower/subject; phenomenological, causal and efficacy claims require evidence appropriate to their claim type.</w:t>
            </w:r>
            <w:r/>
          </w:p>
          <w:p>
            <w:pPr>
              <w:pStyle w:val="1296"/>
              <w:pBdr/>
              <w:spacing/>
              <w:ind/>
              <w:rPr/>
            </w:pPr>
            <w:r>
              <w:t xml:space="preserve">Canonical inputs and generated views: EvidenceLink type and source-fit metadata plus relevant D5/D6/D7/D9/D12 Claims and QuestionResponses.</w:t>
            </w:r>
            <w:r/>
          </w:p>
          <w:p>
            <w:pPr>
              <w:pStyle w:val="1296"/>
              <w:pBdr/>
              <w:spacing/>
              <w:ind/>
              <w:rPr/>
            </w:pPr>
            <w:r>
              <w:t xml:space="preserve">Required review: Applicable source-community/governance and provenance review.</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Dependencies and local consequence</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RG-01, RG-02, RG-17. Ifá performance evidence remains blocking for release-level treatment; Guru Nanak epistemic terminology needs specialist review.</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Planned outputs</w:t>
            </w:r>
            <w:r/>
          </w:p>
        </w:tc>
        <w:tc>
          <w:tcPr>
            <w:tcBorders/>
            <w:tcMar>
              <w:left w:w="70" w:type="dxa"/>
              <w:top w:w="60" w:type="dxa"/>
              <w:right w:w="70" w:type="dxa"/>
              <w:bottom w:w="60" w:type="dxa"/>
            </w:tcMar>
            <w:tcW w:w="7613" w:type="dxa"/>
            <w:vAlign w:val="top"/>
          </w:tcPr>
          <w:p>
            <w:pPr>
              <w:pStyle w:val="1296"/>
              <w:pBdr/>
              <w:spacing/>
              <w:ind/>
              <w:rPr/>
            </w:pPr>
            <w:r>
              <w:t xml:space="preserve">Figure 11. Epistemic authority and access-condition architectures.</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Target narrative words</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12,000</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Chapter-specific completion tests</w:t>
            </w:r>
            <w:r/>
          </w:p>
        </w:tc>
        <w:tc>
          <w:tcPr>
            <w:tcBorders/>
            <w:tcMar>
              <w:left w:w="70" w:type="dxa"/>
              <w:top w:w="60" w:type="dxa"/>
              <w:right w:w="70" w:type="dxa"/>
              <w:bottom w:w="60" w:type="dxa"/>
            </w:tcMar>
            <w:tcW w:w="7613" w:type="dxa"/>
            <w:vAlign w:val="top"/>
          </w:tcPr>
          <w:p>
            <w:pPr>
              <w:pStyle w:val="1296"/>
              <w:pBdr/>
              <w:spacing/>
              <w:ind/>
              <w:rPr/>
            </w:pPr>
            <w:r>
              <w:t xml:space="preserve">Atlas evidence standards remain distinct from each Position’s emic authority structure; every retained case separates authority, access conditions, diagnosis and transformatio</w:t>
            </w:r>
            <w:r>
              <w:t xml:space="preserve">n claims; no D5 consciousness claim is treated as a D6 or D7 answer; no practice, training or transformed state is treated as automatic validation; Ifá divination is included only with RG-01/RG-02 evidence and Guru Nanak terminology remains source-bounded.</w:t>
            </w:r>
            <w:r/>
          </w:p>
        </w:tc>
      </w:tr>
    </w:tbl>
    <w:p>
      <w:pPr>
        <w:pStyle w:val="1300"/>
        <w:pBdr/>
        <w:spacing/>
        <w:ind/>
        <w:rPr/>
      </w:pPr>
      <w:r/>
      <w:r/>
    </w:p>
    <w:p>
      <w:pPr>
        <w:pStyle w:val="1138"/>
        <w:keepNext w:val="true"/>
        <w:keepLines w:val="true"/>
        <w:pBdr/>
        <w:spacing/>
        <w:ind/>
        <w:rPr/>
      </w:pPr>
      <w:r>
        <w:t xml:space="preserve">11.1 Two epistemologies—and conditions of knowing</w:t>
      </w:r>
      <w:r/>
    </w:p>
    <w:p>
      <w:pPr>
        <w:pBdr/>
        <w:spacing/>
        <w:ind/>
        <w:rPr/>
      </w:pPr>
      <w:r>
        <w:t xml:space="preserve">Separates th</w:t>
      </w:r>
      <w:r>
        <w:t xml:space="preserve">e Atlas’s warrant from the Position’s own account of warrant, then asks whether epistemic access requires training, purification, initiation, transformation, relational situation, embodiment, a source-recognized knower or subject, or no such bearer at all.</w:t>
      </w:r>
      <w:r/>
    </w:p>
    <w:p>
      <w:pPr>
        <w:pStyle w:val="1138"/>
        <w:keepNext w:val="true"/>
        <w:keepLines w:val="true"/>
        <w:pBdr/>
        <w:spacing/>
        <w:ind/>
        <w:rPr/>
      </w:pPr>
      <w:r>
        <w:t xml:space="preserve">11.2 Śaṅkara: scripture, teacher, reasoning, realization</w:t>
      </w:r>
      <w:r/>
    </w:p>
    <w:p>
      <w:pPr>
        <w:pBdr/>
        <w:spacing/>
        <w:ind/>
        <w:rPr/>
      </w:pPr>
      <w:r>
        <w:t xml:space="preserve">Shows an authority complex that cannot be reduced to textual proof and distinguishes scriptural authority, reasoning, teacher-mediated discipline and realization as separate access conditions.</w:t>
      </w:r>
      <w:r/>
    </w:p>
    <w:p>
      <w:pPr>
        <w:pStyle w:val="1138"/>
        <w:keepNext w:val="true"/>
        <w:keepLines w:val="true"/>
        <w:pBdr/>
        <w:spacing/>
        <w:ind/>
        <w:rPr/>
      </w:pPr>
      <w:r>
        <w:t xml:space="preserve">11.3 Nāgārjuna: argument that dismantles reification</w:t>
      </w:r>
      <w:r/>
    </w:p>
    <w:p>
      <w:pPr>
        <w:pBdr/>
        <w:spacing/>
        <w:ind/>
        <w:rPr/>
      </w:pPr>
      <w:r>
        <w:t xml:space="preserve">Examines reductive critique and the conventional/ultimate distinction while asking what argumentative and practical capacities the Position requires without turning the ultimate into a second object of knowledge.</w:t>
      </w:r>
      <w:r/>
    </w:p>
    <w:p>
      <w:pPr>
        <w:pStyle w:val="1138"/>
        <w:keepNext w:val="true"/>
        <w:keepLines w:val="true"/>
        <w:pBdr/>
        <w:spacing/>
        <w:ind/>
        <w:rPr/>
      </w:pPr>
      <w:r>
        <w:t xml:space="preserve">11.4 Gregory and Maimonides: revelation disciplined by philosophical reasoning</w:t>
      </w:r>
      <w:r/>
    </w:p>
    <w:p>
      <w:pPr>
        <w:pBdr/>
        <w:spacing/>
        <w:ind/>
        <w:rPr/>
      </w:pPr>
      <w:r>
        <w:t xml:space="preserve">Compares two scriptural-philosophical architectures and any source-grounded formation or qualification of knowing or a knower/subject while preserving doctrinal and historical differences.</w:t>
      </w:r>
      <w:r/>
    </w:p>
    <w:p>
      <w:pPr>
        <w:pStyle w:val="1138"/>
        <w:keepNext w:val="true"/>
        <w:keepLines w:val="true"/>
        <w:pBdr/>
        <w:spacing/>
        <w:ind/>
        <w:rPr/>
      </w:pPr>
      <w:r>
        <w:t xml:space="preserve">11.5 Zhu Xi: investigation and cultivated discernment</w:t>
      </w:r>
      <w:r/>
    </w:p>
    <w:p>
      <w:pPr>
        <w:pBdr/>
        <w:spacing/>
        <w:ind/>
        <w:rPr/>
      </w:pPr>
      <w:r>
        <w:t xml:space="preserve">Connects investigation and cultivated discernment without treating cultivation as independent proof.</w:t>
      </w:r>
      <w:r/>
    </w:p>
    <w:p>
      <w:pPr>
        <w:pStyle w:val="1138"/>
        <w:keepNext w:val="true"/>
        <w:keepLines w:val="true"/>
        <w:pBdr/>
        <w:spacing/>
        <w:ind/>
        <w:rPr/>
      </w:pPr>
      <w:r>
        <w:t xml:space="preserve">11.6 Ifá: divination as performed knowledge, conditionally</w:t>
      </w:r>
      <w:r/>
    </w:p>
    <w:p>
      <w:pPr>
        <w:pBdr/>
        <w:spacing/>
        <w:ind/>
        <w:rPr/>
      </w:pPr>
      <w:r>
        <w:t xml:space="preserve">Requires release-grade provenance and </w:t>
      </w:r>
      <w:r>
        <w:t xml:space="preserve">distinguishes performed authority, participant competence and claimed efficacy. The selected units require applicable project gates, unit-level evidence, governance, rights, review and authorization under §§8 and 12; format does not waive these conditions.</w:t>
      </w:r>
      <w:r/>
    </w:p>
    <w:p>
      <w:pPr>
        <w:pStyle w:val="1138"/>
        <w:keepNext w:val="true"/>
        <w:keepLines w:val="true"/>
        <w:pBdr/>
        <w:spacing/>
        <w:ind/>
        <w:rPr/>
      </w:pPr>
      <w:r>
        <w:t xml:space="preserve">11.7 Guru Nanak: revealed-sung word, remembrance, and understanding</w:t>
      </w:r>
      <w:r/>
    </w:p>
    <w:p>
      <w:pPr>
        <w:pBdr/>
        <w:spacing/>
        <w:ind/>
        <w:rPr/>
      </w:pPr>
      <w:r>
        <w:t xml:space="preserve">Adds a scriptural/performed tradition in which remembrance and understanding are related without equating it with divination.</w:t>
      </w:r>
      <w:r/>
    </w:p>
    <w:p>
      <w:pPr>
        <w:pStyle w:val="1138"/>
        <w:keepNext w:val="true"/>
        <w:keepLines w:val="true"/>
        <w:pBdr/>
        <w:spacing/>
        <w:ind/>
        <w:rPr/>
      </w:pPr>
      <w:r>
        <w:t xml:space="preserve">11.8 No universal ladder of knowledge</w:t>
      </w:r>
      <w:r/>
    </w:p>
    <w:p>
      <w:pPr>
        <w:pBdr/>
        <w:spacing/>
        <w:ind/>
        <w:rPr/>
      </w:pPr>
      <w:r>
        <w:t xml:space="preserve">Compare the source-grounded forms of authority and conditions of access establ</w:t>
      </w:r>
      <w:r>
        <w:t xml:space="preserve">ished in §§11.2–11.7. Identify any supported morphology and retain cases that remain uncoupled, open or resistant to the comparison. Do not impose a single emic ranking or a universal epistemic subject, or infer a model of knowing from consciousness alone.</w:t>
      </w:r>
      <w:r/>
    </w:p>
    <w:p>
      <w:pPr>
        <w:pStyle w:val="1184"/>
        <w:keepNext w:val="true"/>
        <w:keepLines w:val="true"/>
        <w:pBdr/>
        <w:spacing/>
        <w:ind/>
        <w:rPr/>
      </w:pPr>
      <w:r>
        <w:t xml:space="preserve">Mandatory drafting test for §§11.2–11.7</w:t>
      </w:r>
      <w:r/>
    </w:p>
    <w:p>
      <w:pPr>
        <w:pStyle w:val="1165"/>
        <w:pBdr/>
        <w:spacing/>
        <w:ind/>
        <w:rPr/>
      </w:pPr>
      <w:r>
        <w:t xml:space="preserve">Each subsection must contain a compact, source-grounded statement identifying, where source-relevant: authority; access condition; limitation or diagnosis; any knower/subject qualification; and the minimal relation to transformation.</w:t>
      </w:r>
      <w:r/>
    </w:p>
    <w:p>
      <w:pPr>
        <w:pStyle w:val="1165"/>
        <w:pBdr/>
        <w:spacing/>
        <w:ind/>
        <w:rPr/>
      </w:pPr>
      <w:r>
        <w:t xml:space="preserve">When a Position does not make one of these elements salient, preserve NSA, UND, REF, CAT or another applicable governed state rather than filling the gap from wider tradition or editorial assumption.</w:t>
      </w:r>
      <w:r/>
    </w:p>
    <w:p>
      <w:pPr>
        <w:pStyle w:val="1165"/>
        <w:pBdr/>
        <w:spacing/>
        <w:ind/>
        <w:rPr/>
      </w:pPr>
      <w:r>
        <w:t xml:space="preserve">The subsection must not imply that transformation, intensity, sincerity or altered experience validates the metaphysical object of the claim.</w:t>
      </w:r>
      <w:r/>
    </w:p>
    <w:p>
      <w:pPr>
        <w:pStyle w:val="1165"/>
        <w:pBdr/>
        <w:spacing/>
        <w:ind/>
        <w:rPr/>
      </w:pPr>
      <w:r>
        <w:t xml:space="preserve">Chapter 11 stops at the minimum bridge statement needed to establish authority and access. It does not perform the substantive directionality comparison assigned to Chapter 13.</w:t>
      </w:r>
      <w:r/>
    </w:p>
    <w:p>
      <w:pPr>
        <w:pStyle w:val="1137"/>
        <w:keepNext w:val="true"/>
        <w:keepLines w:val="true"/>
        <w:pBdr/>
        <w:spacing/>
        <w:ind/>
        <w:rPr/>
      </w:pPr>
      <w:r/>
      <w:bookmarkStart w:id="154" w:name="CH_12"/>
      <w:r>
        <w:t xml:space="preserve">Chapter 12 — What Goes Wrong with Us?</w:t>
      </w:r>
      <w:bookmarkEnd w:id="154"/>
      <w:r/>
      <w:r/>
    </w:p>
    <w:p>
      <w:pPr>
        <w:pStyle w:val="1184"/>
        <w:keepNext w:val="true"/>
        <w:keepLines w:val="true"/>
        <w:pBdr/>
        <w:spacing/>
        <w:ind/>
        <w:rPr/>
      </w:pPr>
      <w:r/>
      <w:bookmarkStart w:id="155" w:name="T_CH_12"/>
      <w:r>
        <w:t xml:space="preserve">Governing — Chapter 12 local brief</w:t>
      </w:r>
      <w:bookmarkEnd w:id="155"/>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2393"/>
        <w:gridCol w:w="7613"/>
      </w:tblGrid>
      <w:tr>
        <w:trPr>
          <w:cantSplit/>
          <w:tblHeader/>
        </w:trPr>
        <w:tc>
          <w:tcPr>
            <w:shd w:val="clear" w:color="auto" w:fill="1f5a73"/>
            <w:tcBorders/>
            <w:tcMar>
              <w:left w:w="70" w:type="dxa"/>
              <w:top w:w="60" w:type="dxa"/>
              <w:right w:w="70" w:type="dxa"/>
              <w:bottom w:w="60" w:type="dxa"/>
            </w:tcMar>
            <w:tcW w:w="2393" w:type="dxa"/>
            <w:vAlign w:val="top"/>
          </w:tcPr>
          <w:p>
            <w:pPr>
              <w:pStyle w:val="1298"/>
              <w:pBdr/>
              <w:spacing/>
              <w:ind/>
              <w:rPr/>
            </w:pPr>
            <w:r>
              <w:t xml:space="preserve">Field</w:t>
            </w:r>
            <w:r/>
          </w:p>
        </w:tc>
        <w:tc>
          <w:tcPr>
            <w:shd w:val="clear" w:color="auto" w:fill="1f5a73"/>
            <w:tcBorders/>
            <w:tcMar>
              <w:left w:w="70" w:type="dxa"/>
              <w:top w:w="60" w:type="dxa"/>
              <w:right w:w="70" w:type="dxa"/>
              <w:bottom w:w="60" w:type="dxa"/>
            </w:tcMar>
            <w:tcW w:w="7613" w:type="dxa"/>
            <w:vAlign w:val="top"/>
          </w:tcPr>
          <w:p>
            <w:pPr>
              <w:pStyle w:val="1298"/>
              <w:pBdr/>
              <w:spacing/>
              <w:ind/>
              <w:rPr/>
            </w:pPr>
            <w:r>
              <w:t xml:space="preserve">Chapter brief</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Purpose</w:t>
            </w:r>
            <w:r/>
          </w:p>
        </w:tc>
        <w:tc>
          <w:tcPr>
            <w:tcBorders/>
            <w:tcMar>
              <w:left w:w="70" w:type="dxa"/>
              <w:top w:w="60" w:type="dxa"/>
              <w:right w:w="70" w:type="dxa"/>
              <w:bottom w:w="60" w:type="dxa"/>
            </w:tcMar>
            <w:tcW w:w="7613" w:type="dxa"/>
            <w:vAlign w:val="top"/>
          </w:tcPr>
          <w:p>
            <w:pPr>
              <w:pStyle w:val="1296"/>
              <w:pBdr/>
              <w:spacing/>
              <w:ind/>
              <w:rPr/>
            </w:pPr>
            <w:r>
              <w:t xml:space="preserve">Test the recurrent motif of misidentification/epistemic distortion against sin, reification, bad faith, desire and no-total-diagnosis cases.</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Central question</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Do human beings share a fundamental predicament, and what kind of predicament is it?</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Intellectual payoff</w:t>
            </w:r>
            <w:r/>
          </w:p>
        </w:tc>
        <w:tc>
          <w:tcPr>
            <w:tcBorders/>
            <w:tcMar>
              <w:left w:w="70" w:type="dxa"/>
              <w:top w:w="60" w:type="dxa"/>
              <w:right w:w="70" w:type="dxa"/>
              <w:bottom w:w="60" w:type="dxa"/>
            </w:tcMar>
            <w:tcW w:w="7613" w:type="dxa"/>
            <w:vAlign w:val="top"/>
          </w:tcPr>
          <w:p>
            <w:pPr>
              <w:pStyle w:val="1296"/>
              <w:pBdr/>
              <w:spacing/>
              <w:ind/>
              <w:rPr/>
            </w:pPr>
            <w:r>
              <w:t xml:space="preserve">Tests whether a functional pattern survives the retained cases and counterexamples, while distinguishing diagnosis from epistemic access and remedy.</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Comparative scope</w:t>
            </w:r>
            <w:r/>
          </w:p>
        </w:tc>
        <w:tc>
          <w:tcPr>
            <w:shd w:val="clear" w:color="auto" w:fill="f7f9fa"/>
            <w:tcBorders/>
            <w:tcMar>
              <w:left w:w="70" w:type="dxa"/>
              <w:top w:w="60" w:type="dxa"/>
              <w:right w:w="70" w:type="dxa"/>
              <w:bottom w:w="60" w:type="dxa"/>
            </w:tcMar>
            <w:tcW w:w="7613" w:type="dxa"/>
            <w:vAlign w:val="top"/>
          </w:tcPr>
          <w:p>
            <w:pPr>
              <w:pStyle w:val="1296"/>
              <w:pBdr/>
              <w:spacing/>
              <w:ind/>
              <w:rPr/>
            </w:pPr>
            <w:r>
              <w:rPr>
                <w:b/>
              </w:rPr>
              <w:t xml:space="preserve">Core Positions:</w:t>
            </w:r>
            <w:r>
              <w:t xml:space="preserve"> Śaṅkara; Nāgārjuna; Apocryphon; Gregory; Sartre; Spinoza</w:t>
            </w:r>
            <w:r/>
          </w:p>
          <w:p>
            <w:pPr>
              <w:pStyle w:val="1296"/>
              <w:pBdr/>
              <w:spacing/>
              <w:ind/>
              <w:rPr/>
            </w:pPr>
            <w:r>
              <w:t xml:space="preserve">Comparators and counterexamples: Epicureanism; Xunzi</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Domains and concepts</w:t>
            </w:r>
            <w:r/>
          </w:p>
        </w:tc>
        <w:tc>
          <w:tcPr>
            <w:tcBorders/>
            <w:tcMar>
              <w:left w:w="70" w:type="dxa"/>
              <w:top w:w="60" w:type="dxa"/>
              <w:right w:w="70" w:type="dxa"/>
              <w:bottom w:w="60" w:type="dxa"/>
            </w:tcMar>
            <w:tcW w:w="7613" w:type="dxa"/>
            <w:vAlign w:val="top"/>
          </w:tcPr>
          <w:p>
            <w:pPr>
              <w:pStyle w:val="1296"/>
              <w:pBdr/>
              <w:spacing/>
              <w:ind/>
              <w:rPr/>
            </w:pPr>
            <w:r>
              <w:rPr>
                <w:b/>
              </w:rPr>
              <w:t xml:space="preserve">Primary domains:</w:t>
            </w:r>
            <w:r>
              <w:t xml:space="preserve"> D9 (Human condition &amp; diagnosis) D7 (Epistemology &amp; authority) D8 (Axiology, meaning &amp; value).</w:t>
            </w:r>
            <w:r/>
          </w:p>
          <w:p>
            <w:pPr>
              <w:pStyle w:val="1296"/>
              <w:pBdr/>
              <w:spacing/>
              <w:ind/>
              <w:rPr/>
            </w:pPr>
            <w:r>
              <w:t xml:space="preserve">Key concepts: avidyā/adhyāsa; reification; sin; bad faith; fear; xing/cultivation; bondage/passions.</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Comparison burden</w:t>
            </w:r>
            <w:r/>
          </w:p>
        </w:tc>
        <w:tc>
          <w:tcPr>
            <w:shd w:val="clear" w:color="auto" w:fill="f7f9fa"/>
            <w:tcBorders/>
            <w:tcMar>
              <w:left w:w="70" w:type="dxa"/>
              <w:top w:w="60" w:type="dxa"/>
              <w:right w:w="70" w:type="dxa"/>
              <w:bottom w:w="60" w:type="dxa"/>
            </w:tcMar>
            <w:tcW w:w="7613" w:type="dxa"/>
            <w:vAlign w:val="top"/>
          </w:tcPr>
          <w:p>
            <w:pPr>
              <w:pStyle w:val="1296"/>
              <w:pBdr/>
              <w:spacing/>
              <w:ind/>
              <w:rPr/>
            </w:pPr>
            <w:r>
              <w:rPr>
                <w:b/>
              </w:rPr>
              <w:t xml:space="preserve">Principal comparisons and relations:</w:t>
            </w:r>
            <w:r>
              <w:t xml:space="preserve"> Misidentification; moral disorder; cognitive reification; fear/death; projective self-deception.</w:t>
            </w:r>
            <w:r/>
          </w:p>
          <w:p>
            <w:pPr>
              <w:pStyle w:val="1296"/>
              <w:pBdr/>
              <w:spacing/>
              <w:ind/>
              <w:rPr/>
            </w:pPr>
            <w:r>
              <w:t xml:space="preserve">Relation types: FUN (functional analogy), STR (structural homology), INC (incompatibility); limited SEM (semantic overlap).</w:t>
            </w:r>
            <w:r/>
          </w:p>
          <w:p>
            <w:pPr>
              <w:pStyle w:val="1296"/>
              <w:pBdr/>
              <w:spacing/>
              <w:ind/>
              <w:rPr/>
            </w:pPr>
            <w:r>
              <w:t xml:space="preserve">Essential disanalogies: Avidyā is not sin; bad faith is not Buddhist ignorance; Epicurean fear is not cosmic bondage; Xunzi is not original sin.</w:t>
            </w:r>
            <w:r/>
          </w:p>
          <w:p>
            <w:pPr>
              <w:pStyle w:val="1296"/>
              <w:pBdr/>
              <w:spacing/>
              <w:ind/>
              <w:rPr/>
            </w:pPr>
            <w:r>
              <w:t xml:space="preserve">Genealogy: Cross-cultural structure is tested without presuming independence; scoped genealogy/contact assessment determines the independence state. Internal Western ge</w:t>
            </w:r>
            <w:r>
              <w:t xml:space="preserve">nealogies remain a separate evidential question. Any claim that a diagnosis limits knowledge, identifies a knower/subject condition or motivates a transformative remedy must be separately source-grounded; diagnosis does not entail access, a bearer or cure.</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Evidence and review</w:t>
            </w:r>
            <w:r/>
          </w:p>
        </w:tc>
        <w:tc>
          <w:tcPr>
            <w:tcBorders/>
            <w:tcMar>
              <w:left w:w="70" w:type="dxa"/>
              <w:top w:w="60" w:type="dxa"/>
              <w:right w:w="70" w:type="dxa"/>
              <w:bottom w:w="60" w:type="dxa"/>
            </w:tcMar>
            <w:tcW w:w="7613" w:type="dxa"/>
            <w:vAlign w:val="top"/>
          </w:tcPr>
          <w:p>
            <w:pPr>
              <w:pStyle w:val="1296"/>
              <w:pBdr/>
              <w:spacing/>
              <w:ind/>
              <w:rPr/>
            </w:pPr>
            <w:r>
              <w:rPr>
                <w:b/>
              </w:rPr>
              <w:t xml:space="preserve">Research and evidence burden:</w:t>
            </w:r>
            <w:r>
              <w:t xml:space="preserve"> High but manageable; central terms require concept control.</w:t>
            </w:r>
            <w:r/>
          </w:p>
          <w:p>
            <w:pPr>
              <w:pStyle w:val="1296"/>
              <w:pBdr/>
              <w:spacing/>
              <w:ind/>
              <w:rPr/>
            </w:pPr>
            <w:r>
              <w:t xml:space="preserve">Canonical inputs and generated views: D9 claim matrix with status codes.</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Dependencies and local consequence</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RG-07, RG-08. Determine whether 'misidentification' is broad enough to include all retained cases or should remain one subpattern among several.</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Planned outputs</w:t>
            </w:r>
            <w:r/>
          </w:p>
        </w:tc>
        <w:tc>
          <w:tcPr>
            <w:tcBorders/>
            <w:tcMar>
              <w:left w:w="70" w:type="dxa"/>
              <w:top w:w="60" w:type="dxa"/>
              <w:right w:w="70" w:type="dxa"/>
              <w:bottom w:w="60" w:type="dxa"/>
            </w:tcMar>
            <w:tcW w:w="7613" w:type="dxa"/>
            <w:vAlign w:val="top"/>
          </w:tcPr>
          <w:p>
            <w:pPr>
              <w:pStyle w:val="1296"/>
              <w:pBdr/>
              <w:spacing/>
              <w:ind/>
              <w:rPr/>
            </w:pPr>
            <w:r>
              <w:t xml:space="preserve">Figure 12. Diagnostic families and counterexamples.</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Target narrative words</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13,000</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Chapter-specific completion tests</w:t>
            </w:r>
            <w:r/>
          </w:p>
        </w:tc>
        <w:tc>
          <w:tcPr>
            <w:tcBorders/>
            <w:tcMar>
              <w:left w:w="70" w:type="dxa"/>
              <w:top w:w="60" w:type="dxa"/>
              <w:right w:w="70" w:type="dxa"/>
              <w:bottom w:w="60" w:type="dxa"/>
            </w:tcMar>
            <w:tcW w:w="7613" w:type="dxa"/>
            <w:vAlign w:val="top"/>
          </w:tcPr>
          <w:p>
            <w:pPr>
              <w:pStyle w:val="1296"/>
              <w:pBdr/>
              <w:spacing/>
              <w:ind/>
              <w:rPr/>
            </w:pPr>
            <w:r>
              <w:t xml:space="preserve">Misidentification, reification, sin, bad faith, fear and cultiv</w:t>
            </w:r>
            <w:r>
              <w:t xml:space="preserve">ated disposition remain separate diagnostic families; counterexamples delimit the L2 candidate; no universal human predicament is claimed; and no diagnosis is treated as automatically supplying a method of knowing, a knower/subject model or transformation.</w:t>
            </w:r>
            <w:r/>
          </w:p>
        </w:tc>
      </w:tr>
    </w:tbl>
    <w:p>
      <w:pPr>
        <w:pStyle w:val="1300"/>
        <w:pBdr/>
        <w:spacing/>
        <w:ind/>
        <w:rPr/>
      </w:pPr>
      <w:r/>
      <w:r/>
    </w:p>
    <w:p>
      <w:pPr>
        <w:pStyle w:val="1138"/>
        <w:keepNext w:val="true"/>
        <w:keepLines w:val="true"/>
        <w:pBdr/>
        <w:spacing/>
        <w:ind/>
        <w:rPr/>
      </w:pPr>
      <w:r>
        <w:t xml:space="preserve">12.1 Misidentification and epistemic distortion under test</w:t>
      </w:r>
      <w:r/>
    </w:p>
    <w:p>
      <w:pPr>
        <w:pBdr/>
        <w:spacing/>
        <w:ind/>
        <w:rPr/>
      </w:pPr>
      <w:r>
        <w:t xml:space="preserve">Re-tests misidentification/epistemic distortion as an L2 candidate, not a universal diagnosis.</w:t>
      </w:r>
      <w:r/>
    </w:p>
    <w:p>
      <w:pPr>
        <w:pStyle w:val="1138"/>
        <w:keepNext w:val="true"/>
        <w:keepLines w:val="true"/>
        <w:pBdr/>
        <w:spacing/>
        <w:ind/>
        <w:rPr/>
      </w:pPr>
      <w:r>
        <w:t xml:space="preserve">12.2 Śaṅkara: superimposition and mistaken identity</w:t>
      </w:r>
      <w:r/>
    </w:p>
    <w:p>
      <w:pPr>
        <w:pBdr/>
        <w:spacing/>
        <w:ind/>
        <w:rPr/>
      </w:pPr>
      <w:r>
        <w:t xml:space="preserve">Identify</w:t>
      </w:r>
      <w:r>
        <w:t xml:space="preserve"> what the bounded Śaṅkara texts describe as superimposed or misidentified, and explain how those claims support the diagnosis. Preserve the relevant distinctions among avidyā, adhyāsa and their translations rather than replacing them with generic illusion.</w:t>
      </w:r>
      <w:r/>
    </w:p>
    <w:p>
      <w:pPr>
        <w:pStyle w:val="1138"/>
        <w:keepNext w:val="true"/>
        <w:keepLines w:val="true"/>
        <w:pBdr/>
        <w:spacing/>
        <w:ind/>
        <w:rPr/>
      </w:pPr>
      <w:r>
        <w:t xml:space="preserve">12.3 Nāgārjuna: reification and grasping at intrinsic nature</w:t>
      </w:r>
      <w:r/>
    </w:p>
    <w:p>
      <w:pPr>
        <w:pBdr/>
        <w:spacing/>
        <w:ind/>
        <w:rPr/>
      </w:pPr>
      <w:r>
        <w:t xml:space="preserve">Shows a structurally related but ontologically incompatible diagnosis.</w:t>
      </w:r>
      <w:r/>
    </w:p>
    <w:p>
      <w:pPr>
        <w:pStyle w:val="1138"/>
        <w:keepNext w:val="true"/>
        <w:keepLines w:val="true"/>
        <w:pBdr/>
        <w:spacing/>
        <w:ind/>
        <w:rPr/>
      </w:pPr>
      <w:r>
        <w:t xml:space="preserve">12.4 Apocryphon: ignorance inside a hostile cosmic administration</w:t>
      </w:r>
      <w:r/>
    </w:p>
    <w:p>
      <w:pPr>
        <w:pBdr/>
        <w:spacing/>
        <w:ind/>
        <w:rPr/>
      </w:pPr>
      <w:r>
        <w:t xml:space="preserve">Adds an epistemic-cosmological diagnosis rather than a purely psychological one.</w:t>
      </w:r>
      <w:r/>
    </w:p>
    <w:p>
      <w:pPr>
        <w:pStyle w:val="1138"/>
        <w:keepNext w:val="true"/>
        <w:keepLines w:val="true"/>
        <w:pBdr/>
        <w:spacing/>
        <w:ind/>
        <w:rPr/>
      </w:pPr>
      <w:r>
        <w:t xml:space="preserve">12.5 Gregory: sin and disordered desire in a good creation</w:t>
      </w:r>
      <w:r/>
    </w:p>
    <w:p>
      <w:pPr>
        <w:pBdr/>
        <w:spacing/>
        <w:ind/>
        <w:rPr/>
      </w:pPr>
      <w:r>
        <w:t xml:space="preserve">Counterposes moral turning to defective-world accounts.</w:t>
      </w:r>
      <w:r/>
    </w:p>
    <w:p>
      <w:pPr>
        <w:pStyle w:val="1138"/>
        <w:keepNext w:val="true"/>
        <w:keepLines w:val="true"/>
        <w:pBdr/>
        <w:spacing/>
        <w:ind/>
        <w:rPr/>
      </w:pPr>
      <w:r>
        <w:t xml:space="preserve">12.6 Sartre: bad faith without fallen nature</w:t>
      </w:r>
      <w:r/>
    </w:p>
    <w:p>
      <w:pPr>
        <w:pBdr/>
        <w:spacing/>
        <w:ind/>
        <w:rPr/>
      </w:pPr>
      <w:r>
        <w:t xml:space="preserve">Adds self-deception under radical freedom.</w:t>
      </w:r>
      <w:r/>
    </w:p>
    <w:p>
      <w:pPr>
        <w:pStyle w:val="1138"/>
        <w:keepNext w:val="true"/>
        <w:keepLines w:val="true"/>
        <w:pBdr/>
        <w:spacing/>
        <w:ind/>
        <w:rPr/>
      </w:pPr>
      <w:r>
        <w:t xml:space="preserve">12.7 Epicurus, Xunzi, and Spinoza: fear, untrained dispositions, passive affects</w:t>
      </w:r>
      <w:r/>
    </w:p>
    <w:p>
      <w:pPr>
        <w:pBdr/>
        <w:spacing/>
        <w:ind/>
        <w:rPr/>
      </w:pPr>
      <w:r>
        <w:t xml:space="preserve">Tests the motif against diagnoses that do not fit a single 'ignorance' template.</w:t>
      </w:r>
      <w:r/>
    </w:p>
    <w:p>
      <w:pPr>
        <w:pStyle w:val="1138"/>
        <w:keepNext w:val="true"/>
        <w:keepLines w:val="true"/>
        <w:pBdr/>
        <w:spacing/>
        <w:ind/>
        <w:rPr/>
      </w:pPr>
      <w:r>
        <w:t xml:space="preserve">12.8 Pattern assessment and limits</w:t>
      </w:r>
      <w:r/>
    </w:p>
    <w:p>
      <w:pPr>
        <w:pBdr/>
        <w:spacing/>
        <w:ind/>
        <w:rPr/>
      </w:pPr>
      <w:r>
        <w:t xml:space="preserve">States whether the candidate is retained, subdivided, delimited or rejected, at the level warranted by the evidence. Identifies which diagnoses do or do not connect to epistemic access or transformation and records the limits of any retained pattern.</w:t>
      </w:r>
      <w:r/>
    </w:p>
    <w:p>
      <w:pPr>
        <w:pStyle w:val="1137"/>
        <w:keepNext w:val="true"/>
        <w:keepLines w:val="true"/>
        <w:pBdr/>
        <w:spacing/>
        <w:ind/>
        <w:rPr/>
      </w:pPr>
      <w:r/>
      <w:bookmarkStart w:id="156" w:name="CH_13"/>
      <w:r>
        <w:t xml:space="preserve">Chapter 13 — Can Knowing Change Being?</w:t>
      </w:r>
      <w:bookmarkEnd w:id="156"/>
      <w:r/>
      <w:r/>
    </w:p>
    <w:p>
      <w:pPr>
        <w:pStyle w:val="1184"/>
        <w:keepNext w:val="true"/>
        <w:keepLines w:val="true"/>
        <w:pBdr/>
        <w:spacing/>
        <w:ind/>
        <w:rPr/>
      </w:pPr>
      <w:r/>
      <w:bookmarkStart w:id="157" w:name="T_CH_13"/>
      <w:r>
        <w:t xml:space="preserve">Governing — Chapter 13 local brief</w:t>
      </w:r>
      <w:bookmarkEnd w:id="157"/>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2393"/>
        <w:gridCol w:w="7613"/>
      </w:tblGrid>
      <w:tr>
        <w:trPr>
          <w:cantSplit/>
          <w:tblHeader/>
        </w:trPr>
        <w:tc>
          <w:tcPr>
            <w:shd w:val="clear" w:color="auto" w:fill="1f5a73"/>
            <w:tcBorders/>
            <w:tcMar>
              <w:left w:w="70" w:type="dxa"/>
              <w:top w:w="60" w:type="dxa"/>
              <w:right w:w="70" w:type="dxa"/>
              <w:bottom w:w="60" w:type="dxa"/>
            </w:tcMar>
            <w:tcW w:w="2393" w:type="dxa"/>
            <w:vAlign w:val="top"/>
          </w:tcPr>
          <w:p>
            <w:pPr>
              <w:pStyle w:val="1298"/>
              <w:pBdr/>
              <w:spacing/>
              <w:ind/>
              <w:rPr/>
            </w:pPr>
            <w:r>
              <w:t xml:space="preserve">Field</w:t>
            </w:r>
            <w:r/>
          </w:p>
        </w:tc>
        <w:tc>
          <w:tcPr>
            <w:shd w:val="clear" w:color="auto" w:fill="1f5a73"/>
            <w:tcBorders/>
            <w:tcMar>
              <w:left w:w="70" w:type="dxa"/>
              <w:top w:w="60" w:type="dxa"/>
              <w:right w:w="70" w:type="dxa"/>
              <w:bottom w:w="60" w:type="dxa"/>
            </w:tcMar>
            <w:tcW w:w="7613" w:type="dxa"/>
            <w:vAlign w:val="top"/>
          </w:tcPr>
          <w:p>
            <w:pPr>
              <w:pStyle w:val="1298"/>
              <w:pBdr/>
              <w:spacing/>
              <w:ind/>
              <w:rPr/>
            </w:pPr>
            <w:r>
              <w:t xml:space="preserve">Chapter brief</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Purpose</w:t>
            </w:r>
            <w:r/>
          </w:p>
        </w:tc>
        <w:tc>
          <w:tcPr>
            <w:tcBorders/>
            <w:tcMar>
              <w:left w:w="70" w:type="dxa"/>
              <w:top w:w="60" w:type="dxa"/>
              <w:right w:w="70" w:type="dxa"/>
              <w:bottom w:w="60" w:type="dxa"/>
            </w:tcMar>
            <w:tcW w:w="7613" w:type="dxa"/>
            <w:vAlign w:val="top"/>
          </w:tcPr>
          <w:p>
            <w:pPr>
              <w:pStyle w:val="1296"/>
              <w:pBdr/>
              <w:spacing/>
              <w:ind/>
              <w:rPr/>
            </w:pPr>
            <w:r>
              <w:t xml:space="preserve">Compare how Positions relate knowing and transformation through knowledge, ritual, contemplation, grace, virtue, reme</w:t>
            </w:r>
            <w:r>
              <w:t xml:space="preserve">mbrance and practice-realization: transformation as an effect of knowing, a condition of knowing, a constituent of knowing, an externally conferred change, an independent or uncoupled counterpart, or a relation the Position denies, reframes or leaves open.</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Central question</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When is transformation an effect of knowing, when is it a condition of knowing, when are knowing and transformation inseparable, and when does a Position keep them independent, deny or reframe the distinction, or leave the relation open?</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Intellectual payoff</w:t>
            </w:r>
            <w:r/>
          </w:p>
        </w:tc>
        <w:tc>
          <w:tcPr>
            <w:tcBorders/>
            <w:tcMar>
              <w:left w:w="70" w:type="dxa"/>
              <w:top w:w="60" w:type="dxa"/>
              <w:right w:w="70" w:type="dxa"/>
              <w:bottom w:w="60" w:type="dxa"/>
            </w:tcMar>
            <w:tcW w:w="7613" w:type="dxa"/>
            <w:vAlign w:val="top"/>
          </w:tcPr>
          <w:p>
            <w:pPr>
              <w:pStyle w:val="1296"/>
              <w:pBdr/>
              <w:spacing/>
              <w:ind/>
              <w:rPr/>
            </w:pPr>
            <w:r>
              <w:t xml:space="preserve">Makes the re</w:t>
            </w:r>
            <w:r>
              <w:t xml:space="preserve">lation between Being and Becoming explicit through the mediating problem of knowing, without presuming a universal sequence or that every Position contains a distinct knower; it prevents metaphysics, epistemology and praxis from becoming detached chapters.</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Comparative scope</w:t>
            </w:r>
            <w:r/>
          </w:p>
        </w:tc>
        <w:tc>
          <w:tcPr>
            <w:shd w:val="clear" w:color="auto" w:fill="f7f9fa"/>
            <w:tcBorders/>
            <w:tcMar>
              <w:left w:w="70" w:type="dxa"/>
              <w:top w:w="60" w:type="dxa"/>
              <w:right w:w="70" w:type="dxa"/>
              <w:bottom w:w="60" w:type="dxa"/>
            </w:tcMar>
            <w:tcW w:w="7613" w:type="dxa"/>
            <w:vAlign w:val="top"/>
          </w:tcPr>
          <w:p>
            <w:pPr>
              <w:pStyle w:val="1296"/>
              <w:pBdr/>
              <w:spacing/>
              <w:ind/>
              <w:rPr/>
            </w:pPr>
            <w:r>
              <w:rPr>
                <w:b/>
              </w:rPr>
              <w:t xml:space="preserve">Core Positions:</w:t>
            </w:r>
            <w:r>
              <w:t xml:space="preserve"> Śaṅkara; Nāgārjuna; Gregory; Zhu Xi; Guru Nanak; Ibn ʿArabī; source-bounded Ifá (dependency-bounded treatment)</w:t>
            </w:r>
            <w:r/>
          </w:p>
          <w:p>
            <w:pPr>
              <w:pStyle w:val="1296"/>
              <w:pBdr/>
              <w:spacing/>
              <w:ind/>
              <w:rPr/>
            </w:pPr>
            <w:r>
              <w:t xml:space="preserve">Comparators and counterexamples: Dōgen digital comparator</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Domains and concepts</w:t>
            </w:r>
            <w:r/>
          </w:p>
        </w:tc>
        <w:tc>
          <w:tcPr>
            <w:tcBorders/>
            <w:tcMar>
              <w:left w:w="70" w:type="dxa"/>
              <w:top w:w="60" w:type="dxa"/>
              <w:right w:w="70" w:type="dxa"/>
              <w:bottom w:w="60" w:type="dxa"/>
            </w:tcMar>
            <w:tcW w:w="7613" w:type="dxa"/>
            <w:vAlign w:val="top"/>
          </w:tcPr>
          <w:p>
            <w:pPr>
              <w:pStyle w:val="1296"/>
              <w:pBdr/>
              <w:spacing/>
              <w:ind/>
              <w:rPr/>
            </w:pPr>
            <w:r>
              <w:rPr>
                <w:b/>
              </w:rPr>
              <w:t xml:space="preserve">Primary domains:</w:t>
            </w:r>
            <w:r>
              <w:t xml:space="preserve"> D12 (Praxis &amp; transformation) D7 (Epistemology &amp; authority) D9 (Human condition &amp; diagnosis) D14 (Telos / desired condition), with D5/D6 only where source-relevant.</w:t>
            </w:r>
            <w:r/>
          </w:p>
          <w:p>
            <w:pPr>
              <w:pStyle w:val="1296"/>
              <w:pBdr/>
              <w:spacing/>
              <w:ind/>
              <w:rPr/>
            </w:pPr>
            <w:r>
              <w:t xml:space="preserve">Key concepts: mokṣa; prajñā; theosis; cultivation; nām; maʿrifa; practice-realization; conditions of epistemic access; transformation or qualification of knowing or a knower/subject where source-relevant; knowing–transformation directionality.</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Comparison burden</w:t>
            </w:r>
            <w:r/>
          </w:p>
        </w:tc>
        <w:tc>
          <w:tcPr>
            <w:shd w:val="clear" w:color="auto" w:fill="f7f9fa"/>
            <w:tcBorders/>
            <w:tcMar>
              <w:left w:w="70" w:type="dxa"/>
              <w:top w:w="60" w:type="dxa"/>
              <w:right w:w="70" w:type="dxa"/>
              <w:bottom w:w="60" w:type="dxa"/>
            </w:tcMar>
            <w:tcW w:w="7613" w:type="dxa"/>
            <w:vAlign w:val="top"/>
          </w:tcPr>
          <w:p>
            <w:pPr>
              <w:pStyle w:val="1296"/>
              <w:pBdr/>
              <w:spacing/>
              <w:ind/>
              <w:rPr/>
            </w:pPr>
            <w:r>
              <w:rPr>
                <w:b/>
              </w:rPr>
              <w:t xml:space="preserve">Principal comparisons and relations:</w:t>
            </w:r>
            <w:r>
              <w:t xml:space="preserve"> knowledge-liberation; transformation enabling knowledge; knowing and practice as inseparable; grace/virtue; ritual/performance; cultivation; remembrance; contemplative realization; and uncoupled or category-refusing cases.</w:t>
            </w:r>
            <w:r/>
          </w:p>
          <w:p>
            <w:pPr>
              <w:pStyle w:val="1296"/>
              <w:pBdr/>
              <w:spacing/>
              <w:ind/>
              <w:rPr/>
            </w:pPr>
            <w:r>
              <w:t xml:space="preserve">Relation types: FUN, STR, PHE only where evidence supports, EPI, and INC only where the exact compared propositions cannot jointly hold at the declared dimension and scope. Use MIS </w:t>
            </w:r>
            <w:r>
              <w:t xml:space="preserve">where the tertium distorts a comparand. A Position’s denial or reframing is recorded through the applicable QuestionResponse state and does not by itself establish either comparative relation. For each Position, state the source-grounded direction and scop</w:t>
            </w:r>
            <w:r>
              <w:t xml:space="preserve">e of the relation; do not infer direction from chapter sequence, terminology, D5 consciousness claims or the presence of practice. Distinguish cognitive, ethical, embodied, relational, ritual, status and soteriological transformation where the source does.</w:t>
            </w:r>
            <w:r/>
          </w:p>
          <w:p>
            <w:pPr>
              <w:pStyle w:val="1296"/>
              <w:pBdr/>
              <w:spacing/>
              <w:ind/>
              <w:rPr/>
            </w:pPr>
            <w:r>
              <w:t xml:space="preserve">Essential disanalogies: transformative knowledge does not imply the same epistemology or ontology; a practice can transform without being claimed as truth-conducive; an access condition does not independently validate what is claimed to be known.</w:t>
            </w:r>
            <w:r/>
          </w:p>
          <w:p>
            <w:pPr>
              <w:pStyle w:val="1296"/>
              <w:pBdr/>
              <w:spacing/>
              <w:ind/>
              <w:rPr/>
            </w:pPr>
            <w:r>
              <w:t xml:space="preserve">Genealogy: Historical transmission within lineages; no cross-cultural influence inferred from functional similarity.</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Evidence and review</w:t>
            </w:r>
            <w:r/>
          </w:p>
        </w:tc>
        <w:tc>
          <w:tcPr>
            <w:tcBorders/>
            <w:tcMar>
              <w:left w:w="70" w:type="dxa"/>
              <w:top w:w="60" w:type="dxa"/>
              <w:right w:w="70" w:type="dxa"/>
              <w:bottom w:w="60" w:type="dxa"/>
            </w:tcMar>
            <w:tcW w:w="7613" w:type="dxa"/>
            <w:vAlign w:val="top"/>
          </w:tcPr>
          <w:p>
            <w:pPr>
              <w:pStyle w:val="1296"/>
              <w:pBdr/>
              <w:spacing/>
              <w:ind/>
              <w:rPr/>
            </w:pPr>
            <w:r>
              <w:rPr>
                <w:b/>
              </w:rPr>
              <w:t xml:space="preserve">Research and evidence burden:</w:t>
            </w:r>
            <w:r>
              <w:t xml:space="preserve"> Practice evidence must be source-fit; claims about the direction, independence or identity of knowing and transformation require exact source support or explicit Atlas derivation; phenomenological, causal and efficacy claims remain separate.</w:t>
            </w:r>
            <w:r/>
          </w:p>
          <w:p>
            <w:pPr>
              <w:pStyle w:val="1296"/>
              <w:pBdr/>
              <w:spacing/>
              <w:ind/>
              <w:rPr/>
            </w:pPr>
            <w:r>
              <w:t xml:space="preserve">Canonical inputs and generated views: Practice records, relevant D5/D6/D7/D9/D12/D14 Claims and QuestionResponses, Chapter 11 authority/access findings, and source links.</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Dependencies and local consequence</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RG-01, RG-02</w:t>
            </w:r>
            <w:r>
              <w:t xml:space="preserve">, RG-07, RG-17. Ifá treatment requires G4/G5 and each retained unit’s evidence, readiness, rights, review and authorization under §12; Dōgen retains DIGITAL-REFERENCE scope unless separately promoted. A print pointer does not establish public availability.</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Planned outputs</w:t>
            </w:r>
            <w:r/>
          </w:p>
        </w:tc>
        <w:tc>
          <w:tcPr>
            <w:tcBorders/>
            <w:tcMar>
              <w:left w:w="70" w:type="dxa"/>
              <w:top w:w="60" w:type="dxa"/>
              <w:right w:w="70" w:type="dxa"/>
              <w:bottom w:w="60" w:type="dxa"/>
            </w:tcMar>
            <w:tcW w:w="7613" w:type="dxa"/>
            <w:vAlign w:val="top"/>
          </w:tcPr>
          <w:p>
            <w:pPr>
              <w:pStyle w:val="1296"/>
              <w:pBdr/>
              <w:spacing/>
              <w:ind/>
              <w:rPr/>
            </w:pPr>
            <w:r>
              <w:t xml:space="preserve">Figure 13. Knowing–transformation architectures.</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Target narrative words</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13,000</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Chapter-specific completion tests</w:t>
            </w:r>
            <w:r/>
          </w:p>
        </w:tc>
        <w:tc>
          <w:tcPr>
            <w:tcBorders/>
            <w:tcMar>
              <w:left w:w="70" w:type="dxa"/>
              <w:top w:w="60" w:type="dxa"/>
              <w:right w:w="70" w:type="dxa"/>
              <w:bottom w:w="60" w:type="dxa"/>
            </w:tcMar>
            <w:tcW w:w="7613" w:type="dxa"/>
            <w:vAlign w:val="top"/>
          </w:tcPr>
          <w:p>
            <w:pPr>
              <w:pStyle w:val="1296"/>
              <w:pBdr/>
              <w:spacing/>
              <w:ind/>
              <w:rPr/>
            </w:pPr>
            <w:r>
              <w:t xml:space="preserve">Every retained case states whether transformation is a condition, conseque</w:t>
            </w:r>
            <w:r>
              <w:t xml:space="preserve">nce, constituent, externally conferred change, independent counterpart, denied distinction, reframing or open question in relation to knowing; every such statement traces to source-grounded Claims/QuestionResponses or an explicit Atlas derivation; no D5 co</w:t>
            </w:r>
            <w:r>
              <w:t xml:space="preserve">nsciousness claim is used as a proxy for subjecthood or access; these distinctions remain reader-facing and do not become new controlled values; phenomenological claims are source-fit; and Ifá/Dōgen treatments remain within their role and readiness limits.</w:t>
            </w:r>
            <w:r/>
          </w:p>
        </w:tc>
      </w:tr>
    </w:tbl>
    <w:p>
      <w:pPr>
        <w:pStyle w:val="1300"/>
        <w:pBdr/>
        <w:spacing/>
        <w:ind/>
        <w:rPr/>
      </w:pPr>
      <w:r/>
      <w:r/>
    </w:p>
    <w:p>
      <w:pPr>
        <w:pStyle w:val="1138"/>
        <w:keepNext w:val="true"/>
        <w:keepLines w:val="true"/>
        <w:pBdr/>
        <w:spacing/>
        <w:ind/>
        <w:rPr/>
      </w:pPr>
      <w:r>
        <w:t xml:space="preserve">13.1 Knowing and transformation are not one-way</w:t>
      </w:r>
      <w:r/>
    </w:p>
    <w:p>
      <w:pPr>
        <w:pBdr/>
        <w:spacing/>
        <w:ind/>
        <w:rPr/>
      </w:pPr>
      <w:r>
        <w:t xml:space="preserve">Introduces transformation as a possible condition, consequence or constituent of knowing, together with independent, uncoupled, denied, reframed and open cases, without turning these into machine values or presuming a distinct knower.</w:t>
      </w:r>
      <w:r/>
    </w:p>
    <w:p>
      <w:pPr>
        <w:pStyle w:val="1138"/>
        <w:keepNext w:val="true"/>
        <w:keepLines w:val="true"/>
        <w:pBdr/>
        <w:spacing/>
        <w:ind/>
        <w:rPr/>
      </w:pPr>
      <w:r>
        <w:t xml:space="preserve">13.2 Śaṅkara and Nāgārjuna: liberating understanding, incompatible ontologies</w:t>
      </w:r>
      <w:r/>
    </w:p>
    <w:p>
      <w:pPr>
        <w:pBdr/>
        <w:spacing/>
        <w:ind/>
        <w:rPr/>
      </w:pPr>
      <w:r>
        <w:t xml:space="preserve">Tests liberating understanding in two incompatible ontologies while asking whether realization follows knowledge or is inseparable from it.</w:t>
      </w:r>
      <w:r/>
    </w:p>
    <w:p>
      <w:pPr>
        <w:pStyle w:val="1138"/>
        <w:keepNext w:val="true"/>
        <w:keepLines w:val="true"/>
        <w:pBdr/>
        <w:spacing/>
        <w:ind/>
        <w:rPr/>
      </w:pPr>
      <w:r>
        <w:t xml:space="preserve">13.3 Gregory: purification, virtue, grace, and inexhaustible growth</w:t>
      </w:r>
      <w:r/>
    </w:p>
    <w:p>
      <w:pPr>
        <w:pBdr/>
        <w:spacing/>
        <w:ind/>
        <w:rPr/>
      </w:pPr>
      <w:r>
        <w:t xml:space="preserve">Tests knowledge, purification, virtue and grace without reducing transformation to cognition or self-generated access.</w:t>
      </w:r>
      <w:r/>
    </w:p>
    <w:p>
      <w:pPr>
        <w:pStyle w:val="1138"/>
        <w:keepNext w:val="true"/>
        <w:keepLines w:val="true"/>
        <w:pBdr/>
        <w:spacing/>
        <w:ind/>
        <w:rPr/>
      </w:pPr>
      <w:r>
        <w:t xml:space="preserve">13.4 Zhu Xi: investigation, ritual, and moral cultivation</w:t>
      </w:r>
      <w:r/>
    </w:p>
    <w:p>
      <w:pPr>
        <w:pBdr/>
        <w:spacing/>
        <w:ind/>
        <w:rPr/>
      </w:pPr>
      <w:r>
        <w:t xml:space="preserve">Asks how investigation and ritual cultivation mutually shape discernment without treating efficacy as proof.</w:t>
      </w:r>
      <w:r/>
    </w:p>
    <w:p>
      <w:pPr>
        <w:pStyle w:val="1138"/>
        <w:keepNext w:val="true"/>
        <w:keepLines w:val="true"/>
        <w:pBdr/>
        <w:spacing/>
        <w:ind/>
        <w:rPr/>
      </w:pPr>
      <w:r>
        <w:t xml:space="preserve">13.5 Guru Nanak: remembrance, truthful living, and grace</w:t>
      </w:r>
      <w:r/>
    </w:p>
    <w:p>
      <w:pPr>
        <w:pBdr/>
        <w:spacing/>
        <w:ind/>
        <w:rPr/>
      </w:pPr>
      <w:r>
        <w:t xml:space="preserve">Tests remembrance, truthful living and grace as intertwined modes of knowing and becoming.</w:t>
      </w:r>
      <w:r/>
    </w:p>
    <w:p>
      <w:pPr>
        <w:pStyle w:val="1138"/>
        <w:keepNext w:val="true"/>
        <w:keepLines w:val="true"/>
        <w:pBdr/>
        <w:spacing/>
        <w:ind/>
        <w:rPr/>
      </w:pPr>
      <w:r>
        <w:t xml:space="preserve">13.6 Ibn ʿArabī: realization and divine self-disclosure</w:t>
      </w:r>
      <w:r/>
    </w:p>
    <w:p>
      <w:pPr>
        <w:pBdr/>
        <w:spacing/>
        <w:ind/>
        <w:rPr/>
      </w:pPr>
      <w:r>
        <w:t xml:space="preserve">Tests realization and divine self-disclosure without assuming phenomenological equivalence or self-generated access.</w:t>
      </w:r>
      <w:r/>
    </w:p>
    <w:p>
      <w:pPr>
        <w:pStyle w:val="1138"/>
        <w:keepNext w:val="true"/>
        <w:keepLines w:val="true"/>
        <w:pBdr/>
        <w:spacing/>
        <w:ind/>
        <w:rPr/>
      </w:pPr>
      <w:r>
        <w:t xml:space="preserve">13.7 Conditional and digital comparators: Ifá and Dōgen</w:t>
      </w:r>
      <w:r/>
    </w:p>
    <w:p>
      <w:pPr>
        <w:pBdr/>
        <w:spacing/>
        <w:ind/>
        <w:rPr/>
      </w:pPr>
      <w:r>
        <w:t xml:space="preserve">Uses performance and practice-realization to test both the means/end split and the knowing/transformation split. Ifá use remains conditional on applicable gates and ea</w:t>
      </w:r>
      <w:r>
        <w:t xml:space="preserve">ch selected unit’s eligibility and authorization. Dōgen retains DIGITAL-REFERENCE scope unless separately promoted; a print pointer may refer only to material actually authorized and available in the public Digital Atlas, not an unreleased internal record.</w:t>
      </w:r>
      <w:r/>
    </w:p>
    <w:p>
      <w:pPr>
        <w:pStyle w:val="1138"/>
        <w:keepNext w:val="true"/>
        <w:keepLines w:val="true"/>
        <w:pBdr/>
        <w:spacing/>
        <w:ind/>
        <w:rPr/>
      </w:pPr>
      <w:r>
        <w:t xml:space="preserve">13.8 Mapping the knowing–transformation relation</w:t>
      </w:r>
      <w:r/>
    </w:p>
    <w:p>
      <w:pPr>
        <w:pBdr/>
        <w:spacing/>
        <w:ind/>
        <w:rPr/>
      </w:pPr>
      <w:r>
        <w:t xml:space="preserve">Builds an L2 map only where evidence supports recurrent structures; otherwise retains pairwise, negative and category-refusing findings. No universal Being–Knowing–Becoming sequence is asserted.</w:t>
      </w:r>
      <w:r/>
    </w:p>
    <w:p>
      <w:pPr>
        <w:pStyle w:val="1300"/>
        <w:pBdr/>
        <w:spacing/>
        <w:ind/>
        <w:rPr/>
      </w:pPr>
      <w:r>
        <w:t xml:space="preserve">Chapter 13 owns the substantive directionality analysis. It reuses and cross-references validated Chapter 11 authority/access findings rather than re-expositing the same source material.</w:t>
      </w:r>
      <w:r/>
    </w:p>
    <w:p>
      <w:pPr>
        <w:pStyle w:val="1136"/>
        <w:keepNext w:val="true"/>
        <w:keepLines w:val="true"/>
        <w:pBdr/>
        <w:spacing/>
        <w:ind/>
        <w:rPr/>
      </w:pPr>
      <w:r/>
      <w:bookmarkStart w:id="158" w:name="PUB_PART_14"/>
      <w:r>
        <w:t xml:space="preserve">Publication Part V — Order, Freedom, World-Relation</w:t>
      </w:r>
      <w:bookmarkEnd w:id="158"/>
      <w:r/>
      <w:r/>
    </w:p>
    <w:p>
      <w:pPr>
        <w:pStyle w:val="1300"/>
        <w:keepNext w:val="true"/>
        <w:pBdr/>
        <w:spacing/>
        <w:ind/>
        <w:rPr/>
      </w:pPr>
      <w:r>
        <w:t xml:space="preserve">Volume II — Agency, Transformation, Ends</w:t>
      </w:r>
      <w:r/>
    </w:p>
    <w:p>
      <w:pPr>
        <w:pStyle w:val="1137"/>
        <w:keepNext w:val="true"/>
        <w:keepLines w:val="true"/>
        <w:pBdr/>
        <w:spacing/>
        <w:ind/>
        <w:rPr/>
      </w:pPr>
      <w:r/>
      <w:bookmarkStart w:id="159" w:name="CH_14"/>
      <w:r>
        <w:t xml:space="preserve">Chapter 14 — Is Everything Already Ordered?</w:t>
      </w:r>
      <w:bookmarkEnd w:id="159"/>
      <w:r/>
      <w:r/>
    </w:p>
    <w:p>
      <w:pPr>
        <w:pStyle w:val="1184"/>
        <w:keepNext w:val="true"/>
        <w:keepLines w:val="true"/>
        <w:pBdr/>
        <w:spacing/>
        <w:ind/>
        <w:rPr/>
      </w:pPr>
      <w:r/>
      <w:bookmarkStart w:id="160" w:name="T_CH_14"/>
      <w:r>
        <w:t xml:space="preserve">Governing — Chapter 14 local brief</w:t>
      </w:r>
      <w:bookmarkEnd w:id="160"/>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2393"/>
        <w:gridCol w:w="7613"/>
      </w:tblGrid>
      <w:tr>
        <w:trPr>
          <w:cantSplit/>
          <w:tblHeader/>
        </w:trPr>
        <w:tc>
          <w:tcPr>
            <w:shd w:val="clear" w:color="auto" w:fill="1f5a73"/>
            <w:tcBorders/>
            <w:tcMar>
              <w:left w:w="70" w:type="dxa"/>
              <w:top w:w="60" w:type="dxa"/>
              <w:right w:w="70" w:type="dxa"/>
              <w:bottom w:w="60" w:type="dxa"/>
            </w:tcMar>
            <w:tcW w:w="2393" w:type="dxa"/>
            <w:vAlign w:val="top"/>
          </w:tcPr>
          <w:p>
            <w:pPr>
              <w:pStyle w:val="1298"/>
              <w:pBdr/>
              <w:spacing/>
              <w:ind/>
              <w:rPr/>
            </w:pPr>
            <w:r>
              <w:t xml:space="preserve">Field</w:t>
            </w:r>
            <w:r/>
          </w:p>
        </w:tc>
        <w:tc>
          <w:tcPr>
            <w:shd w:val="clear" w:color="auto" w:fill="1f5a73"/>
            <w:tcBorders/>
            <w:tcMar>
              <w:left w:w="70" w:type="dxa"/>
              <w:top w:w="60" w:type="dxa"/>
              <w:right w:w="70" w:type="dxa"/>
              <w:bottom w:w="60" w:type="dxa"/>
            </w:tcMar>
            <w:tcW w:w="7613" w:type="dxa"/>
            <w:vAlign w:val="top"/>
          </w:tcPr>
          <w:p>
            <w:pPr>
              <w:pStyle w:val="1298"/>
              <w:pBdr/>
              <w:spacing/>
              <w:ind/>
              <w:rPr/>
            </w:pPr>
            <w:r>
              <w:t xml:space="preserve">Chapter brief</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Purpose</w:t>
            </w:r>
            <w:r/>
          </w:p>
        </w:tc>
        <w:tc>
          <w:tcPr>
            <w:tcBorders/>
            <w:tcMar>
              <w:left w:w="70" w:type="dxa"/>
              <w:top w:w="60" w:type="dxa"/>
              <w:right w:w="70" w:type="dxa"/>
              <w:bottom w:w="60" w:type="dxa"/>
            </w:tcMar>
            <w:tcW w:w="7613" w:type="dxa"/>
            <w:vAlign w:val="top"/>
          </w:tcPr>
          <w:p>
            <w:pPr>
              <w:pStyle w:val="1296"/>
              <w:pBdr/>
              <w:spacing/>
              <w:ind/>
              <w:rPr/>
            </w:pPr>
            <w:r>
              <w:t xml:space="preserve">Separate causal order, metaphysical dependence, providence, karma, fate, law, chance, and necessity.</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Central question</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What kind of order constrains or explains events before agency is considered?</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Intellectual payoff</w:t>
            </w:r>
            <w:r/>
          </w:p>
        </w:tc>
        <w:tc>
          <w:tcPr>
            <w:tcBorders/>
            <w:tcMar>
              <w:left w:w="70" w:type="dxa"/>
              <w:top w:w="60" w:type="dxa"/>
              <w:right w:w="70" w:type="dxa"/>
              <w:bottom w:w="60" w:type="dxa"/>
            </w:tcMar>
            <w:tcW w:w="7613" w:type="dxa"/>
            <w:vAlign w:val="top"/>
          </w:tcPr>
          <w:p>
            <w:pPr>
              <w:pStyle w:val="1296"/>
              <w:pBdr/>
              <w:spacing/>
              <w:ind/>
              <w:rPr/>
            </w:pPr>
            <w:r>
              <w:t xml:space="preserve">Operationalizes the governing D10/D11 separation and prevents causal architecture from being inferred from freedom language.</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Comparative scope</w:t>
            </w:r>
            <w:r/>
          </w:p>
        </w:tc>
        <w:tc>
          <w:tcPr>
            <w:shd w:val="clear" w:color="auto" w:fill="f7f9fa"/>
            <w:tcBorders/>
            <w:tcMar>
              <w:left w:w="70" w:type="dxa"/>
              <w:top w:w="60" w:type="dxa"/>
              <w:right w:w="70" w:type="dxa"/>
              <w:bottom w:w="60" w:type="dxa"/>
            </w:tcMar>
            <w:tcW w:w="7613" w:type="dxa"/>
            <w:vAlign w:val="top"/>
          </w:tcPr>
          <w:p>
            <w:pPr>
              <w:pStyle w:val="1296"/>
              <w:pBdr/>
              <w:spacing/>
              <w:ind/>
              <w:rPr/>
            </w:pPr>
            <w:r>
              <w:rPr>
                <w:b/>
              </w:rPr>
              <w:t xml:space="preserve">Core Positions:</w:t>
            </w:r>
            <w:r>
              <w:t xml:space="preserve"> Spinoza; source-bounded Ifá (dependency-bounded treatment); Jaina; Avicenna; Papineau physicalism</w:t>
            </w:r>
            <w:r/>
          </w:p>
          <w:p>
            <w:pPr>
              <w:pStyle w:val="1296"/>
              <w:pBdr/>
              <w:spacing/>
              <w:ind/>
              <w:rPr/>
            </w:pPr>
            <w:r>
              <w:t xml:space="preserve">Comparators and counterexamples: Chrysippan Stoicism; al-Ghazālī; Epicureanism</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Domains and concepts</w:t>
            </w:r>
            <w:r/>
          </w:p>
        </w:tc>
        <w:tc>
          <w:tcPr>
            <w:tcBorders/>
            <w:tcMar>
              <w:left w:w="70" w:type="dxa"/>
              <w:top w:w="60" w:type="dxa"/>
              <w:right w:w="70" w:type="dxa"/>
              <w:bottom w:w="60" w:type="dxa"/>
            </w:tcMar>
            <w:tcW w:w="7613" w:type="dxa"/>
            <w:vAlign w:val="top"/>
          </w:tcPr>
          <w:p>
            <w:pPr>
              <w:pStyle w:val="1296"/>
              <w:pBdr/>
              <w:spacing/>
              <w:ind/>
              <w:rPr/>
            </w:pPr>
            <w:r>
              <w:rPr>
                <w:b/>
              </w:rPr>
              <w:t xml:space="preserve">Primary domains:</w:t>
            </w:r>
            <w:r>
              <w:t xml:space="preserve"> D10 (Causal order &amp; dependence); linked D2 (Cosmogenesis &amp; world structure) D11 (Agency, freedom &amp; constraint).</w:t>
            </w:r>
            <w:r/>
          </w:p>
          <w:p>
            <w:pPr>
              <w:pStyle w:val="1296"/>
              <w:pBdr/>
              <w:spacing/>
              <w:ind/>
              <w:rPr/>
            </w:pPr>
            <w:r>
              <w:t xml:space="preserve">Key concepts: necessitas; heimarmenē; ori/destiny only if source-bounded; karma; causation; occasionalism/cause critique; causal closure.</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Comparison burden</w:t>
            </w:r>
            <w:r/>
          </w:p>
        </w:tc>
        <w:tc>
          <w:tcPr>
            <w:shd w:val="clear" w:color="auto" w:fill="f7f9fa"/>
            <w:tcBorders/>
            <w:tcMar>
              <w:left w:w="70" w:type="dxa"/>
              <w:top w:w="60" w:type="dxa"/>
              <w:right w:w="70" w:type="dxa"/>
              <w:bottom w:w="60" w:type="dxa"/>
            </w:tcMar>
            <w:tcW w:w="7613" w:type="dxa"/>
            <w:vAlign w:val="top"/>
          </w:tcPr>
          <w:p>
            <w:pPr>
              <w:pStyle w:val="1296"/>
              <w:pBdr/>
              <w:spacing/>
              <w:ind/>
              <w:rPr/>
            </w:pPr>
            <w:r>
              <w:rPr>
                <w:b/>
              </w:rPr>
              <w:t xml:space="preserve">Principal comparisons and relations:</w:t>
            </w:r>
            <w:r>
              <w:t xml:space="preserve"> Necessitarianism; providence/fate; karmic order; divine causal agency; physical closure; chance.</w:t>
            </w:r>
            <w:r/>
          </w:p>
          <w:p>
            <w:pPr>
              <w:pStyle w:val="1296"/>
              <w:pBdr/>
              <w:spacing/>
              <w:ind/>
              <w:rPr/>
            </w:pPr>
            <w:r>
              <w:t xml:space="preserve">Relation types: STR (structural homology), FUN (functional analogy), INC (incompatibility), GEN (genealogical relation).</w:t>
            </w:r>
            <w:r/>
          </w:p>
          <w:p>
            <w:pPr>
              <w:pStyle w:val="1296"/>
              <w:pBdr/>
              <w:spacing/>
              <w:ind/>
              <w:rPr/>
            </w:pPr>
            <w:r>
              <w:t xml:space="preserve">Essential disanalogies: Karma is not fate; physical causal closure is not metaphysical necessity; divine action does not entail occasionalism in every Islamic position.</w:t>
            </w:r>
            <w:r/>
          </w:p>
          <w:p>
            <w:pPr>
              <w:pStyle w:val="1296"/>
              <w:pBdr/>
              <w:spacing/>
              <w:ind/>
              <w:rPr/>
            </w:pPr>
            <w:r>
              <w:t xml:space="preserve">Genealogy: High within Greek/Islamic/early modern lines; explicit evidence needed.</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Evidence and review</w:t>
            </w:r>
            <w:r/>
          </w:p>
        </w:tc>
        <w:tc>
          <w:tcPr>
            <w:tcBorders/>
            <w:tcMar>
              <w:left w:w="70" w:type="dxa"/>
              <w:top w:w="60" w:type="dxa"/>
              <w:right w:w="70" w:type="dxa"/>
              <w:bottom w:w="60" w:type="dxa"/>
            </w:tcMar>
            <w:tcW w:w="7613" w:type="dxa"/>
            <w:vAlign w:val="top"/>
          </w:tcPr>
          <w:p>
            <w:pPr>
              <w:pStyle w:val="1296"/>
              <w:pBdr/>
              <w:spacing/>
              <w:ind/>
              <w:rPr/>
            </w:pPr>
            <w:r>
              <w:rPr>
                <w:b/>
              </w:rPr>
              <w:t xml:space="preserve">Research and evidence burden:</w:t>
            </w:r>
            <w:r>
              <w:t xml:space="preserve"> Historical-philosophical source work plus contemporary philosophy of science/mind.</w:t>
            </w:r>
            <w:r/>
          </w:p>
          <w:p>
            <w:pPr>
              <w:pStyle w:val="1296"/>
              <w:pBdr/>
              <w:spacing/>
              <w:ind/>
              <w:rPr/>
            </w:pPr>
            <w:r>
              <w:t xml:space="preserve">Canonical inputs and generated views: D10 records and genealogy status.</w:t>
            </w:r>
            <w:r/>
          </w:p>
          <w:p>
            <w:pPr>
              <w:pStyle w:val="1296"/>
              <w:pBdr/>
              <w:spacing/>
              <w:ind/>
              <w:rPr/>
            </w:pPr>
            <w:r>
              <w:t xml:space="preserve">Required review: Arabic/Judeo-Arabic philosophical-theology specialist review where claims are translation/genealogy-sensitive; Applicable source-community/governance and provenance review</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Dependencies and local consequence</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RG-01 and RG-02 govern Ifá capability and each retained unit’s read</w:t>
            </w:r>
            <w:r>
              <w:t xml:space="preserve">iness; RG-11 governs Jaina sources; RG-18 governs the Avicenna/al-Ghazālī causal-relation dossier and its Arabic philosophical specialist review. Ifá destiny terminology additionally requires unit-level rights, evidence, review and authorization under §12.</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Planned outputs</w:t>
            </w:r>
            <w:r/>
          </w:p>
        </w:tc>
        <w:tc>
          <w:tcPr>
            <w:tcBorders/>
            <w:tcMar>
              <w:left w:w="70" w:type="dxa"/>
              <w:top w:w="60" w:type="dxa"/>
              <w:right w:w="70" w:type="dxa"/>
              <w:bottom w:w="60" w:type="dxa"/>
            </w:tcMar>
            <w:tcW w:w="7613" w:type="dxa"/>
            <w:vAlign w:val="top"/>
          </w:tcPr>
          <w:p>
            <w:pPr>
              <w:pStyle w:val="1296"/>
              <w:pBdr/>
              <w:spacing/>
              <w:ind/>
              <w:rPr/>
            </w:pPr>
            <w:r>
              <w:t xml:space="preserve">Figure 14. Causal-order taxonomy.</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Target narrative words</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15,000</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Chapter-specific completion tests</w:t>
            </w:r>
            <w:r/>
          </w:p>
        </w:tc>
        <w:tc>
          <w:tcPr>
            <w:tcBorders/>
            <w:tcMar>
              <w:left w:w="70" w:type="dxa"/>
              <w:top w:w="60" w:type="dxa"/>
              <w:right w:w="70" w:type="dxa"/>
              <w:bottom w:w="60" w:type="dxa"/>
            </w:tcMar>
            <w:tcW w:w="7613" w:type="dxa"/>
            <w:vAlign w:val="top"/>
          </w:tcPr>
          <w:p>
            <w:pPr>
              <w:pStyle w:val="1296"/>
              <w:pBdr/>
              <w:spacing/>
              <w:ind/>
              <w:rPr/>
            </w:pPr>
            <w:r>
              <w:t xml:space="preserve">Causal order is not inferred from agency; karma, fate, necessity, causal closure, chance and divine action remain distinct, and Ifá plus Avicenna/al-Ghazālī treatments satisfy the listed dependencies or are narrowed.</w:t>
            </w:r>
            <w:r/>
          </w:p>
        </w:tc>
      </w:tr>
    </w:tbl>
    <w:p>
      <w:pPr>
        <w:pStyle w:val="1300"/>
        <w:pBdr/>
        <w:spacing/>
        <w:ind/>
        <w:rPr/>
      </w:pPr>
      <w:r/>
      <w:r/>
    </w:p>
    <w:p>
      <w:pPr>
        <w:pStyle w:val="1138"/>
        <w:keepNext w:val="true"/>
        <w:keepLines w:val="true"/>
        <w:pBdr/>
        <w:spacing/>
        <w:ind/>
        <w:rPr/>
      </w:pPr>
      <w:r>
        <w:t xml:space="preserve">14.1 Order is not agency</w:t>
      </w:r>
      <w:r/>
    </w:p>
    <w:p>
      <w:pPr>
        <w:pBdr/>
        <w:spacing/>
        <w:ind/>
        <w:rPr/>
      </w:pPr>
      <w:r>
        <w:t xml:space="preserve">Uses the governing separation of D10 causal order from D11 agency and shows why determinism, providence, karma, fate and causal closure cannot be treated as direct answers to the freedom question.</w:t>
      </w:r>
      <w:r/>
    </w:p>
    <w:p>
      <w:pPr>
        <w:pStyle w:val="1138"/>
        <w:keepNext w:val="true"/>
        <w:keepLines w:val="true"/>
        <w:pBdr/>
        <w:spacing/>
        <w:ind/>
        <w:rPr/>
      </w:pPr>
      <w:r>
        <w:t xml:space="preserve">14.2 Spinoza: necessity without contingency</w:t>
      </w:r>
      <w:r/>
    </w:p>
    <w:p>
      <w:pPr>
        <w:pBdr/>
        <w:spacing/>
        <w:ind/>
        <w:rPr/>
      </w:pPr>
      <w:r>
        <w:t xml:space="preserve">Explain what necessity means in the bounded Spinozan account and how it organizes causal order. Distinguish this claim from physical causal closure and leave the account of freedom to §15.3.</w:t>
      </w:r>
      <w:r/>
    </w:p>
    <w:p>
      <w:pPr>
        <w:pStyle w:val="1138"/>
        <w:keepNext w:val="true"/>
        <w:keepLines w:val="true"/>
        <w:pBdr/>
        <w:spacing/>
        <w:ind/>
        <w:rPr/>
      </w:pPr>
      <w:r>
        <w:t xml:space="preserve">14.3 Stoicism: providence, fate, and causal sequence</w:t>
      </w:r>
      <w:r/>
    </w:p>
    <w:p>
      <w:pPr>
        <w:pBdr/>
        <w:spacing/>
        <w:ind/>
        <w:rPr/>
      </w:pPr>
      <w:r>
        <w:t xml:space="preserve">Explain how providence, fate and causal sequence relate within the bounded Chrysippan reconstruction. Establish the causal account here and use it as the basis for the separate examination of assent and agency in §15.4.</w:t>
      </w:r>
      <w:r/>
    </w:p>
    <w:p>
      <w:pPr>
        <w:pStyle w:val="1138"/>
        <w:keepNext w:val="true"/>
        <w:keepLines w:val="true"/>
        <w:pBdr/>
        <w:spacing/>
        <w:ind/>
        <w:rPr/>
      </w:pPr>
      <w:r>
        <w:t xml:space="preserve">14.4 Jaina karma: causal-moral structure with material dimensions</w:t>
      </w:r>
      <w:r/>
    </w:p>
    <w:p>
      <w:pPr>
        <w:pBdr/>
        <w:spacing/>
        <w:ind/>
        <w:rPr/>
      </w:pPr>
      <w:r>
        <w:t xml:space="preserve">Shows why karma is not a generic moral law.</w:t>
      </w:r>
      <w:r/>
    </w:p>
    <w:p>
      <w:pPr>
        <w:pStyle w:val="1138"/>
        <w:keepNext w:val="true"/>
        <w:keepLines w:val="true"/>
        <w:pBdr/>
        <w:spacing/>
        <w:ind/>
        <w:rPr/>
      </w:pPr>
      <w:r>
        <w:t xml:space="preserve">14.5 Avicenna and al-Ghazālī: necessary connection under dispute</w:t>
      </w:r>
      <w:r/>
    </w:p>
    <w:p>
      <w:pPr>
        <w:pBdr/>
        <w:spacing/>
        <w:ind/>
        <w:rPr/>
      </w:pPr>
      <w:r>
        <w:t xml:space="preserve">Examines the historical relationship between Avicenna’s and al-Ghazālī’s arguments about causation.</w:t>
      </w:r>
      <w:r/>
    </w:p>
    <w:p>
      <w:pPr>
        <w:pStyle w:val="1138"/>
        <w:keepNext w:val="true"/>
        <w:keepLines w:val="true"/>
        <w:pBdr/>
        <w:spacing/>
        <w:ind/>
        <w:rPr/>
      </w:pPr>
      <w:r>
        <w:t xml:space="preserve">14.6 Papineau: physical causal closure as metaphysical evidence</w:t>
      </w:r>
      <w:r/>
    </w:p>
    <w:p>
      <w:pPr>
        <w:pBdr/>
        <w:spacing/>
        <w:ind/>
        <w:rPr/>
      </w:pPr>
      <w:r>
        <w:t xml:space="preserve">Keeps empirical support and philosophical conclusion distinct.</w:t>
      </w:r>
      <w:r/>
    </w:p>
    <w:p>
      <w:pPr>
        <w:pStyle w:val="1138"/>
        <w:keepNext w:val="true"/>
        <w:keepLines w:val="true"/>
        <w:pBdr/>
        <w:spacing/>
        <w:ind/>
        <w:rPr/>
      </w:pPr>
      <w:r>
        <w:t xml:space="preserve">14.7 Epicurean chance and non-providential order</w:t>
      </w:r>
      <w:r/>
    </w:p>
    <w:p>
      <w:pPr>
        <w:pBdr/>
        <w:spacing/>
        <w:ind/>
        <w:rPr/>
      </w:pPr>
      <w:r>
        <w:t xml:space="preserve">Examine the role assigned to chance in the bounded Epicurean account and how that account explains order without providential design. Distinguish the causal claim from any further conclusion about agency.</w:t>
      </w:r>
      <w:r/>
    </w:p>
    <w:p>
      <w:pPr>
        <w:pStyle w:val="1138"/>
        <w:keepNext w:val="true"/>
        <w:keepLines w:val="true"/>
        <w:pBdr/>
        <w:spacing/>
        <w:ind/>
        <w:rPr/>
      </w:pPr>
      <w:r>
        <w:t xml:space="preserve">14.8 Ifá destiny, conditionally</w:t>
      </w:r>
      <w:r/>
    </w:p>
    <w:p>
      <w:pPr>
        <w:pBdr/>
        <w:spacing/>
        <w:ind/>
        <w:rPr/>
      </w:pPr>
      <w:r>
        <w:t xml:space="preserve">Examines destiny and ritual adjustment only within evidence supported by the bounded source package.</w:t>
      </w:r>
      <w:r/>
    </w:p>
    <w:p>
      <w:pPr>
        <w:pStyle w:val="1138"/>
        <w:keepNext w:val="true"/>
        <w:keepLines w:val="true"/>
        <w:pBdr/>
        <w:spacing/>
        <w:ind/>
        <w:rPr/>
      </w:pPr>
      <w:r>
        <w:t xml:space="preserve">14.9 Comparing kinds of order</w:t>
      </w:r>
      <w:r/>
    </w:p>
    <w:p>
      <w:pPr>
        <w:pBdr/>
        <w:spacing/>
        <w:ind/>
        <w:rPr/>
      </w:pPr>
      <w:r>
        <w:t xml:space="preserve">Build a compa</w:t>
      </w:r>
      <w:r>
        <w:t xml:space="preserve">rative map that distinguishes causal order, metaphysical dependence, providence, karma, fate, law, chance and necessity where the sources warrant those distinctions. Explain which question each account addresses and which agency questions remain unsettled.</w:t>
      </w:r>
      <w:r/>
    </w:p>
    <w:p>
      <w:pPr>
        <w:pStyle w:val="1137"/>
        <w:keepNext w:val="true"/>
        <w:keepLines w:val="true"/>
        <w:pBdr/>
        <w:spacing/>
        <w:ind/>
        <w:rPr/>
      </w:pPr>
      <w:r/>
      <w:bookmarkStart w:id="161" w:name="CH_15"/>
      <w:r>
        <w:t xml:space="preserve">Chapter 15 — What Could Freedom Mean Inside an Order?</w:t>
      </w:r>
      <w:bookmarkEnd w:id="161"/>
      <w:r/>
      <w:r/>
    </w:p>
    <w:p>
      <w:pPr>
        <w:pStyle w:val="1184"/>
        <w:keepNext w:val="true"/>
        <w:keepLines w:val="true"/>
        <w:pBdr/>
        <w:spacing/>
        <w:ind/>
        <w:rPr/>
      </w:pPr>
      <w:r/>
      <w:bookmarkStart w:id="162" w:name="T_CH_15"/>
      <w:r>
        <w:t xml:space="preserve">Governing — Chapter 15 local brief</w:t>
      </w:r>
      <w:bookmarkEnd w:id="162"/>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2393"/>
        <w:gridCol w:w="7613"/>
      </w:tblGrid>
      <w:tr>
        <w:trPr>
          <w:cantSplit/>
          <w:tblHeader/>
        </w:trPr>
        <w:tc>
          <w:tcPr>
            <w:shd w:val="clear" w:color="auto" w:fill="1f5a73"/>
            <w:tcBorders/>
            <w:tcMar>
              <w:left w:w="70" w:type="dxa"/>
              <w:top w:w="60" w:type="dxa"/>
              <w:right w:w="70" w:type="dxa"/>
              <w:bottom w:w="60" w:type="dxa"/>
            </w:tcMar>
            <w:tcW w:w="2393" w:type="dxa"/>
            <w:vAlign w:val="top"/>
          </w:tcPr>
          <w:p>
            <w:pPr>
              <w:pStyle w:val="1298"/>
              <w:pBdr/>
              <w:spacing/>
              <w:ind/>
              <w:rPr/>
            </w:pPr>
            <w:r>
              <w:t xml:space="preserve">Field</w:t>
            </w:r>
            <w:r/>
          </w:p>
        </w:tc>
        <w:tc>
          <w:tcPr>
            <w:shd w:val="clear" w:color="auto" w:fill="1f5a73"/>
            <w:tcBorders/>
            <w:tcMar>
              <w:left w:w="70" w:type="dxa"/>
              <w:top w:w="60" w:type="dxa"/>
              <w:right w:w="70" w:type="dxa"/>
              <w:bottom w:w="60" w:type="dxa"/>
            </w:tcMar>
            <w:tcW w:w="7613" w:type="dxa"/>
            <w:vAlign w:val="top"/>
          </w:tcPr>
          <w:p>
            <w:pPr>
              <w:pStyle w:val="1298"/>
              <w:pBdr/>
              <w:spacing/>
              <w:ind/>
              <w:rPr/>
            </w:pPr>
            <w:r>
              <w:t xml:space="preserve">Chapter brief</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Purpose</w:t>
            </w:r>
            <w:r/>
          </w:p>
        </w:tc>
        <w:tc>
          <w:tcPr>
            <w:tcBorders/>
            <w:tcMar>
              <w:left w:w="70" w:type="dxa"/>
              <w:top w:w="60" w:type="dxa"/>
              <w:right w:w="70" w:type="dxa"/>
              <w:bottom w:w="60" w:type="dxa"/>
            </w:tcMar>
            <w:tcW w:w="7613" w:type="dxa"/>
            <w:vAlign w:val="top"/>
          </w:tcPr>
          <w:p>
            <w:pPr>
              <w:pStyle w:val="1296"/>
              <w:pBdr/>
              <w:spacing/>
              <w:ind/>
              <w:rPr/>
            </w:pPr>
            <w:r>
              <w:t xml:space="preserve">Compare libertarian, compatibilist, spontaneous, disciplined, relational, and self-understanding accounts of agency.</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Central question</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What does an agent have to be free from—or free for?</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Intellectual payoff</w:t>
            </w:r>
            <w:r/>
          </w:p>
        </w:tc>
        <w:tc>
          <w:tcPr>
            <w:tcBorders/>
            <w:tcMar>
              <w:left w:w="70" w:type="dxa"/>
              <w:top w:w="60" w:type="dxa"/>
              <w:right w:w="70" w:type="dxa"/>
              <w:bottom w:w="60" w:type="dxa"/>
            </w:tcMar>
            <w:tcW w:w="7613" w:type="dxa"/>
            <w:vAlign w:val="top"/>
          </w:tcPr>
          <w:p>
            <w:pPr>
              <w:pStyle w:val="1296"/>
              <w:pBdr/>
              <w:spacing/>
              <w:ind/>
              <w:rPr/>
            </w:pPr>
            <w:r>
              <w:t xml:space="preserve">Frames agency more broadly than the question of free will while preserving incompatibilities.</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Comparative scope</w:t>
            </w:r>
            <w:r/>
          </w:p>
        </w:tc>
        <w:tc>
          <w:tcPr>
            <w:shd w:val="clear" w:color="auto" w:fill="f7f9fa"/>
            <w:tcBorders/>
            <w:tcMar>
              <w:left w:w="70" w:type="dxa"/>
              <w:top w:w="60" w:type="dxa"/>
              <w:right w:w="70" w:type="dxa"/>
              <w:bottom w:w="60" w:type="dxa"/>
            </w:tcMar>
            <w:tcW w:w="7613" w:type="dxa"/>
            <w:vAlign w:val="top"/>
          </w:tcPr>
          <w:p>
            <w:pPr>
              <w:pStyle w:val="1296"/>
              <w:pBdr/>
              <w:spacing/>
              <w:ind/>
              <w:rPr/>
            </w:pPr>
            <w:r>
              <w:rPr>
                <w:b/>
              </w:rPr>
              <w:t xml:space="preserve">Core Positions:</w:t>
            </w:r>
            <w:r>
              <w:t xml:space="preserve"> Sartre; Spinoza; Zhuangzi; Gregory; Jaina; source-bounded Ifá (dependency-bounded treatment)</w:t>
            </w:r>
            <w:r/>
          </w:p>
          <w:p>
            <w:pPr>
              <w:pStyle w:val="1296"/>
              <w:pBdr/>
              <w:spacing/>
              <w:ind/>
              <w:rPr/>
            </w:pPr>
            <w:r>
              <w:t xml:space="preserve">Comparators and counterexamples: Stoicism; Xunzi</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Domains and concepts</w:t>
            </w:r>
            <w:r/>
          </w:p>
        </w:tc>
        <w:tc>
          <w:tcPr>
            <w:tcBorders/>
            <w:tcMar>
              <w:left w:w="70" w:type="dxa"/>
              <w:top w:w="60" w:type="dxa"/>
              <w:right w:w="70" w:type="dxa"/>
              <w:bottom w:w="60" w:type="dxa"/>
            </w:tcMar>
            <w:tcW w:w="7613" w:type="dxa"/>
            <w:vAlign w:val="top"/>
          </w:tcPr>
          <w:p>
            <w:pPr>
              <w:pStyle w:val="1296"/>
              <w:pBdr/>
              <w:spacing/>
              <w:ind/>
              <w:rPr/>
            </w:pPr>
            <w:r>
              <w:rPr>
                <w:b/>
              </w:rPr>
              <w:t xml:space="preserve">Primary domains:</w:t>
            </w:r>
            <w:r>
              <w:t xml:space="preserve"> D11 (Agency, freedom &amp; constraint) D10 (Causal order &amp; dependence) D8 (Axiology, meaning &amp; value) D12 (Praxis &amp; transformation).</w:t>
            </w:r>
            <w:r/>
          </w:p>
          <w:p>
            <w:pPr>
              <w:pStyle w:val="1296"/>
              <w:pBdr/>
              <w:spacing/>
              <w:ind/>
              <w:rPr/>
            </w:pPr>
            <w:r>
              <w:t xml:space="preserve">Key concepts: freedom; spontaneity/ziran; prohairesis only if correctly bounded; moral responsibility; karma.</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Comparison burden</w:t>
            </w:r>
            <w:r/>
          </w:p>
        </w:tc>
        <w:tc>
          <w:tcPr>
            <w:shd w:val="clear" w:color="auto" w:fill="f7f9fa"/>
            <w:tcBorders/>
            <w:tcMar>
              <w:left w:w="70" w:type="dxa"/>
              <w:top w:w="60" w:type="dxa"/>
              <w:right w:w="70" w:type="dxa"/>
              <w:bottom w:w="60" w:type="dxa"/>
            </w:tcMar>
            <w:tcW w:w="7613" w:type="dxa"/>
            <w:vAlign w:val="top"/>
          </w:tcPr>
          <w:p>
            <w:pPr>
              <w:pStyle w:val="1296"/>
              <w:pBdr/>
              <w:spacing/>
              <w:ind/>
              <w:rPr/>
            </w:pPr>
            <w:r>
              <w:rPr>
                <w:b/>
              </w:rPr>
              <w:t xml:space="preserve">Principal comparisons and relations:</w:t>
            </w:r>
            <w:r>
              <w:t xml:space="preserve"> Radical freedom; freedom-as-understanding; compatibilism; spontaneous responsiveness; disciplined agency.</w:t>
            </w:r>
            <w:r/>
          </w:p>
          <w:p>
            <w:pPr>
              <w:pStyle w:val="1296"/>
              <w:pBdr/>
              <w:spacing/>
              <w:ind/>
              <w:rPr/>
            </w:pPr>
            <w:r>
              <w:t xml:space="preserve">Relation types: FUN (functional analogy), STR (structural homology), INC (incompatibility), SEM (semantic overlap).</w:t>
            </w:r>
            <w:r/>
          </w:p>
          <w:p>
            <w:pPr>
              <w:pStyle w:val="1296"/>
              <w:pBdr/>
              <w:spacing/>
              <w:ind/>
              <w:rPr/>
            </w:pPr>
            <w:r>
              <w:t xml:space="preserve">Essential disanalogies: Zhuangzian spontaneity is not libertarian free will; Spinozan freedom is not indeterminism; karmic responsibility is not Western desert theory.</w:t>
            </w:r>
            <w:r/>
          </w:p>
          <w:p>
            <w:pPr>
              <w:pStyle w:val="1296"/>
              <w:pBdr/>
              <w:spacing/>
              <w:ind/>
              <w:rPr/>
            </w:pPr>
            <w:r>
              <w:t xml:space="preserve">Genealogy: European lines may be traced. Historical independence is asserted only where the </w:t>
            </w:r>
            <w:r>
              <w:t xml:space="preserve">scoped genealogy and contact assessment supports it. Otherwise the record retains the applicable contact-possible, dependence-known, unresolved or not-applicable state. Absence of a demonstrated genealogy is not itself a finding of historical independence.</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Evidence and review</w:t>
            </w:r>
            <w:r/>
          </w:p>
        </w:tc>
        <w:tc>
          <w:tcPr>
            <w:tcBorders/>
            <w:tcMar>
              <w:left w:w="70" w:type="dxa"/>
              <w:top w:w="60" w:type="dxa"/>
              <w:right w:w="70" w:type="dxa"/>
              <w:bottom w:w="60" w:type="dxa"/>
            </w:tcMar>
            <w:tcW w:w="7613" w:type="dxa"/>
            <w:vAlign w:val="top"/>
          </w:tcPr>
          <w:p>
            <w:pPr>
              <w:pStyle w:val="1296"/>
              <w:pBdr/>
              <w:spacing/>
              <w:ind/>
              <w:rPr/>
            </w:pPr>
            <w:r>
              <w:rPr>
                <w:b/>
              </w:rPr>
              <w:t xml:space="preserve">Research and evidence burden:</w:t>
            </w:r>
            <w:r>
              <w:t xml:space="preserve"> Strong source base; agency vocabulary requires careful translation.</w:t>
            </w:r>
            <w:r/>
          </w:p>
          <w:p>
            <w:pPr>
              <w:pStyle w:val="1296"/>
              <w:pBdr/>
              <w:spacing/>
              <w:ind/>
              <w:rPr/>
            </w:pPr>
            <w:r>
              <w:t xml:space="preserve">Canonical inputs and generated views: D11 response and constraint records.</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Dependencies and local consequence</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RG-01, RG-02, RG-19, RG-20. Ifá agency claims require G4/G5 and unit-level readiness; Stoic and Zhuangzi terms retain their local reviews.</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Planned outputs</w:t>
            </w:r>
            <w:r/>
          </w:p>
        </w:tc>
        <w:tc>
          <w:tcPr>
            <w:tcBorders/>
            <w:tcMar>
              <w:left w:w="70" w:type="dxa"/>
              <w:top w:w="60" w:type="dxa"/>
              <w:right w:w="70" w:type="dxa"/>
              <w:bottom w:w="60" w:type="dxa"/>
            </w:tcMar>
            <w:tcW w:w="7613" w:type="dxa"/>
            <w:vAlign w:val="top"/>
          </w:tcPr>
          <w:p>
            <w:pPr>
              <w:pStyle w:val="1296"/>
              <w:pBdr/>
              <w:spacing/>
              <w:ind/>
              <w:rPr/>
            </w:pPr>
            <w:r>
              <w:t xml:space="preserve">Figure 15. Agency under different orders.</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Target narrative words</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15,000</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Chapter-specific completion tests</w:t>
            </w:r>
            <w:r/>
          </w:p>
        </w:tc>
        <w:tc>
          <w:tcPr>
            <w:tcBorders/>
            <w:tcMar>
              <w:left w:w="70" w:type="dxa"/>
              <w:top w:w="60" w:type="dxa"/>
              <w:right w:w="70" w:type="dxa"/>
              <w:bottom w:w="60" w:type="dxa"/>
            </w:tcMar>
            <w:tcW w:w="7613" w:type="dxa"/>
            <w:vAlign w:val="top"/>
          </w:tcPr>
          <w:p>
            <w:pPr>
              <w:pStyle w:val="1296"/>
              <w:pBdr/>
              <w:spacing/>
              <w:ind/>
              <w:rPr/>
            </w:pPr>
            <w:r>
              <w:t xml:space="preserve">Libertarian freedom, freedom-as-understanding, compatibilism, spontaneity and cultivated agency remain distinct; Zhuangzi carries CAT where needed, and Ifá/Stoic reconstructions remain within the listed evidence limits.</w:t>
            </w:r>
            <w:r/>
          </w:p>
        </w:tc>
      </w:tr>
    </w:tbl>
    <w:p>
      <w:pPr>
        <w:pStyle w:val="1300"/>
        <w:pBdr/>
        <w:spacing/>
        <w:ind/>
        <w:rPr/>
      </w:pPr>
      <w:r/>
      <w:r/>
    </w:p>
    <w:p>
      <w:pPr>
        <w:pStyle w:val="1138"/>
        <w:keepNext w:val="true"/>
        <w:keepLines w:val="true"/>
        <w:pBdr/>
        <w:spacing/>
        <w:ind/>
        <w:rPr/>
      </w:pPr>
      <w:r>
        <w:t xml:space="preserve">15.1 The question 'do we have free will?' is too narrow</w:t>
      </w:r>
      <w:r/>
    </w:p>
    <w:p>
      <w:pPr>
        <w:pBdr/>
        <w:spacing/>
        <w:ind/>
        <w:rPr/>
      </w:pPr>
      <w:r>
        <w:t xml:space="preserve">Reframes agency around capacities, constraints, responsibility, spontaneity, and self-transformation.</w:t>
      </w:r>
      <w:r/>
    </w:p>
    <w:p>
      <w:pPr>
        <w:pStyle w:val="1138"/>
        <w:keepNext w:val="true"/>
        <w:keepLines w:val="true"/>
        <w:pBdr/>
        <w:spacing/>
        <w:ind/>
        <w:rPr/>
      </w:pPr>
      <w:r>
        <w:t xml:space="preserve">15.2 Sartre: freedom without a given essence</w:t>
      </w:r>
      <w:r/>
    </w:p>
    <w:p>
      <w:pPr>
        <w:pBdr/>
        <w:spacing/>
        <w:ind/>
        <w:rPr/>
      </w:pPr>
      <w:r>
        <w:t xml:space="preserve">Explain what the selected Sartrean texts mean by radical freedom and how the absence of a given essence bears on choice, constraint and responsibility.</w:t>
      </w:r>
      <w:r/>
    </w:p>
    <w:p>
      <w:pPr>
        <w:pStyle w:val="1138"/>
        <w:keepNext w:val="true"/>
        <w:keepLines w:val="true"/>
        <w:pBdr/>
        <w:spacing/>
        <w:ind/>
        <w:rPr/>
      </w:pPr>
      <w:r>
        <w:t xml:space="preserve">15.3 Spinoza: freedom as adequate understanding within necessity</w:t>
      </w:r>
      <w:r/>
    </w:p>
    <w:p>
      <w:pPr>
        <w:pBdr/>
        <w:spacing/>
        <w:ind/>
        <w:rPr/>
      </w:pPr>
      <w:r>
        <w:t xml:space="preserve">Explains the incompatibility between Spinoza’s account of freedom and voluntarist freedom.</w:t>
      </w:r>
      <w:r/>
    </w:p>
    <w:p>
      <w:pPr>
        <w:pStyle w:val="1138"/>
        <w:keepNext w:val="true"/>
        <w:keepLines w:val="true"/>
        <w:pBdr/>
        <w:spacing/>
        <w:ind/>
        <w:rPr/>
      </w:pPr>
      <w:r>
        <w:t xml:space="preserve">15.4 Stoic compatibilism and assent</w:t>
      </w:r>
      <w:r/>
    </w:p>
    <w:p>
      <w:pPr>
        <w:pBdr/>
        <w:spacing/>
        <w:ind/>
        <w:rPr/>
      </w:pPr>
      <w:r>
        <w:t xml:space="preserve">Tests agency inside providential causal order.</w:t>
      </w:r>
      <w:r/>
    </w:p>
    <w:p>
      <w:pPr>
        <w:pStyle w:val="1138"/>
        <w:keepNext w:val="true"/>
        <w:keepLines w:val="true"/>
        <w:pBdr/>
        <w:spacing/>
        <w:ind/>
        <w:rPr/>
      </w:pPr>
      <w:r>
        <w:t xml:space="preserve">15.5 Zhuangzi: spontaneity without a metaphysical free-will thesis</w:t>
      </w:r>
      <w:r/>
    </w:p>
    <w:p>
      <w:pPr>
        <w:pBdr/>
        <w:spacing/>
        <w:ind/>
        <w:rPr/>
      </w:pPr>
      <w:r>
        <w:t xml:space="preserve">Shows why a functional agency comparison may carry CAT.</w:t>
      </w:r>
      <w:r/>
    </w:p>
    <w:p>
      <w:pPr>
        <w:pStyle w:val="1138"/>
        <w:keepNext w:val="true"/>
        <w:keepLines w:val="true"/>
        <w:pBdr/>
        <w:spacing/>
        <w:ind/>
        <w:rPr/>
      </w:pPr>
      <w:r>
        <w:t xml:space="preserve">15.6 Gregory and Jaina: moral agency under different cosmic structures</w:t>
      </w:r>
      <w:r/>
    </w:p>
    <w:p>
      <w:pPr>
        <w:pBdr/>
        <w:spacing/>
        <w:ind/>
        <w:rPr/>
      </w:pPr>
      <w:r>
        <w:t xml:space="preserve">Compares responsibility without equating sin and karma.</w:t>
      </w:r>
      <w:r/>
    </w:p>
    <w:p>
      <w:pPr>
        <w:pStyle w:val="1138"/>
        <w:keepNext w:val="true"/>
        <w:keepLines w:val="true"/>
        <w:pBdr/>
        <w:spacing/>
        <w:ind/>
        <w:rPr/>
      </w:pPr>
      <w:r>
        <w:t xml:space="preserve">15.7 Xunzi: agency cultivated through form</w:t>
      </w:r>
      <w:r/>
    </w:p>
    <w:p>
      <w:pPr>
        <w:pBdr/>
        <w:spacing/>
        <w:ind/>
        <w:rPr/>
      </w:pPr>
      <w:r>
        <w:t xml:space="preserve">Adds institutionally and ritually shaped agency.</w:t>
      </w:r>
      <w:r/>
    </w:p>
    <w:p>
      <w:pPr>
        <w:pStyle w:val="1138"/>
        <w:keepNext w:val="true"/>
        <w:keepLines w:val="true"/>
        <w:pBdr/>
        <w:spacing/>
        <w:ind/>
        <w:rPr/>
      </w:pPr>
      <w:r>
        <w:t xml:space="preserve">15.8 Ifá: destiny and adjustable trajectories, conditionally</w:t>
      </w:r>
      <w:r/>
    </w:p>
    <w:p>
      <w:pPr>
        <w:pBdr/>
        <w:spacing/>
        <w:ind/>
        <w:rPr/>
      </w:pPr>
      <w:r>
        <w:t xml:space="preserve">Examine what the bounded Ifá evidence supports about destiny, agency and adjustable trajectories. Public tr</w:t>
      </w:r>
      <w:r>
        <w:t xml:space="preserve">eatment requires the applicable project gates and every retained unit’s evidence, provenance, representation readiness, rights, review and authorization under §§8 and 12. State confidence separately; it does not confer release eligibility or authorization.</w:t>
      </w:r>
      <w:r/>
    </w:p>
    <w:p>
      <w:pPr>
        <w:pStyle w:val="1138"/>
        <w:keepNext w:val="true"/>
        <w:keepLines w:val="true"/>
        <w:pBdr/>
        <w:spacing/>
        <w:ind/>
        <w:rPr/>
      </w:pPr>
      <w:r>
        <w:t xml:space="preserve">15.9 Freedom as a family of comparative questions</w:t>
      </w:r>
      <w:r/>
    </w:p>
    <w:p>
      <w:pPr>
        <w:pBdr/>
        <w:spacing/>
        <w:ind/>
        <w:rPr/>
      </w:pPr>
      <w:r>
        <w:t xml:space="preserve">Compare what the selected accounts identify as capaci</w:t>
      </w:r>
      <w:r>
        <w:t xml:space="preserve">ties, constraints and conditions of agency. Retain their incompatibilities rather than placing them on one scale. Present an L2 morphology only where the evidence and review support it; otherwise conclude with the warranted pairwise distinctions or limits.</w:t>
      </w:r>
      <w:r/>
    </w:p>
    <w:p>
      <w:pPr>
        <w:pStyle w:val="1137"/>
        <w:keepNext w:val="true"/>
        <w:keepLines w:val="true"/>
        <w:pBdr/>
        <w:spacing/>
        <w:ind/>
        <w:rPr/>
      </w:pPr>
      <w:r/>
      <w:bookmarkStart w:id="163" w:name="CH_16"/>
      <w:r>
        <w:t xml:space="preserve">Chapter 16 — Leave the World, Participate in It, or Transform It?</w:t>
      </w:r>
      <w:bookmarkEnd w:id="163"/>
      <w:r/>
      <w:r/>
    </w:p>
    <w:p>
      <w:pPr>
        <w:pStyle w:val="1184"/>
        <w:keepNext w:val="true"/>
        <w:keepLines w:val="true"/>
        <w:pBdr/>
        <w:spacing/>
        <w:ind/>
        <w:rPr/>
      </w:pPr>
      <w:r/>
      <w:bookmarkStart w:id="164" w:name="T_CH_16"/>
      <w:r>
        <w:t xml:space="preserve">Governing — Chapter 16 local brief</w:t>
      </w:r>
      <w:bookmarkEnd w:id="164"/>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2393"/>
        <w:gridCol w:w="7613"/>
      </w:tblGrid>
      <w:tr>
        <w:trPr>
          <w:cantSplit/>
          <w:tblHeader/>
        </w:trPr>
        <w:tc>
          <w:tcPr>
            <w:shd w:val="clear" w:color="auto" w:fill="1f5a73"/>
            <w:tcBorders/>
            <w:tcMar>
              <w:left w:w="70" w:type="dxa"/>
              <w:top w:w="60" w:type="dxa"/>
              <w:right w:w="70" w:type="dxa"/>
              <w:bottom w:w="60" w:type="dxa"/>
            </w:tcMar>
            <w:tcW w:w="2393" w:type="dxa"/>
            <w:vAlign w:val="top"/>
          </w:tcPr>
          <w:p>
            <w:pPr>
              <w:pStyle w:val="1298"/>
              <w:pBdr/>
              <w:spacing/>
              <w:ind/>
              <w:rPr/>
            </w:pPr>
            <w:r>
              <w:t xml:space="preserve">Field</w:t>
            </w:r>
            <w:r/>
          </w:p>
        </w:tc>
        <w:tc>
          <w:tcPr>
            <w:shd w:val="clear" w:color="auto" w:fill="1f5a73"/>
            <w:tcBorders/>
            <w:tcMar>
              <w:left w:w="70" w:type="dxa"/>
              <w:top w:w="60" w:type="dxa"/>
              <w:right w:w="70" w:type="dxa"/>
              <w:bottom w:w="60" w:type="dxa"/>
            </w:tcMar>
            <w:tcW w:w="7613" w:type="dxa"/>
            <w:vAlign w:val="top"/>
          </w:tcPr>
          <w:p>
            <w:pPr>
              <w:pStyle w:val="1298"/>
              <w:pBdr/>
              <w:spacing/>
              <w:ind/>
              <w:rPr/>
            </w:pPr>
            <w:r>
              <w:t xml:space="preserve">Chapter brief</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Purpose</w:t>
            </w:r>
            <w:r/>
          </w:p>
        </w:tc>
        <w:tc>
          <w:tcPr>
            <w:tcBorders/>
            <w:tcMar>
              <w:left w:w="70" w:type="dxa"/>
              <w:top w:w="60" w:type="dxa"/>
              <w:right w:w="70" w:type="dxa"/>
              <w:bottom w:w="60" w:type="dxa"/>
            </w:tcMar>
            <w:tcW w:w="7613" w:type="dxa"/>
            <w:vAlign w:val="top"/>
          </w:tcPr>
          <w:p>
            <w:pPr>
              <w:pStyle w:val="1296"/>
              <w:pBdr/>
              <w:spacing/>
              <w:ind/>
              <w:rPr/>
            </w:pPr>
            <w:r>
              <w:t xml:space="preserve">Re-test world-relation motifs against positions in which renunciation, participation, transformation, harmony, household life, or non-providential enjoyment have different meanings.</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Central question</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What normative orientation follows—or does not follow—from a position’s metaphysics?</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Intellectual payoff</w:t>
            </w:r>
            <w:r/>
          </w:p>
        </w:tc>
        <w:tc>
          <w:tcPr>
            <w:tcBorders/>
            <w:tcMar>
              <w:left w:w="70" w:type="dxa"/>
              <w:top w:w="60" w:type="dxa"/>
              <w:right w:w="70" w:type="dxa"/>
              <w:bottom w:w="60" w:type="dxa"/>
            </w:tcMar>
            <w:tcW w:w="7613" w:type="dxa"/>
            <w:vAlign w:val="top"/>
          </w:tcPr>
          <w:p>
            <w:pPr>
              <w:pStyle w:val="1296"/>
              <w:pBdr/>
              <w:spacing/>
              <w:ind/>
              <w:rPr/>
            </w:pPr>
            <w:r>
              <w:t xml:space="preserve">Prevents metaphysical description from automatically generating ethics or world attitude.</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Comparative scope</w:t>
            </w:r>
            <w:r/>
          </w:p>
        </w:tc>
        <w:tc>
          <w:tcPr>
            <w:shd w:val="clear" w:color="auto" w:fill="f7f9fa"/>
            <w:tcBorders/>
            <w:tcMar>
              <w:left w:w="70" w:type="dxa"/>
              <w:top w:w="60" w:type="dxa"/>
              <w:right w:w="70" w:type="dxa"/>
              <w:bottom w:w="60" w:type="dxa"/>
            </w:tcMar>
            <w:tcW w:w="7613" w:type="dxa"/>
            <w:vAlign w:val="top"/>
          </w:tcPr>
          <w:p>
            <w:pPr>
              <w:pStyle w:val="1296"/>
              <w:pBdr/>
              <w:spacing/>
              <w:ind/>
              <w:rPr/>
            </w:pPr>
            <w:r>
              <w:rPr>
                <w:b/>
              </w:rPr>
              <w:t xml:space="preserve">Core Positions:</w:t>
            </w:r>
            <w:r>
              <w:t xml:space="preserve"> Apocryphon; Gregory; Śaṅkara; Nāgārjuna; Guru Nanak; Zhu Xi; Zhuangzi; Sartre</w:t>
            </w:r>
            <w:r/>
          </w:p>
          <w:p>
            <w:pPr>
              <w:pStyle w:val="1296"/>
              <w:pBdr/>
              <w:spacing/>
              <w:ind/>
              <w:rPr/>
            </w:pPr>
            <w:r>
              <w:t xml:space="preserve">Comparators and counterexamples: Epicureanism</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Domains and concepts</w:t>
            </w:r>
            <w:r/>
          </w:p>
        </w:tc>
        <w:tc>
          <w:tcPr>
            <w:tcBorders/>
            <w:tcMar>
              <w:left w:w="70" w:type="dxa"/>
              <w:top w:w="60" w:type="dxa"/>
              <w:right w:w="70" w:type="dxa"/>
              <w:bottom w:w="60" w:type="dxa"/>
            </w:tcMar>
            <w:tcW w:w="7613" w:type="dxa"/>
            <w:vAlign w:val="top"/>
          </w:tcPr>
          <w:p>
            <w:pPr>
              <w:pStyle w:val="1296"/>
              <w:pBdr/>
              <w:spacing/>
              <w:ind/>
              <w:rPr/>
            </w:pPr>
            <w:r>
              <w:rPr>
                <w:b/>
              </w:rPr>
              <w:t xml:space="preserve">Primary domains:</w:t>
            </w:r>
            <w:r>
              <w:t xml:space="preserve"> D15 (World relation &amp; normative orientation) D8 (Axiology, meaning &amp; value) D12 (Praxis &amp; transformation) D14 (Telos / desired condition).</w:t>
            </w:r>
            <w:r/>
          </w:p>
          <w:p>
            <w:pPr>
              <w:pStyle w:val="1296"/>
              <w:pBdr/>
              <w:spacing/>
              <w:ind/>
              <w:rPr/>
            </w:pPr>
            <w:r>
              <w:t xml:space="preserve">Key concepts: renunciation; nonattachment; theosis; hukam/sevā where supported; harmony; ataraxia; authenticity.</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Comparison burden</w:t>
            </w:r>
            <w:r/>
          </w:p>
        </w:tc>
        <w:tc>
          <w:tcPr>
            <w:shd w:val="clear" w:color="auto" w:fill="f7f9fa"/>
            <w:tcBorders/>
            <w:tcMar>
              <w:left w:w="70" w:type="dxa"/>
              <w:top w:w="60" w:type="dxa"/>
              <w:right w:w="70" w:type="dxa"/>
              <w:bottom w:w="60" w:type="dxa"/>
            </w:tcMar>
            <w:tcW w:w="7613" w:type="dxa"/>
            <w:vAlign w:val="top"/>
          </w:tcPr>
          <w:p>
            <w:pPr>
              <w:pStyle w:val="1296"/>
              <w:pBdr/>
              <w:spacing/>
              <w:ind/>
              <w:rPr/>
            </w:pPr>
            <w:r>
              <w:rPr>
                <w:b/>
              </w:rPr>
              <w:t xml:space="preserve">Principal comparisons and relations:</w:t>
            </w:r>
            <w:r>
              <w:t xml:space="preserve"> Exit; transfiguration; nonattachment; participation; harmony; worldly practice; authenticity.</w:t>
            </w:r>
            <w:r/>
          </w:p>
          <w:p>
            <w:pPr>
              <w:pStyle w:val="1296"/>
              <w:pBdr/>
              <w:spacing/>
              <w:ind/>
              <w:rPr/>
            </w:pPr>
            <w:r>
              <w:t xml:space="preserve">Relation types: FUN (functional analogy), STR (structural homology), INC (incompatibility), MIS (category mismatch).</w:t>
            </w:r>
            <w:r/>
          </w:p>
          <w:p>
            <w:pPr>
              <w:pStyle w:val="1296"/>
              <w:pBdr/>
              <w:spacing/>
              <w:ind/>
              <w:rPr/>
            </w:pPr>
            <w:r>
              <w:t xml:space="preserve">Essential disanalogies: Renunciation does not entail world-hatred; participation does not imply metaphysical unity; authenticity is not liberation.</w:t>
            </w:r>
            <w:r/>
          </w:p>
          <w:p>
            <w:pPr>
              <w:pStyle w:val="1296"/>
              <w:pBdr/>
              <w:spacing/>
              <w:ind/>
              <w:rPr/>
            </w:pPr>
            <w:r>
              <w:t xml:space="preserve">Genealogy: Mostly within traditions; cross-cultural pattern is comparative not genealogical.</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Evidence and review</w:t>
            </w:r>
            <w:r/>
          </w:p>
        </w:tc>
        <w:tc>
          <w:tcPr>
            <w:tcBorders/>
            <w:tcMar>
              <w:left w:w="70" w:type="dxa"/>
              <w:top w:w="60" w:type="dxa"/>
              <w:right w:w="70" w:type="dxa"/>
              <w:bottom w:w="60" w:type="dxa"/>
            </w:tcMar>
            <w:tcW w:w="7613" w:type="dxa"/>
            <w:vAlign w:val="top"/>
          </w:tcPr>
          <w:p>
            <w:pPr>
              <w:pStyle w:val="1296"/>
              <w:pBdr/>
              <w:spacing/>
              <w:ind/>
              <w:rPr/>
            </w:pPr>
            <w:r>
              <w:rPr>
                <w:b/>
              </w:rPr>
              <w:t xml:space="preserve">Research and evidence burden:</w:t>
            </w:r>
            <w:r>
              <w:t xml:space="preserve"> Practice/ethical texts and contextual scholarship.</w:t>
            </w:r>
            <w:r/>
          </w:p>
          <w:p>
            <w:pPr>
              <w:pStyle w:val="1296"/>
              <w:pBdr/>
              <w:spacing/>
              <w:ind/>
              <w:rPr/>
            </w:pPr>
            <w:r>
              <w:t xml:space="preserve">Canonical inputs and generated views: D15 claims and praxis links.</w:t>
            </w:r>
            <w:r/>
          </w:p>
          <w:p>
            <w:pPr>
              <w:pStyle w:val="1296"/>
              <w:pBdr/>
              <w:spacing/>
              <w:ind/>
              <w:rPr/>
            </w:pPr>
            <w:r>
              <w:t xml:space="preserve">Required review: Relevant Sanskrit/Indian-philosophy specialist review; Coptic/Sethian textual or manuscript specialist review</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Dependencies and local consequence</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RG-17, RG-20, RG-21. Ensure Sikh treatment avoids modern ideological projection; distinguish Advaita renunciation from Sethian exit.</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Planned outputs</w:t>
            </w:r>
            <w:r/>
          </w:p>
        </w:tc>
        <w:tc>
          <w:tcPr>
            <w:tcBorders/>
            <w:tcMar>
              <w:left w:w="70" w:type="dxa"/>
              <w:top w:w="60" w:type="dxa"/>
              <w:right w:w="70" w:type="dxa"/>
              <w:bottom w:w="60" w:type="dxa"/>
            </w:tcMar>
            <w:tcW w:w="7613" w:type="dxa"/>
            <w:vAlign w:val="top"/>
          </w:tcPr>
          <w:p>
            <w:pPr>
              <w:pStyle w:val="1296"/>
              <w:pBdr/>
              <w:spacing/>
              <w:ind/>
              <w:rPr/>
            </w:pPr>
            <w:r>
              <w:t xml:space="preserve">Figure 16. World-orientation map with metaphysical independence.</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Target narrative words</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15,000</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Chapter-specific completion tests</w:t>
            </w:r>
            <w:r/>
          </w:p>
        </w:tc>
        <w:tc>
          <w:tcPr>
            <w:tcBorders/>
            <w:tcMar>
              <w:left w:w="70" w:type="dxa"/>
              <w:top w:w="60" w:type="dxa"/>
              <w:right w:w="70" w:type="dxa"/>
              <w:bottom w:w="60" w:type="dxa"/>
            </w:tcMar>
            <w:tcW w:w="7613" w:type="dxa"/>
            <w:vAlign w:val="top"/>
          </w:tcPr>
          <w:p>
            <w:pPr>
              <w:pStyle w:val="1296"/>
              <w:pBdr/>
              <w:spacing/>
              <w:ind/>
              <w:rPr/>
            </w:pPr>
            <w:r>
              <w:t xml:space="preserve">No ethics or world orientation is inferred directly from ontology; Sethian exit, Advaita nonattachment, Sikh household engagement, Confucian/Daoist attunement and secular orientations retain their disanalogies and source reviews.</w:t>
            </w:r>
            <w:r/>
          </w:p>
        </w:tc>
      </w:tr>
    </w:tbl>
    <w:p>
      <w:pPr>
        <w:pStyle w:val="1300"/>
        <w:pBdr/>
        <w:spacing/>
        <w:ind/>
        <w:rPr/>
      </w:pPr>
      <w:r/>
      <w:r/>
    </w:p>
    <w:p>
      <w:pPr>
        <w:pStyle w:val="1138"/>
        <w:keepNext w:val="true"/>
        <w:keepLines w:val="true"/>
        <w:pBdr/>
        <w:spacing/>
        <w:ind/>
        <w:rPr/>
      </w:pPr>
      <w:r>
        <w:t xml:space="preserve">16.1 Why world orientation cannot be read straight off ontology</w:t>
      </w:r>
      <w:r/>
    </w:p>
    <w:p>
      <w:pPr>
        <w:pBdr/>
        <w:spacing/>
        <w:ind/>
        <w:rPr/>
      </w:pPr>
      <w:r>
        <w:t xml:space="preserve">Use source-grounded counterexamples to test whether a metaphysical description determines a normative world orientation. Identify the additional value or praxis claims needed to support each proposed link.</w:t>
      </w:r>
      <w:r/>
    </w:p>
    <w:p>
      <w:pPr>
        <w:pStyle w:val="1138"/>
        <w:keepNext w:val="true"/>
        <w:keepLines w:val="true"/>
        <w:pBdr/>
        <w:spacing/>
        <w:ind/>
        <w:rPr/>
      </w:pPr>
      <w:r>
        <w:t xml:space="preserve">16.2 Apocryphon: exit from defective administration</w:t>
      </w:r>
      <w:r/>
    </w:p>
    <w:p>
      <w:pPr>
        <w:pBdr/>
        <w:spacing/>
        <w:ind/>
        <w:rPr/>
      </w:pPr>
      <w:r>
        <w:t xml:space="preserve">Explain what the bounded Apocryphon account presents as the sour</w:t>
      </w:r>
      <w:r>
        <w:t xml:space="preserve">ce of confinement, what exit requires and what condition it aims at. Relate those claims to defective administration and ignorance through the selected textual evidence, retaining the source-specific meanings needed for comparison with Gregory and Advaita.</w:t>
      </w:r>
      <w:r/>
    </w:p>
    <w:p>
      <w:pPr>
        <w:pStyle w:val="1138"/>
        <w:keepNext w:val="true"/>
        <w:keepLines w:val="true"/>
        <w:pBdr/>
        <w:spacing/>
        <w:ind/>
        <w:rPr/>
      </w:pPr>
      <w:r>
        <w:t xml:space="preserve">16.3 Gregory: transfiguration of good creation</w:t>
      </w:r>
      <w:r/>
    </w:p>
    <w:p>
      <w:pPr>
        <w:pBdr/>
        <w:spacing/>
        <w:ind/>
        <w:rPr/>
      </w:pPr>
      <w:r>
        <w:t xml:space="preserve">Explain what is transformed in Gregory’s account of</w:t>
      </w:r>
      <w:r>
        <w:t xml:space="preserve"> good creation, how that transformation relates to embodied life and what condition it seeks. Compare these features with the Apocryphon’s account of exit, preserving the difference between transforming a good creation and leaving defective administration.</w:t>
      </w:r>
      <w:r/>
    </w:p>
    <w:p>
      <w:pPr>
        <w:pStyle w:val="1138"/>
        <w:keepNext w:val="true"/>
        <w:keepLines w:val="true"/>
        <w:pBdr/>
        <w:spacing/>
        <w:ind/>
        <w:rPr/>
      </w:pPr>
      <w:r>
        <w:t xml:space="preserve">16.4 Śaṅkara and Nāgārjuna: liberation without a simple 'world rejection'</w:t>
      </w:r>
      <w:r/>
    </w:p>
    <w:p>
      <w:pPr>
        <w:pBdr/>
        <w:spacing/>
        <w:ind/>
        <w:rPr/>
      </w:pPr>
      <w:r>
        <w:t xml:space="preserve">Separates nonattachment, appearance, emptiness, and soteriology.</w:t>
      </w:r>
      <w:r/>
    </w:p>
    <w:p>
      <w:pPr>
        <w:pStyle w:val="1138"/>
        <w:keepNext w:val="true"/>
        <w:keepLines w:val="true"/>
        <w:pBdr/>
        <w:spacing/>
        <w:ind/>
        <w:rPr/>
      </w:pPr>
      <w:r>
        <w:t xml:space="preserve">16.5 Guru Nanak: liberation within embodied household life</w:t>
      </w:r>
      <w:r/>
    </w:p>
    <w:p>
      <w:pPr>
        <w:pBdr/>
        <w:spacing/>
        <w:ind/>
        <w:rPr/>
      </w:pPr>
      <w:r>
        <w:t xml:space="preserve">Examine how the bounded Guru Nanak treatment relates liberation to embodied household life, remembrance and truthful living. Identify the source-grounded relation among these commitments without making world engagement equivalent to a secular orientation.</w:t>
      </w:r>
      <w:r/>
    </w:p>
    <w:p>
      <w:pPr>
        <w:pStyle w:val="1138"/>
        <w:keepNext w:val="true"/>
        <w:keepLines w:val="true"/>
        <w:pBdr/>
        <w:spacing/>
        <w:ind/>
        <w:rPr/>
      </w:pPr>
      <w:r>
        <w:t xml:space="preserve">16.6 Zhu Xi and Zhuangzi: two forms of world attunement</w:t>
      </w:r>
      <w:r/>
    </w:p>
    <w:p>
      <w:pPr>
        <w:pBdr/>
        <w:spacing/>
        <w:ind/>
        <w:rPr/>
      </w:pPr>
      <w:r>
        <w:t xml:space="preserve">Uses internal Chinese contrast against one 'harmony' stereotype.</w:t>
      </w:r>
      <w:r/>
    </w:p>
    <w:p>
      <w:pPr>
        <w:pStyle w:val="1138"/>
        <w:keepNext w:val="true"/>
        <w:keepLines w:val="true"/>
        <w:pBdr/>
        <w:spacing/>
        <w:ind/>
        <w:rPr/>
      </w:pPr>
      <w:r>
        <w:t xml:space="preserve">16.7 Epicurus and Sartre: secular orientations without cosmic telos</w:t>
      </w:r>
      <w:r/>
    </w:p>
    <w:p>
      <w:pPr>
        <w:pBdr/>
        <w:spacing/>
        <w:ind/>
        <w:rPr/>
      </w:pPr>
      <w:r>
        <w:t xml:space="preserve">Compares therapeutic tranquility and authenticity without treating them as equivalents.</w:t>
      </w:r>
      <w:r/>
    </w:p>
    <w:p>
      <w:pPr>
        <w:pStyle w:val="1138"/>
        <w:keepNext w:val="true"/>
        <w:keepLines w:val="true"/>
        <w:pBdr/>
        <w:spacing/>
        <w:ind/>
        <w:rPr/>
      </w:pPr>
      <w:r>
        <w:t xml:space="preserve">16.8 Exit / participate / transform is useful—but insufficient</w:t>
      </w:r>
      <w:r/>
    </w:p>
    <w:p>
      <w:pPr>
        <w:pBdr/>
        <w:spacing/>
        <w:ind/>
        <w:rPr/>
      </w:pPr>
      <w:r>
        <w:t xml:space="preserve">Reassess exit, participation and transformation against the normative</w:t>
      </w:r>
      <w:r>
        <w:t xml:space="preserve"> and practical claims examined in this chapter. State where these labels distinguish orientations, where they overlap and where they obscure a source-specific position. Retain narrower comparisons or reject the proposed grouping when the evidence requires.</w:t>
      </w:r>
      <w:r/>
    </w:p>
    <w:p>
      <w:pPr>
        <w:pStyle w:val="1136"/>
        <w:keepNext w:val="true"/>
        <w:keepLines w:val="true"/>
        <w:pBdr/>
        <w:spacing/>
        <w:ind/>
        <w:rPr/>
      </w:pPr>
      <w:r/>
      <w:bookmarkStart w:id="165" w:name="PUB_PART_17"/>
      <w:r>
        <w:t xml:space="preserve">Publication Part VI — Death, Ends, and Limits of Synthesis</w:t>
      </w:r>
      <w:bookmarkEnd w:id="165"/>
      <w:r/>
      <w:r/>
    </w:p>
    <w:p>
      <w:pPr>
        <w:pStyle w:val="1300"/>
        <w:keepNext w:val="true"/>
        <w:pBdr/>
        <w:spacing/>
        <w:ind/>
        <w:rPr/>
      </w:pPr>
      <w:r>
        <w:t xml:space="preserve">Volume II — Agency, Transformation, Ends</w:t>
      </w:r>
      <w:r/>
    </w:p>
    <w:p>
      <w:pPr>
        <w:pStyle w:val="1137"/>
        <w:keepNext w:val="true"/>
        <w:keepLines w:val="true"/>
        <w:pBdr/>
        <w:spacing/>
        <w:ind/>
        <w:rPr/>
      </w:pPr>
      <w:r/>
      <w:bookmarkStart w:id="166" w:name="CH_17"/>
      <w:r>
        <w:t xml:space="preserve">Chapter 17 — What, If Anything, Continues at Death?</w:t>
      </w:r>
      <w:bookmarkEnd w:id="166"/>
      <w:r/>
      <w:r/>
    </w:p>
    <w:p>
      <w:pPr>
        <w:pStyle w:val="1184"/>
        <w:keepNext w:val="true"/>
        <w:keepLines w:val="true"/>
        <w:pBdr/>
        <w:spacing/>
        <w:ind/>
        <w:rPr/>
      </w:pPr>
      <w:r/>
      <w:bookmarkStart w:id="167" w:name="T_CH_17"/>
      <w:r>
        <w:t xml:space="preserve">Governing — Chapter 17 local brief</w:t>
      </w:r>
      <w:bookmarkEnd w:id="167"/>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2393"/>
        <w:gridCol w:w="7613"/>
      </w:tblGrid>
      <w:tr>
        <w:trPr>
          <w:cantSplit/>
          <w:tblHeader/>
        </w:trPr>
        <w:tc>
          <w:tcPr>
            <w:shd w:val="clear" w:color="auto" w:fill="1f5a73"/>
            <w:tcBorders/>
            <w:tcMar>
              <w:left w:w="70" w:type="dxa"/>
              <w:top w:w="60" w:type="dxa"/>
              <w:right w:w="70" w:type="dxa"/>
              <w:bottom w:w="60" w:type="dxa"/>
            </w:tcMar>
            <w:tcW w:w="2393" w:type="dxa"/>
            <w:vAlign w:val="top"/>
          </w:tcPr>
          <w:p>
            <w:pPr>
              <w:pStyle w:val="1298"/>
              <w:pBdr/>
              <w:spacing/>
              <w:ind/>
              <w:rPr/>
            </w:pPr>
            <w:r>
              <w:t xml:space="preserve">Field</w:t>
            </w:r>
            <w:r/>
          </w:p>
        </w:tc>
        <w:tc>
          <w:tcPr>
            <w:shd w:val="clear" w:color="auto" w:fill="1f5a73"/>
            <w:tcBorders/>
            <w:tcMar>
              <w:left w:w="70" w:type="dxa"/>
              <w:top w:w="60" w:type="dxa"/>
              <w:right w:w="70" w:type="dxa"/>
              <w:bottom w:w="60" w:type="dxa"/>
            </w:tcMar>
            <w:tcW w:w="7613" w:type="dxa"/>
            <w:vAlign w:val="top"/>
          </w:tcPr>
          <w:p>
            <w:pPr>
              <w:pStyle w:val="1298"/>
              <w:pBdr/>
              <w:spacing/>
              <w:ind/>
              <w:rPr/>
            </w:pPr>
            <w:r>
              <w:t xml:space="preserve">Chapter brief</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Purpose</w:t>
            </w:r>
            <w:r/>
          </w:p>
        </w:tc>
        <w:tc>
          <w:tcPr>
            <w:tcBorders/>
            <w:tcMar>
              <w:left w:w="70" w:type="dxa"/>
              <w:top w:w="60" w:type="dxa"/>
              <w:right w:w="70" w:type="dxa"/>
              <w:bottom w:w="60" w:type="dxa"/>
            </w:tcMar>
            <w:tcW w:w="7613" w:type="dxa"/>
            <w:vAlign w:val="top"/>
          </w:tcPr>
          <w:p>
            <w:pPr>
              <w:pStyle w:val="1296"/>
              <w:pBdr/>
              <w:spacing/>
              <w:ind/>
              <w:rPr/>
            </w:pPr>
            <w:r>
              <w:t xml:space="preserve">Compare resurrection, rebirth, soul survival, dissolution, release from rebirth, and mortalist extinction.</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Central question</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What ends at death, what continues, and what identity criteria make those claims coherent?</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Intellectual payoff</w:t>
            </w:r>
            <w:r/>
          </w:p>
        </w:tc>
        <w:tc>
          <w:tcPr>
            <w:tcBorders/>
            <w:tcMar>
              <w:left w:w="70" w:type="dxa"/>
              <w:top w:w="60" w:type="dxa"/>
              <w:right w:w="70" w:type="dxa"/>
              <w:bottom w:w="60" w:type="dxa"/>
            </w:tcMar>
            <w:tcW w:w="7613" w:type="dxa"/>
            <w:vAlign w:val="top"/>
          </w:tcPr>
          <w:p>
            <w:pPr>
              <w:pStyle w:val="1296"/>
              <w:pBdr/>
              <w:spacing/>
              <w:ind/>
              <w:rPr/>
            </w:pPr>
            <w:r>
              <w:t xml:space="preserve">Places eschatological claims beside secular and anti-substantialist countercases without forcing one survival schema.</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Comparative scope</w:t>
            </w:r>
            <w:r/>
          </w:p>
        </w:tc>
        <w:tc>
          <w:tcPr>
            <w:shd w:val="clear" w:color="auto" w:fill="f7f9fa"/>
            <w:tcBorders/>
            <w:tcMar>
              <w:left w:w="70" w:type="dxa"/>
              <w:top w:w="60" w:type="dxa"/>
              <w:right w:w="70" w:type="dxa"/>
              <w:bottom w:w="60" w:type="dxa"/>
            </w:tcMar>
            <w:tcW w:w="7613" w:type="dxa"/>
            <w:vAlign w:val="top"/>
          </w:tcPr>
          <w:p>
            <w:pPr>
              <w:pStyle w:val="1296"/>
              <w:pBdr/>
              <w:spacing/>
              <w:ind/>
              <w:rPr/>
            </w:pPr>
            <w:r>
              <w:rPr>
                <w:b/>
              </w:rPr>
              <w:t xml:space="preserve">Core Positions:</w:t>
            </w:r>
            <w:r>
              <w:t xml:space="preserve"> Gregory; Jaina; Śaṅkara; Yogācāra; Avicenna; Papineau physicalism; Apocryphon</w:t>
            </w:r>
            <w:r/>
          </w:p>
          <w:p>
            <w:pPr>
              <w:pStyle w:val="1296"/>
              <w:pBdr/>
              <w:spacing/>
              <w:ind/>
              <w:rPr/>
            </w:pPr>
            <w:r>
              <w:t xml:space="preserve">Comparators and counterexamples: Epicureanism</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Domains and concepts</w:t>
            </w:r>
            <w:r/>
          </w:p>
        </w:tc>
        <w:tc>
          <w:tcPr>
            <w:tcBorders/>
            <w:tcMar>
              <w:left w:w="70" w:type="dxa"/>
              <w:top w:w="60" w:type="dxa"/>
              <w:right w:w="70" w:type="dxa"/>
              <w:bottom w:w="60" w:type="dxa"/>
            </w:tcMar>
            <w:tcW w:w="7613" w:type="dxa"/>
            <w:vAlign w:val="top"/>
          </w:tcPr>
          <w:p>
            <w:pPr>
              <w:pStyle w:val="1296"/>
              <w:pBdr/>
              <w:spacing/>
              <w:ind/>
              <w:rPr/>
            </w:pPr>
            <w:r>
              <w:rPr>
                <w:b/>
              </w:rPr>
              <w:t xml:space="preserve">Primary domains:</w:t>
            </w:r>
            <w:r>
              <w:t xml:space="preserve"> D13 (Death &amp; continuity) D6 (Self, personhood &amp; identity) D14 (Telos / desired condition).</w:t>
            </w:r>
            <w:r/>
          </w:p>
          <w:p>
            <w:pPr>
              <w:pStyle w:val="1296"/>
              <w:pBdr/>
              <w:spacing/>
              <w:ind/>
              <w:rPr/>
            </w:pPr>
            <w:r>
              <w:t xml:space="preserve">Key concepts: resurrection; rebirth; jīva; saṃsāra; rational soul; dissolution.</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Comparison burden</w:t>
            </w:r>
            <w:r/>
          </w:p>
        </w:tc>
        <w:tc>
          <w:tcPr>
            <w:shd w:val="clear" w:color="auto" w:fill="f7f9fa"/>
            <w:tcBorders/>
            <w:tcMar>
              <w:left w:w="70" w:type="dxa"/>
              <w:top w:w="60" w:type="dxa"/>
              <w:right w:w="70" w:type="dxa"/>
              <w:bottom w:w="60" w:type="dxa"/>
            </w:tcMar>
            <w:tcW w:w="7613" w:type="dxa"/>
            <w:vAlign w:val="top"/>
          </w:tcPr>
          <w:p>
            <w:pPr>
              <w:pStyle w:val="1296"/>
              <w:pBdr/>
              <w:spacing/>
              <w:ind/>
              <w:rPr/>
            </w:pPr>
            <w:r>
              <w:rPr>
                <w:b/>
              </w:rPr>
              <w:t xml:space="preserve">Principal comparisons and relations:</w:t>
            </w:r>
            <w:r>
              <w:t xml:space="preserve"> Restored embodiment; enduring self; causal continuity; unborn Self; immortal soul; extinction.</w:t>
            </w:r>
            <w:r/>
          </w:p>
          <w:p>
            <w:pPr>
              <w:pStyle w:val="1296"/>
              <w:pBdr/>
              <w:spacing/>
              <w:ind/>
              <w:rPr/>
            </w:pPr>
            <w:r>
              <w:t xml:space="preserve">Relation types: STR (structural homology), FUN (functional analogy), INC (incompatibility), MIS (category mismatch).</w:t>
            </w:r>
            <w:r/>
          </w:p>
          <w:p>
            <w:pPr>
              <w:pStyle w:val="1296"/>
              <w:pBdr/>
              <w:spacing/>
              <w:ind/>
              <w:rPr/>
            </w:pPr>
            <w:r>
              <w:t xml:space="preserve">Essential disanalogies: Resurrection ≠ reincarnation; ātman does not migrate as an empirical person; Buddhist continuity does not require a permanent self.</w:t>
            </w:r>
            <w:r/>
          </w:p>
          <w:p>
            <w:pPr>
              <w:pStyle w:val="1296"/>
              <w:pBdr/>
              <w:spacing/>
              <w:ind/>
              <w:rPr/>
            </w:pPr>
            <w:r>
              <w:t xml:space="preserve">Genealogy: Historical within Abrahamic and Indian lineages; no cross-cultural derivation inferred.</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Evidence and review</w:t>
            </w:r>
            <w:r/>
          </w:p>
        </w:tc>
        <w:tc>
          <w:tcPr>
            <w:tcBorders/>
            <w:tcMar>
              <w:left w:w="70" w:type="dxa"/>
              <w:top w:w="60" w:type="dxa"/>
              <w:right w:w="70" w:type="dxa"/>
              <w:bottom w:w="60" w:type="dxa"/>
            </w:tcMar>
            <w:tcW w:w="7613" w:type="dxa"/>
            <w:vAlign w:val="top"/>
          </w:tcPr>
          <w:p>
            <w:pPr>
              <w:pStyle w:val="1296"/>
              <w:pBdr/>
              <w:spacing/>
              <w:ind/>
              <w:rPr/>
            </w:pPr>
            <w:r>
              <w:rPr>
                <w:b/>
              </w:rPr>
              <w:t xml:space="preserve">Research and evidence burden:</w:t>
            </w:r>
            <w:r>
              <w:t xml:space="preserve"> Exact source passages essential; governing scope and traceability rules prohibit witness/recension generalization [Research Specification §5].</w:t>
            </w:r>
            <w:r/>
          </w:p>
          <w:p>
            <w:pPr>
              <w:pStyle w:val="1296"/>
              <w:pBdr/>
              <w:spacing/>
              <w:ind/>
              <w:rPr/>
            </w:pPr>
            <w:r>
              <w:t xml:space="preserve">Canonical inputs and generated views: D13 records with exact locators.</w:t>
            </w:r>
            <w:r/>
          </w:p>
          <w:p>
            <w:pPr>
              <w:pStyle w:val="1296"/>
              <w:pBdr/>
              <w:spacing/>
              <w:ind/>
              <w:rPr/>
            </w:pPr>
            <w:r>
              <w:t xml:space="preserve">Required review: Coptic/Sethian textual or manuscript specialist review; Avicennan metaphysical-psychology and Arabic-source specialist review under the local MCPC obligation</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Dependencies and local consequence</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RG-11 governs Jaina sources, RG-15 Yogācāra, RG-2</w:t>
            </w:r>
            <w:r>
              <w:t xml:space="preserve">2 Gregory and RG-23 Apocryphon witness/recension detail. Avicennan postmortem psychology and Arabic-source review remains a separate local MCPC obligation, not RG-11. Apocryphon mechanics remain recension-specific; the MMK is not a complete rebirth manual.</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Planned outputs</w:t>
            </w:r>
            <w:r/>
          </w:p>
        </w:tc>
        <w:tc>
          <w:tcPr>
            <w:tcBorders/>
            <w:tcMar>
              <w:left w:w="70" w:type="dxa"/>
              <w:top w:w="60" w:type="dxa"/>
              <w:right w:w="70" w:type="dxa"/>
              <w:bottom w:w="60" w:type="dxa"/>
            </w:tcMar>
            <w:tcW w:w="7613" w:type="dxa"/>
            <w:vAlign w:val="top"/>
          </w:tcPr>
          <w:p>
            <w:pPr>
              <w:pStyle w:val="1296"/>
              <w:pBdr/>
              <w:spacing/>
              <w:ind/>
              <w:rPr/>
            </w:pPr>
            <w:r>
              <w:t xml:space="preserve">Figure 17. Death/continuity architectures.</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Target narrative words</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13,000</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Chapter-specific completion tests</w:t>
            </w:r>
            <w:r/>
          </w:p>
        </w:tc>
        <w:tc>
          <w:tcPr>
            <w:tcBorders/>
            <w:tcMar>
              <w:left w:w="70" w:type="dxa"/>
              <w:top w:w="60" w:type="dxa"/>
              <w:right w:w="70" w:type="dxa"/>
              <w:bottom w:w="60" w:type="dxa"/>
            </w:tcMar>
            <w:tcW w:w="7613" w:type="dxa"/>
            <w:vAlign w:val="top"/>
          </w:tcPr>
          <w:p>
            <w:pPr>
              <w:pStyle w:val="1296"/>
              <w:pBdr/>
              <w:spacing/>
              <w:ind/>
              <w:rPr/>
            </w:pPr>
            <w:r>
              <w:t xml:space="preserve">Every death claim states its bearer and continuity criterion; resurrection is not reincarnation, Buddhist continuity is not permanent-self survival, and the Apocryphon treatment remains witness- and recension-specific.</w:t>
            </w:r>
            <w:r/>
          </w:p>
        </w:tc>
      </w:tr>
    </w:tbl>
    <w:p>
      <w:pPr>
        <w:pStyle w:val="1300"/>
        <w:pBdr/>
        <w:spacing/>
        <w:ind/>
        <w:rPr/>
      </w:pPr>
      <w:r/>
      <w:r/>
    </w:p>
    <w:p>
      <w:pPr>
        <w:pStyle w:val="1138"/>
        <w:keepNext w:val="true"/>
        <w:keepLines w:val="true"/>
        <w:pBdr/>
        <w:spacing/>
        <w:ind/>
        <w:rPr/>
      </w:pPr>
      <w:r>
        <w:t xml:space="preserve">17.1 Death questions presuppose theories of the bearer</w:t>
      </w:r>
      <w:r/>
    </w:p>
    <w:p>
      <w:pPr>
        <w:pBdr/>
        <w:spacing/>
        <w:ind/>
        <w:rPr/>
      </w:pPr>
      <w:r>
        <w:t xml:space="preserve">Links chapter 9’s identity analysis to eschatology.</w:t>
      </w:r>
      <w:r/>
    </w:p>
    <w:p>
      <w:pPr>
        <w:pStyle w:val="1138"/>
        <w:keepNext w:val="true"/>
        <w:keepLines w:val="true"/>
        <w:pBdr/>
        <w:spacing/>
        <w:ind/>
        <w:rPr/>
      </w:pPr>
      <w:r>
        <w:t xml:space="preserve">17.2 Gregory: death, provisional separation, resurrection</w:t>
      </w:r>
      <w:r/>
    </w:p>
    <w:p>
      <w:pPr>
        <w:pBdr/>
        <w:spacing/>
        <w:ind/>
        <w:rPr/>
      </w:pPr>
      <w:r>
        <w:t xml:space="preserve">Explain what death interrupts and what resurrection restores in the bounded Gregory account. Reuse the identity criteria established in §9.2 to clarify the relation between provisional separation, embodied restoration and continuity of the person.</w:t>
      </w:r>
      <w:r/>
    </w:p>
    <w:p>
      <w:pPr>
        <w:pStyle w:val="1138"/>
        <w:keepNext w:val="true"/>
        <w:keepLines w:val="true"/>
        <w:pBdr/>
        <w:spacing/>
        <w:ind/>
        <w:rPr/>
      </w:pPr>
      <w:r>
        <w:t xml:space="preserve">17.3 Jaina: enduring jīva across karmic rebirth</w:t>
      </w:r>
      <w:r/>
    </w:p>
    <w:p>
      <w:pPr>
        <w:pBdr/>
        <w:spacing/>
        <w:ind/>
        <w:rPr/>
      </w:pPr>
      <w:r>
        <w:t xml:space="preserve">Explain how the bounded Jaina account relates enduring jīva to changing karmic conditions across rebirth. Compare its continuity criterion with Gregory’s embodied restoration and the causal continuity examined in §17.5.</w:t>
      </w:r>
      <w:r/>
    </w:p>
    <w:p>
      <w:pPr>
        <w:pStyle w:val="1138"/>
        <w:keepNext w:val="true"/>
        <w:keepLines w:val="true"/>
        <w:pBdr/>
        <w:spacing/>
        <w:ind/>
        <w:rPr/>
      </w:pPr>
      <w:r>
        <w:t xml:space="preserve">17.4 Advaita: rebirth without making Brahman a traveler</w:t>
      </w:r>
      <w:r/>
    </w:p>
    <w:p>
      <w:pPr>
        <w:pBdr/>
        <w:spacing/>
        <w:ind/>
        <w:rPr/>
      </w:pPr>
      <w:r>
        <w:t xml:space="preserve">Distinguishes empirical continuity from ultimate Self.</w:t>
      </w:r>
      <w:r/>
    </w:p>
    <w:p>
      <w:pPr>
        <w:pStyle w:val="1138"/>
        <w:keepNext w:val="true"/>
        <w:keepLines w:val="true"/>
        <w:pBdr/>
        <w:spacing/>
        <w:ind/>
        <w:rPr/>
      </w:pPr>
      <w:r>
        <w:t xml:space="preserve">17.5 Yogācāra: continuity without permanent self</w:t>
      </w:r>
      <w:r/>
    </w:p>
    <w:p>
      <w:pPr>
        <w:pBdr/>
        <w:spacing/>
        <w:ind/>
        <w:rPr/>
      </w:pPr>
      <w:r>
        <w:t xml:space="preserve">Examine what the selected Vasubandhu texts permit the chapter to claim about causal or mental continuation. Explain the continuity relation without supplying a permanent self, and preserve the limits of the bounded corpus.</w:t>
      </w:r>
      <w:r/>
    </w:p>
    <w:p>
      <w:pPr>
        <w:pStyle w:val="1138"/>
        <w:keepNext w:val="true"/>
        <w:keepLines w:val="true"/>
        <w:pBdr/>
        <w:spacing/>
        <w:ind/>
        <w:rPr/>
      </w:pPr>
      <w:r>
        <w:t xml:space="preserve">17.6 Avicenna: survival of the rational soul</w:t>
      </w:r>
      <w:r/>
    </w:p>
    <w:p>
      <w:pPr>
        <w:pBdr/>
        <w:spacing/>
        <w:ind/>
        <w:rPr/>
      </w:pPr>
      <w:r>
        <w:t xml:space="preserve">Identify what the bounded Avicennan argument claims survives death and how it supports that conclusion. Use the distinctions established in §9.5 to separate rational-soul survival from any broader claim about personal continuity.</w:t>
      </w:r>
      <w:r/>
    </w:p>
    <w:p>
      <w:pPr>
        <w:pStyle w:val="1138"/>
        <w:keepNext w:val="true"/>
        <w:keepLines w:val="true"/>
        <w:pBdr/>
        <w:spacing/>
        <w:ind/>
        <w:rPr/>
      </w:pPr>
      <w:r>
        <w:t xml:space="preserve">17.7 Epicurean and physicalist mortality</w:t>
      </w:r>
      <w:r/>
    </w:p>
    <w:p>
      <w:pPr>
        <w:pBdr/>
        <w:spacing/>
        <w:ind/>
        <w:rPr/>
      </w:pPr>
      <w:r>
        <w:t xml:space="preserve">Separates ancient atomist therapy from contemporary physicalist underdetermination.</w:t>
      </w:r>
      <w:r/>
    </w:p>
    <w:p>
      <w:pPr>
        <w:pStyle w:val="1138"/>
        <w:keepNext w:val="true"/>
        <w:keepLines w:val="true"/>
        <w:pBdr/>
        <w:spacing/>
        <w:ind/>
        <w:rPr/>
      </w:pPr>
      <w:r>
        <w:t xml:space="preserve">17.8 Apocryphon: witness-sensitive postmortem trajectories</w:t>
      </w:r>
      <w:r/>
    </w:p>
    <w:p>
      <w:pPr>
        <w:pBdr/>
        <w:spacing/>
        <w:ind/>
        <w:rPr/>
      </w:pPr>
      <w:r>
        <w:t xml:space="preserve">Examine postmortem trajectories only within the named Apocryphon witnesses and recensions. Identify whether and how textual differences change the bearer, route or outcome being described, and keep each resulting claim within its supported witness scope.</w:t>
      </w:r>
      <w:r/>
    </w:p>
    <w:p>
      <w:pPr>
        <w:pStyle w:val="1138"/>
        <w:keepNext w:val="true"/>
        <w:keepLines w:val="true"/>
        <w:pBdr/>
        <w:spacing/>
        <w:ind/>
        <w:rPr/>
      </w:pPr>
      <w:r>
        <w:t xml:space="preserve">17.9 No universal answer to 'what survives?'</w:t>
      </w:r>
      <w:r/>
    </w:p>
    <w:p>
      <w:pPr>
        <w:pBdr/>
        <w:spacing/>
        <w:ind/>
        <w:rPr/>
      </w:pPr>
      <w:r>
        <w:t xml:space="preserve">Maps survival types and refusals.</w:t>
      </w:r>
      <w:r/>
    </w:p>
    <w:p>
      <w:pPr>
        <w:pStyle w:val="1137"/>
        <w:keepNext w:val="true"/>
        <w:keepLines w:val="true"/>
        <w:pBdr/>
        <w:spacing/>
        <w:ind/>
        <w:rPr/>
      </w:pPr>
      <w:r/>
      <w:bookmarkStart w:id="168" w:name="CH_18"/>
      <w:r>
        <w:t xml:space="preserve">Chapter 18 — Does a Life Have a Final Condition?</w:t>
      </w:r>
      <w:bookmarkEnd w:id="168"/>
      <w:r/>
      <w:r/>
    </w:p>
    <w:p>
      <w:pPr>
        <w:pStyle w:val="1184"/>
        <w:keepNext w:val="true"/>
        <w:keepLines w:val="true"/>
        <w:pBdr/>
        <w:spacing/>
        <w:ind/>
        <w:rPr/>
      </w:pPr>
      <w:r/>
      <w:bookmarkStart w:id="169" w:name="T_CH_18"/>
      <w:r>
        <w:t xml:space="preserve">Governing — Chapter 18 local brief</w:t>
      </w:r>
      <w:bookmarkEnd w:id="169"/>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2393"/>
        <w:gridCol w:w="7613"/>
      </w:tblGrid>
      <w:tr>
        <w:trPr>
          <w:cantSplit/>
          <w:tblHeader/>
        </w:trPr>
        <w:tc>
          <w:tcPr>
            <w:shd w:val="clear" w:color="auto" w:fill="1f5a73"/>
            <w:tcBorders/>
            <w:tcMar>
              <w:left w:w="70" w:type="dxa"/>
              <w:top w:w="60" w:type="dxa"/>
              <w:right w:w="70" w:type="dxa"/>
              <w:bottom w:w="60" w:type="dxa"/>
            </w:tcMar>
            <w:tcW w:w="2393" w:type="dxa"/>
            <w:vAlign w:val="top"/>
          </w:tcPr>
          <w:p>
            <w:pPr>
              <w:pStyle w:val="1298"/>
              <w:pBdr/>
              <w:spacing/>
              <w:ind/>
              <w:rPr/>
            </w:pPr>
            <w:r>
              <w:t xml:space="preserve">Field</w:t>
            </w:r>
            <w:r/>
          </w:p>
        </w:tc>
        <w:tc>
          <w:tcPr>
            <w:shd w:val="clear" w:color="auto" w:fill="1f5a73"/>
            <w:tcBorders/>
            <w:tcMar>
              <w:left w:w="70" w:type="dxa"/>
              <w:top w:w="60" w:type="dxa"/>
              <w:right w:w="70" w:type="dxa"/>
              <w:bottom w:w="60" w:type="dxa"/>
            </w:tcMar>
            <w:tcW w:w="7613" w:type="dxa"/>
            <w:vAlign w:val="top"/>
          </w:tcPr>
          <w:p>
            <w:pPr>
              <w:pStyle w:val="1298"/>
              <w:pBdr/>
              <w:spacing/>
              <w:ind/>
              <w:rPr/>
            </w:pPr>
            <w:r>
              <w:t xml:space="preserve">Chapter brief</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Purpose</w:t>
            </w:r>
            <w:r/>
          </w:p>
        </w:tc>
        <w:tc>
          <w:tcPr>
            <w:tcBorders/>
            <w:tcMar>
              <w:left w:w="70" w:type="dxa"/>
              <w:top w:w="60" w:type="dxa"/>
              <w:right w:w="70" w:type="dxa"/>
              <w:bottom w:w="60" w:type="dxa"/>
            </w:tcMar>
            <w:tcW w:w="7613" w:type="dxa"/>
            <w:vAlign w:val="top"/>
          </w:tcPr>
          <w:p>
            <w:pPr>
              <w:pStyle w:val="1296"/>
              <w:pBdr/>
              <w:spacing/>
              <w:ind/>
              <w:rPr/>
            </w:pPr>
            <w:r>
              <w:t xml:space="preserve">Compare liberation, theosis, sagehood, tranquility, authenticity, beatitude-like ends, and positions with no cosmic final condition.</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Central question</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What counts as fulfilment—and must fulfilment be final?</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Intellectual payoff</w:t>
            </w:r>
            <w:r/>
          </w:p>
        </w:tc>
        <w:tc>
          <w:tcPr>
            <w:tcBorders/>
            <w:tcMar>
              <w:left w:w="70" w:type="dxa"/>
              <w:top w:w="60" w:type="dxa"/>
              <w:right w:w="70" w:type="dxa"/>
              <w:bottom w:w="60" w:type="dxa"/>
            </w:tcMar>
            <w:tcW w:w="7613" w:type="dxa"/>
            <w:vAlign w:val="top"/>
          </w:tcPr>
          <w:p>
            <w:pPr>
              <w:pStyle w:val="1296"/>
              <w:pBdr/>
              <w:spacing/>
              <w:ind/>
              <w:rPr/>
            </w:pPr>
            <w:r>
              <w:t xml:space="preserve">Separates value (D8), praxis (D12), and telos (D14) while revealing divergent temporal structures of flourishing.</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Comparative scope</w:t>
            </w:r>
            <w:r/>
          </w:p>
        </w:tc>
        <w:tc>
          <w:tcPr>
            <w:shd w:val="clear" w:color="auto" w:fill="f7f9fa"/>
            <w:tcBorders/>
            <w:tcMar>
              <w:left w:w="70" w:type="dxa"/>
              <w:top w:w="60" w:type="dxa"/>
              <w:right w:w="70" w:type="dxa"/>
              <w:bottom w:w="60" w:type="dxa"/>
            </w:tcMar>
            <w:tcW w:w="7613" w:type="dxa"/>
            <w:vAlign w:val="top"/>
          </w:tcPr>
          <w:p>
            <w:pPr>
              <w:pStyle w:val="1296"/>
              <w:pBdr/>
              <w:spacing/>
              <w:ind/>
              <w:rPr/>
            </w:pPr>
            <w:r>
              <w:rPr>
                <w:b/>
              </w:rPr>
              <w:t xml:space="preserve">Core Positions:</w:t>
            </w:r>
            <w:r>
              <w:t xml:space="preserve"> Śaṅkara; Nāgārjuna; Gregory; Jaina; Zhu Xi; Zhuangzi; Sartre; Spinoza; Guru Nanak</w:t>
            </w:r>
            <w:r/>
          </w:p>
          <w:p>
            <w:pPr>
              <w:pStyle w:val="1296"/>
              <w:pBdr/>
              <w:spacing/>
              <w:ind/>
              <w:rPr/>
            </w:pPr>
            <w:r>
              <w:t xml:space="preserve">Comparators and counterexamples: Epicureanism</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Domains and concepts</w:t>
            </w:r>
            <w:r/>
          </w:p>
        </w:tc>
        <w:tc>
          <w:tcPr>
            <w:tcBorders/>
            <w:tcMar>
              <w:left w:w="70" w:type="dxa"/>
              <w:top w:w="60" w:type="dxa"/>
              <w:right w:w="70" w:type="dxa"/>
              <w:bottom w:w="60" w:type="dxa"/>
            </w:tcMar>
            <w:tcW w:w="7613" w:type="dxa"/>
            <w:vAlign w:val="top"/>
          </w:tcPr>
          <w:p>
            <w:pPr>
              <w:pStyle w:val="1296"/>
              <w:pBdr/>
              <w:spacing/>
              <w:ind/>
              <w:rPr/>
            </w:pPr>
            <w:r>
              <w:rPr>
                <w:b/>
              </w:rPr>
              <w:t xml:space="preserve">Primary domains:</w:t>
            </w:r>
            <w:r>
              <w:t xml:space="preserve"> D14 (Telos / desired condition) D8 (Axiology, meaning &amp; value) D12 (Praxis &amp; transformation).</w:t>
            </w:r>
            <w:r/>
          </w:p>
          <w:p>
            <w:pPr>
              <w:pStyle w:val="1296"/>
              <w:pBdr/>
              <w:spacing/>
              <w:ind/>
              <w:rPr/>
            </w:pPr>
            <w:r>
              <w:t xml:space="preserve">Key concepts: mokṣa; nirvāṇa; theosis/epektasis; kevala; sagehood; ataraxia; beatitudo; authenticity.</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Comparison burden</w:t>
            </w:r>
            <w:r/>
          </w:p>
        </w:tc>
        <w:tc>
          <w:tcPr>
            <w:shd w:val="clear" w:color="auto" w:fill="f7f9fa"/>
            <w:tcBorders/>
            <w:tcMar>
              <w:left w:w="70" w:type="dxa"/>
              <w:top w:w="60" w:type="dxa"/>
              <w:right w:w="70" w:type="dxa"/>
              <w:bottom w:w="60" w:type="dxa"/>
            </w:tcMar>
            <w:tcW w:w="7613" w:type="dxa"/>
            <w:vAlign w:val="top"/>
          </w:tcPr>
          <w:p>
            <w:pPr>
              <w:pStyle w:val="1296"/>
              <w:pBdr/>
              <w:spacing/>
              <w:ind/>
              <w:rPr/>
            </w:pPr>
            <w:r>
              <w:rPr>
                <w:b/>
              </w:rPr>
              <w:t xml:space="preserve">Principal comparisons and relations:</w:t>
            </w:r>
            <w:r>
              <w:t xml:space="preserve"> Final release; non-reified nirvāṇa; endless growth; cultivated sagehood; tranquility; no transcendent telos.</w:t>
            </w:r>
            <w:r/>
          </w:p>
          <w:p>
            <w:pPr>
              <w:pStyle w:val="1296"/>
              <w:pBdr/>
              <w:spacing/>
              <w:ind/>
              <w:rPr/>
            </w:pPr>
            <w:r>
              <w:t xml:space="preserve">Relation types: FUN (functional analogy), STR (structural homology), INC (incompatibility), MIS (category mismatch).</w:t>
            </w:r>
            <w:r/>
          </w:p>
          <w:p>
            <w:pPr>
              <w:pStyle w:val="1296"/>
              <w:pBdr/>
              <w:spacing/>
              <w:ind/>
              <w:rPr/>
            </w:pPr>
            <w:r>
              <w:t xml:space="preserve">Essential disanalogies: All 'liberations' are not one state; Gregory’s endless progress resists static finality; Sartrean authenticity is not salvation.</w:t>
            </w:r>
            <w:r/>
          </w:p>
          <w:p>
            <w:pPr>
              <w:pStyle w:val="1296"/>
              <w:pBdr/>
              <w:spacing/>
              <w:ind/>
              <w:rPr/>
            </w:pPr>
            <w:r>
              <w:t xml:space="preserve">Genealogy: Lineage-specific; cross-cultural similarities treated structurally.</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Evidence and review</w:t>
            </w:r>
            <w:r/>
          </w:p>
        </w:tc>
        <w:tc>
          <w:tcPr>
            <w:tcBorders/>
            <w:tcMar>
              <w:left w:w="70" w:type="dxa"/>
              <w:top w:w="60" w:type="dxa"/>
              <w:right w:w="70" w:type="dxa"/>
              <w:bottom w:w="60" w:type="dxa"/>
            </w:tcMar>
            <w:tcW w:w="7613" w:type="dxa"/>
            <w:vAlign w:val="top"/>
          </w:tcPr>
          <w:p>
            <w:pPr>
              <w:pStyle w:val="1296"/>
              <w:pBdr/>
              <w:spacing/>
              <w:ind/>
              <w:rPr/>
            </w:pPr>
            <w:r>
              <w:rPr>
                <w:b/>
              </w:rPr>
              <w:t xml:space="preserve">Research and evidence burden:</w:t>
            </w:r>
            <w:r>
              <w:t xml:space="preserve"> Strong textual evidence; translation control.</w:t>
            </w:r>
            <w:r/>
          </w:p>
          <w:p>
            <w:pPr>
              <w:pStyle w:val="1296"/>
              <w:pBdr/>
              <w:spacing/>
              <w:ind/>
              <w:rPr/>
            </w:pPr>
            <w:r>
              <w:t xml:space="preserve">Canonical inputs and generated views: D14 records and praxis links.</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Dependencies and local consequence</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RG-08, RG-11, RG-17, RG-21, RG-24. Nirvāṇa, Jaina, Guru Nanak and telos formulations remain bounded to the named source packages.</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Planned outputs</w:t>
            </w:r>
            <w:r/>
          </w:p>
        </w:tc>
        <w:tc>
          <w:tcPr>
            <w:tcBorders/>
            <w:tcMar>
              <w:left w:w="70" w:type="dxa"/>
              <w:top w:w="60" w:type="dxa"/>
              <w:right w:w="70" w:type="dxa"/>
              <w:bottom w:w="60" w:type="dxa"/>
            </w:tcMar>
            <w:tcW w:w="7613" w:type="dxa"/>
            <w:vAlign w:val="top"/>
          </w:tcPr>
          <w:p>
            <w:pPr>
              <w:pStyle w:val="1296"/>
              <w:pBdr/>
              <w:spacing/>
              <w:ind/>
              <w:rPr/>
            </w:pPr>
            <w:r>
              <w:t xml:space="preserve">Figure 18. Telos architectures: terminal, asymptotic, cyclical-release, immanent, none.</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Target narrative words</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13,000</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Chapter-specific completion tests</w:t>
            </w:r>
            <w:r/>
          </w:p>
        </w:tc>
        <w:tc>
          <w:tcPr>
            <w:tcBorders/>
            <w:tcMar>
              <w:left w:w="70" w:type="dxa"/>
              <w:top w:w="60" w:type="dxa"/>
              <w:right w:w="70" w:type="dxa"/>
              <w:bottom w:w="60" w:type="dxa"/>
            </w:tcMar>
            <w:tcW w:w="7613" w:type="dxa"/>
            <w:vAlign w:val="top"/>
          </w:tcPr>
          <w:p>
            <w:pPr>
              <w:pStyle w:val="1296"/>
              <w:pBdr/>
              <w:spacing/>
              <w:ind/>
              <w:rPr/>
            </w:pPr>
            <w:r>
              <w:t xml:space="preserve">D8 value, D12 praxis and D14 telos remain separate; terminal, asymptotic, cyclical-release, immanent and no-cosmic-end forms retain their source bounds, and any retained terminal/open-ended L2 morphology satisfies the synthesis, review and publication-s</w:t>
            </w:r>
            <w:r>
              <w:t xml:space="preserve">cope requirements of Research Specification §11 and resolves to the applicable SynthesisRecord and PublicationClaim. Where those requirements are not met, the chapter reports the bounded candidate or limitation without presenting recurrence as established.</w:t>
            </w:r>
            <w:r/>
          </w:p>
        </w:tc>
      </w:tr>
    </w:tbl>
    <w:p>
      <w:pPr>
        <w:pStyle w:val="1300"/>
        <w:pBdr/>
        <w:spacing/>
        <w:ind/>
        <w:rPr/>
      </w:pPr>
      <w:r/>
      <w:r/>
    </w:p>
    <w:p>
      <w:pPr>
        <w:pStyle w:val="1138"/>
        <w:keepNext w:val="true"/>
        <w:keepLines w:val="true"/>
        <w:pBdr/>
        <w:spacing/>
        <w:ind/>
        <w:rPr/>
      </w:pPr>
      <w:r>
        <w:t xml:space="preserve">18.1 Ends, goals, and desired conditions are not one thing</w:t>
      </w:r>
      <w:r/>
    </w:p>
    <w:p>
      <w:pPr>
        <w:pBdr/>
        <w:spacing/>
        <w:ind/>
        <w:rPr/>
      </w:pPr>
      <w:r>
        <w:t xml:space="preserve">Separates cosmic telos, soteriological release, ethical flourishing, and practical orientation.</w:t>
      </w:r>
      <w:r/>
    </w:p>
    <w:p>
      <w:pPr>
        <w:pStyle w:val="1138"/>
        <w:keepNext w:val="true"/>
        <w:keepLines w:val="true"/>
        <w:pBdr/>
        <w:spacing/>
        <w:ind/>
        <w:rPr/>
      </w:pPr>
      <w:r>
        <w:t xml:space="preserve">18.2 Śaṅkara and Jaina liberation: two incompatible releases</w:t>
      </w:r>
      <w:r/>
    </w:p>
    <w:p>
      <w:pPr>
        <w:pBdr/>
        <w:spacing/>
        <w:ind/>
        <w:rPr/>
      </w:pPr>
      <w:r>
        <w:t xml:space="preserve">Com</w:t>
      </w:r>
      <w:r>
        <w:t xml:space="preserve">pare what is released, the conditions of release and the desired condition in the bounded Śaṅkara and Jaina accounts. Explain any functional resemblance alongside their distinct accounts of self and reality; resemblance does not establish one shared state.</w:t>
      </w:r>
      <w:r/>
    </w:p>
    <w:p>
      <w:pPr>
        <w:pStyle w:val="1138"/>
        <w:keepNext w:val="true"/>
        <w:keepLines w:val="true"/>
        <w:pBdr/>
        <w:spacing/>
        <w:ind/>
        <w:rPr/>
      </w:pPr>
      <w:r>
        <w:t xml:space="preserve">18.3 Nāgārjuna: nirvāṇa without a reified final place</w:t>
      </w:r>
      <w:r/>
    </w:p>
    <w:p>
      <w:pPr>
        <w:pBdr/>
        <w:spacing/>
        <w:ind/>
        <w:rPr/>
      </w:pPr>
      <w:r>
        <w:t xml:space="preserve">Examine how the bounded Nāgārjuna corpus treats nirvāṇa and whether the chapter’s desired-condition question requires reframing or a category warning. Preserve the anti-reification constraint rather than presenting nirvāṇa as a final place or entity.</w:t>
      </w:r>
      <w:r/>
    </w:p>
    <w:p>
      <w:pPr>
        <w:pStyle w:val="1138"/>
        <w:keepNext w:val="true"/>
        <w:keepLines w:val="true"/>
        <w:pBdr/>
        <w:spacing/>
        <w:ind/>
        <w:rPr/>
      </w:pPr>
      <w:r>
        <w:t xml:space="preserve">18.4 Gregory: restoration and inexhaustible growth</w:t>
      </w:r>
      <w:r/>
    </w:p>
    <w:p>
      <w:pPr>
        <w:pBdr/>
        <w:spacing/>
        <w:ind/>
        <w:rPr/>
      </w:pPr>
      <w:r>
        <w:t xml:space="preserve">Introduces a desired condition that refuses completion as stasis.</w:t>
      </w:r>
      <w:r/>
    </w:p>
    <w:p>
      <w:pPr>
        <w:pStyle w:val="1138"/>
        <w:keepNext w:val="true"/>
        <w:keepLines w:val="true"/>
        <w:pBdr/>
        <w:spacing/>
        <w:ind/>
        <w:rPr/>
      </w:pPr>
      <w:r>
        <w:t xml:space="preserve">18.5 Zhu Xi and Zhuangzi: sagehood without one shared end</w:t>
      </w:r>
      <w:r/>
    </w:p>
    <w:p>
      <w:pPr>
        <w:pBdr/>
        <w:spacing/>
        <w:ind/>
        <w:rPr/>
      </w:pPr>
      <w:r>
        <w:t xml:space="preserve">Compare the forms of cultivation and desired conditions associated with sagehood in the selected Zhu Xi and Zhuangzi sources. Explain where the shared English label conceals different aims, rather than treating the cases as one harmony ideal.</w:t>
      </w:r>
      <w:r/>
    </w:p>
    <w:p>
      <w:pPr>
        <w:pStyle w:val="1138"/>
        <w:keepNext w:val="true"/>
        <w:keepLines w:val="true"/>
        <w:pBdr/>
        <w:spacing/>
        <w:ind/>
        <w:rPr/>
      </w:pPr>
      <w:r>
        <w:t xml:space="preserve">18.6 Epicurus, Spinoza, and Sartre: immanent or non-transcendent ends</w:t>
      </w:r>
      <w:r/>
    </w:p>
    <w:p>
      <w:pPr>
        <w:pBdr/>
        <w:spacing/>
        <w:ind/>
        <w:rPr/>
      </w:pPr>
      <w:r>
        <w:t xml:space="preserve">Separates tranquility, intellectual freedom/joy, and authenticity.</w:t>
      </w:r>
      <w:r/>
    </w:p>
    <w:p>
      <w:pPr>
        <w:pStyle w:val="1138"/>
        <w:keepNext w:val="true"/>
        <w:keepLines w:val="true"/>
        <w:pBdr/>
        <w:spacing/>
        <w:ind/>
        <w:rPr/>
      </w:pPr>
      <w:r>
        <w:t xml:space="preserve">18.7 Guru Nanak: liberation, grace, remembrance, and truthful life</w:t>
      </w:r>
      <w:r/>
    </w:p>
    <w:p>
      <w:pPr>
        <w:pBdr/>
        <w:spacing/>
        <w:ind/>
        <w:rPr/>
      </w:pPr>
      <w:r>
        <w:t xml:space="preserve">Tests the split between final condition and lived orientation.</w:t>
      </w:r>
      <w:r/>
    </w:p>
    <w:p>
      <w:pPr>
        <w:pStyle w:val="1138"/>
        <w:keepNext w:val="true"/>
        <w:keepLines w:val="true"/>
        <w:pBdr/>
        <w:spacing/>
        <w:ind/>
        <w:rPr/>
      </w:pPr>
      <w:r>
        <w:t xml:space="preserve">18.8 The shape of an end</w:t>
      </w:r>
      <w:r/>
    </w:p>
    <w:p>
      <w:pPr>
        <w:pBdr/>
        <w:spacing/>
        <w:ind/>
        <w:rPr/>
      </w:pPr>
      <w:r>
        <w:t xml:space="preserve">Compa</w:t>
      </w:r>
      <w:r>
        <w:t xml:space="preserve">re the temporal and practical structures of the desired conditions examined in this chapter. Present an L2 typology only where the synthesis and review requirements are satisfied; otherwise report the bounded candidate, pairwise distinctions or limitation.</w:t>
      </w:r>
      <w:r/>
    </w:p>
    <w:p>
      <w:pPr>
        <w:pStyle w:val="1137"/>
        <w:keepNext w:val="true"/>
        <w:keepLines w:val="true"/>
        <w:pBdr/>
        <w:spacing/>
        <w:ind/>
        <w:rPr/>
      </w:pPr>
      <w:r/>
      <w:bookmarkStart w:id="170" w:name="CH_19"/>
      <w:r>
        <w:t xml:space="preserve">Chapter 19 — The Recurrent Shapes—and the Counterexamples</w:t>
      </w:r>
      <w:bookmarkEnd w:id="170"/>
      <w:r/>
      <w:r/>
    </w:p>
    <w:p>
      <w:pPr>
        <w:pStyle w:val="1184"/>
        <w:keepNext w:val="true"/>
        <w:keepLines w:val="true"/>
        <w:pBdr/>
        <w:spacing/>
        <w:ind/>
        <w:rPr/>
      </w:pPr>
      <w:r/>
      <w:bookmarkStart w:id="171" w:name="T_CH_19"/>
      <w:r>
        <w:t xml:space="preserve">Governing — Chapter 19 local brief</w:t>
      </w:r>
      <w:bookmarkEnd w:id="171"/>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2393"/>
        <w:gridCol w:w="7613"/>
      </w:tblGrid>
      <w:tr>
        <w:trPr>
          <w:cantSplit/>
          <w:tblHeader/>
        </w:trPr>
        <w:tc>
          <w:tcPr>
            <w:shd w:val="clear" w:color="auto" w:fill="1f5a73"/>
            <w:tcBorders/>
            <w:tcMar>
              <w:left w:w="70" w:type="dxa"/>
              <w:top w:w="60" w:type="dxa"/>
              <w:right w:w="70" w:type="dxa"/>
              <w:bottom w:w="60" w:type="dxa"/>
            </w:tcMar>
            <w:tcW w:w="2393" w:type="dxa"/>
            <w:vAlign w:val="top"/>
          </w:tcPr>
          <w:p>
            <w:pPr>
              <w:pStyle w:val="1298"/>
              <w:pBdr/>
              <w:spacing/>
              <w:ind/>
              <w:rPr/>
            </w:pPr>
            <w:r>
              <w:t xml:space="preserve">Field</w:t>
            </w:r>
            <w:r/>
          </w:p>
        </w:tc>
        <w:tc>
          <w:tcPr>
            <w:shd w:val="clear" w:color="auto" w:fill="1f5a73"/>
            <w:tcBorders/>
            <w:tcMar>
              <w:left w:w="70" w:type="dxa"/>
              <w:top w:w="60" w:type="dxa"/>
              <w:right w:w="70" w:type="dxa"/>
              <w:bottom w:w="60" w:type="dxa"/>
            </w:tcMar>
            <w:tcW w:w="7613" w:type="dxa"/>
            <w:vAlign w:val="top"/>
          </w:tcPr>
          <w:p>
            <w:pPr>
              <w:pStyle w:val="1298"/>
              <w:pBdr/>
              <w:spacing/>
              <w:ind/>
              <w:rPr/>
            </w:pPr>
            <w:r>
              <w:t xml:space="preserve">Chapter brief</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Purpose</w:t>
            </w:r>
            <w:r/>
          </w:p>
        </w:tc>
        <w:tc>
          <w:tcPr>
            <w:tcBorders/>
            <w:tcMar>
              <w:left w:w="70" w:type="dxa"/>
              <w:top w:w="60" w:type="dxa"/>
              <w:right w:w="70" w:type="dxa"/>
              <w:bottom w:w="60" w:type="dxa"/>
            </w:tcMar>
            <w:tcW w:w="7613" w:type="dxa"/>
            <w:vAlign w:val="top"/>
          </w:tcPr>
          <w:p>
            <w:pPr>
              <w:pStyle w:val="1296"/>
              <w:pBdr/>
              <w:spacing/>
              <w:ind/>
              <w:rPr/>
            </w:pPr>
            <w:r>
              <w:t xml:space="preserve">Collect only the patterns that survive the enlarged corpus and explicit counterexample testing, and test whethe</w:t>
            </w:r>
            <w:r>
              <w:t xml:space="preserve">r existing records support a bounded integrative PublicationClaim—or only a negative or limitation result—about relations among reality, epistemic access, diagnosis and transformation without treating a cross-pattern audit as registration of a new pattern.</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Central question</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Which comparative</w:t>
            </w:r>
            <w:r>
              <w:t xml:space="preserve"> structures recur strongly enough to deserve L2 synthesis, where do they fail, and do relations among existing findings support a bounded cross-domain integration without conflating consciousness, subjecthood, epistemic access, diagnosis or transformation?</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Intellectual payoff</w:t>
            </w:r>
            <w:r/>
          </w:p>
        </w:tc>
        <w:tc>
          <w:tcPr>
            <w:tcBorders/>
            <w:tcMar>
              <w:left w:w="70" w:type="dxa"/>
              <w:top w:w="60" w:type="dxa"/>
              <w:right w:w="70" w:type="dxa"/>
              <w:bottom w:w="60" w:type="dxa"/>
            </w:tcMar>
            <w:tcW w:w="7613" w:type="dxa"/>
            <w:vAlign w:val="top"/>
          </w:tcPr>
          <w:p>
            <w:pPr>
              <w:pStyle w:val="1296"/>
              <w:pBdr/>
              <w:spacing/>
              <w:ind/>
              <w:rPr/>
            </w:pPr>
            <w:r>
              <w:t xml:space="preserve">Gives the Atlas a cumulative argument and integrates prior chapters without pretending recurrence proves universality, that Being, Knowing and Becoming form one structure, or that a cross-pattern audit automatically constitutes a new synthesis.</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Comparative scope</w:t>
            </w:r>
            <w:r/>
          </w:p>
        </w:tc>
        <w:tc>
          <w:tcPr>
            <w:shd w:val="clear" w:color="auto" w:fill="f7f9fa"/>
            <w:tcBorders/>
            <w:tcMar>
              <w:left w:w="70" w:type="dxa"/>
              <w:top w:w="60" w:type="dxa"/>
              <w:right w:w="70" w:type="dxa"/>
              <w:bottom w:w="60" w:type="dxa"/>
            </w:tcMar>
            <w:tcW w:w="7613" w:type="dxa"/>
            <w:vAlign w:val="top"/>
          </w:tcPr>
          <w:p>
            <w:pPr>
              <w:pStyle w:val="1296"/>
              <w:pBdr/>
              <w:spacing/>
              <w:ind/>
              <w:rPr/>
            </w:pPr>
            <w:r>
              <w:rPr>
                <w:b/>
              </w:rPr>
              <w:t xml:space="preserve">Core Positions:</w:t>
            </w:r>
            <w:r>
              <w:t xml:space="preserve"> All adopted CORE positions.</w:t>
            </w:r>
            <w:r/>
          </w:p>
          <w:p>
            <w:pPr>
              <w:pStyle w:val="1296"/>
              <w:pBdr/>
              <w:spacing/>
              <w:ind/>
              <w:rPr/>
            </w:pPr>
            <w:r>
              <w:t xml:space="preserve">Comparators and counterexamples: Selected MAJOR COMPARATOR and COUNTEREXAMPLE/STRESS positions as required by the chapter hypothesis set.</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Domains and concepts</w:t>
            </w:r>
            <w:r/>
          </w:p>
        </w:tc>
        <w:tc>
          <w:tcPr>
            <w:tcBorders/>
            <w:tcMar>
              <w:left w:w="70" w:type="dxa"/>
              <w:top w:w="60" w:type="dxa"/>
              <w:right w:w="70" w:type="dxa"/>
              <w:bottom w:w="60" w:type="dxa"/>
            </w:tcMar>
            <w:tcW w:w="7613" w:type="dxa"/>
            <w:vAlign w:val="top"/>
          </w:tcPr>
          <w:p>
            <w:pPr>
              <w:pStyle w:val="1296"/>
              <w:pBdr/>
              <w:spacing/>
              <w:ind/>
              <w:rPr/>
            </w:pPr>
            <w:r>
              <w:rPr>
                <w:b/>
              </w:rPr>
              <w:t xml:space="preserve">Primary domains:</w:t>
            </w:r>
            <w:r>
              <w:t xml:space="preserve"> Cross-domain.</w:t>
            </w:r>
            <w:r/>
          </w:p>
          <w:p>
            <w:pPr>
              <w:pStyle w:val="1296"/>
              <w:pBdr/>
              <w:spacing/>
              <w:ind/>
              <w:rPr/>
            </w:pPr>
            <w:r>
              <w:t xml:space="preserve">Key concept</w:t>
            </w:r>
            <w:r>
              <w:t xml:space="preserve">s: P1 misidentification/epistemic distortion; P7 terminal versus open-ended transformation; P5 consciousness as fundamental only where materially relevant; D1/D5/D6/D7/D9/D12/D14 boundaries; conditions of epistemic access; knowing–transformation relations.</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Comparison burden</w:t>
            </w:r>
            <w:r/>
          </w:p>
        </w:tc>
        <w:tc>
          <w:tcPr>
            <w:shd w:val="clear" w:color="auto" w:fill="f7f9fa"/>
            <w:tcBorders/>
            <w:tcMar>
              <w:left w:w="70" w:type="dxa"/>
              <w:top w:w="60" w:type="dxa"/>
              <w:right w:w="70" w:type="dxa"/>
              <w:bottom w:w="60" w:type="dxa"/>
            </w:tcMar>
            <w:tcW w:w="7613" w:type="dxa"/>
            <w:vAlign w:val="top"/>
          </w:tcPr>
          <w:p>
            <w:pPr>
              <w:pStyle w:val="1296"/>
              <w:pBdr/>
              <w:spacing/>
              <w:ind/>
              <w:rPr/>
            </w:pPr>
            <w:r>
              <w:rPr>
                <w:b/>
              </w:rPr>
              <w:t xml:space="preserve">Principal comparisons and relations:</w:t>
            </w:r>
            <w:r>
              <w:t xml:space="preserve"> the existing P1–P7 hypothesis set plus any ge</w:t>
            </w:r>
            <w:r>
              <w:t xml:space="preserve">nuinely new morphology discovered through governed research. Conduct a P1/P7-centered cross-pattern audit to determine whether source-grounded relations among diagnosis, epistemic access and transformation survive; include P5 only for Positions where the e</w:t>
            </w:r>
            <w:r>
              <w:t xml:space="preserve">xisting “Consciousness as fundamental” pattern materially bears on the question, and never relabel P5 as subject architecture or use it as a proxy for D6 or D7. Use relevant D1/D5/D6/D7/D9/D12/D14 Claims, QuestionResponses and ComparisonEvents as premises.</w:t>
            </w:r>
            <w:r/>
          </w:p>
          <w:p>
            <w:pPr>
              <w:pStyle w:val="1296"/>
              <w:pBdr/>
              <w:spacing/>
              <w:ind/>
              <w:rPr/>
            </w:pPr>
            <w:r>
              <w:t xml:space="preserve">Relation types remain STR, FUN, INC, GEN and, where separately established, OEQ; MIS applies where the cross-domain tertium distorts.</w:t>
            </w:r>
            <w:r/>
          </w:p>
          <w:p>
            <w:pPr>
              <w:pStyle w:val="1296"/>
              <w:pBdr/>
              <w:spacing/>
              <w:ind/>
              <w:rPr/>
            </w:pPr>
            <w:r>
              <w:t xml:space="preserve">Essential disanalogies: each retained linkage includes uncoupled, negative and category-refusing cases; direction and scope are explicit; genealogy/independence remains mandatory. The cross-pattern audit of the existing P1–P7 hypotheses may report sup</w:t>
            </w:r>
            <w:r>
              <w:t xml:space="preserve">ported relations among existing records or a negative or limitation result. It does not itself establish a new synthesis. Any genuinely new recurrence claim requires separate registration, review and change control under Research Specification §§11 and 13.</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Evidence and review</w:t>
            </w:r>
            <w:r/>
          </w:p>
        </w:tc>
        <w:tc>
          <w:tcPr>
            <w:tcBorders/>
            <w:tcMar>
              <w:left w:w="70" w:type="dxa"/>
              <w:top w:w="60" w:type="dxa"/>
              <w:right w:w="70" w:type="dxa"/>
              <w:bottom w:w="60" w:type="dxa"/>
            </w:tcMar>
            <w:tcW w:w="7613" w:type="dxa"/>
            <w:vAlign w:val="top"/>
          </w:tcPr>
          <w:p>
            <w:pPr>
              <w:pStyle w:val="1296"/>
              <w:pBdr/>
              <w:spacing/>
              <w:ind/>
              <w:rPr/>
            </w:pPr>
            <w:r>
              <w:rPr>
                <w:b/>
              </w:rPr>
              <w:t xml:space="preserve">Research and evidence burden:</w:t>
            </w:r>
            <w:r>
              <w:t xml:space="preserve"> Requires mature core records, G2/G3 reliability evidence for release confidence, a negative-case dossier and a cross-pattern audit package.</w:t>
            </w:r>
            <w:r/>
          </w:p>
          <w:p>
            <w:pPr>
              <w:pStyle w:val="1296"/>
              <w:pBdr/>
              <w:spacing/>
              <w:ind/>
              <w:rPr/>
            </w:pPr>
            <w:r>
              <w:t xml:space="preserve">C</w:t>
            </w:r>
            <w:r>
              <w:t xml:space="preserve">anonical inputs and generated views: Existing SynthesisRecords and PublicationClaims for P1 and P7, P5 only where actually used, exact D1/D5/D6/D7/D9/D12/D14 Claim/QuestionResponse links, the interactive pattern graph and complete ComparisonEvent evidence.</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Dependencies and local consequence</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RG-25, RG-26, RG-27, RG-28, RG-29, RG-31, RG-32, RG-33. L2 synthesis also depends on all-state, relation and traceability evidence.</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Planned outputs</w:t>
            </w:r>
            <w:r/>
          </w:p>
        </w:tc>
        <w:tc>
          <w:tcPr>
            <w:tcBorders/>
            <w:tcMar>
              <w:left w:w="70" w:type="dxa"/>
              <w:top w:w="60" w:type="dxa"/>
              <w:right w:w="70" w:type="dxa"/>
              <w:bottom w:w="60" w:type="dxa"/>
            </w:tcMar>
            <w:tcW w:w="7613" w:type="dxa"/>
            <w:vAlign w:val="top"/>
          </w:tcPr>
          <w:p>
            <w:pPr>
              <w:pStyle w:val="1296"/>
              <w:pBdr/>
              <w:spacing/>
              <w:ind/>
              <w:rPr/>
            </w:pPr>
            <w:r>
              <w:t xml:space="preserve">Figure 19. Pattern/counterexample graph; Table 19. L2 candidates and falsifiers.</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Target narrative words</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14,000</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Chapter-specific completion tests</w:t>
            </w:r>
            <w:r/>
          </w:p>
        </w:tc>
        <w:tc>
          <w:tcPr>
            <w:tcBorders/>
            <w:tcMar>
              <w:left w:w="70" w:type="dxa"/>
              <w:top w:w="60" w:type="dxa"/>
              <w:right w:w="70" w:type="dxa"/>
              <w:bottom w:w="60" w:type="dxa"/>
            </w:tcMar>
            <w:tcW w:w="7613" w:type="dxa"/>
            <w:vAlign w:val="top"/>
          </w:tcPr>
          <w:p>
            <w:pPr>
              <w:pStyle w:val="1296"/>
              <w:pBdr/>
              <w:spacing/>
              <w:ind/>
              <w:rPr/>
            </w:pPr>
            <w:r>
              <w:t xml:space="preserve">Every reader-facing recurrence resolves to a named L2 SynthesisRecord and PublicationClaim publication_scope; selection basis, effective genealogy clusters, nega</w:t>
            </w:r>
            <w:r>
              <w:t xml:space="preserve">tive cases, counterexamples, translation/boundary dependencies, sensitivity tests and review are complete; the P1/P7-centered cross-pattern audit is recorded; any P5 use remains within its existing consciousness-fundamentality scope; the audit result is cl</w:t>
            </w:r>
            <w:r>
              <w:t xml:space="preserve">assified as an existing-record linkage, negative/limitation result or future candidate; and no unregistered recurrence claim, universal triad or L3–L5 formulation is permitted. Any genuinely new candidate requires separate governed registration and review.</w:t>
            </w:r>
            <w:r/>
          </w:p>
        </w:tc>
      </w:tr>
    </w:tbl>
    <w:p>
      <w:pPr>
        <w:pStyle w:val="1300"/>
        <w:pBdr/>
        <w:spacing/>
        <w:ind/>
        <w:rPr/>
      </w:pPr>
      <w:r/>
      <w:r/>
    </w:p>
    <w:p>
      <w:pPr>
        <w:pStyle w:val="1138"/>
        <w:keepNext w:val="true"/>
        <w:keepLines w:val="true"/>
        <w:pBdr/>
        <w:spacing/>
        <w:ind/>
        <w:rPr/>
      </w:pPr>
      <w:r>
        <w:t xml:space="preserve">19.1 How a pattern earns a place here</w:t>
      </w:r>
      <w:r/>
    </w:p>
    <w:p>
      <w:pPr>
        <w:pBdr/>
        <w:spacing/>
        <w:ind/>
        <w:rPr/>
      </w:pPr>
      <w:r>
        <w:t xml:space="preserve">Defines the negative-case, genealogy, source and relation requirements, including the rule that a cross-pattern bridge must be non-redundant and must preserve uncoupled or category-refusing cases.</w:t>
      </w:r>
      <w:r/>
    </w:p>
    <w:p>
      <w:pPr>
        <w:pStyle w:val="1138"/>
        <w:keepNext w:val="true"/>
        <w:keepLines w:val="true"/>
        <w:pBdr/>
        <w:spacing/>
        <w:ind/>
        <w:rPr/>
      </w:pPr>
      <w:r>
        <w:t xml:space="preserve">19.2 Misidentification and epistemic distortion</w:t>
      </w:r>
      <w:r/>
    </w:p>
    <w:p>
      <w:pPr>
        <w:pBdr/>
        <w:spacing/>
        <w:ind/>
        <w:rPr/>
      </w:pPr>
      <w:r>
        <w:t xml:space="preserve">Re-tests misidentification/epistemic distortion and identifies whether each diagnosis also supplies an access condition or remedy, without assuming that it does.</w:t>
      </w:r>
      <w:r/>
    </w:p>
    <w:p>
      <w:pPr>
        <w:pStyle w:val="1138"/>
        <w:keepNext w:val="true"/>
        <w:keepLines w:val="true"/>
        <w:pBdr/>
        <w:spacing/>
        <w:ind/>
        <w:rPr/>
      </w:pPr>
      <w:r>
        <w:t xml:space="preserve">19.3 Disclosure, participation, and patterned immanence</w:t>
      </w:r>
      <w:r/>
    </w:p>
    <w:p>
      <w:pPr>
        <w:pBdr/>
        <w:spacing/>
        <w:ind/>
        <w:rPr/>
      </w:pPr>
      <w:r>
        <w:t xml:space="preserve">Test whether disclosure, participation and patterned immanence ident</w:t>
      </w:r>
      <w:r>
        <w:t xml:space="preserve">ify a useful family of world-relation structures across Ibn ʿArabī, Plotinus, Zhu Xi, Spinoza and Guru Nanak. State the exact common feature, material differences and counterpressure; subdivide or reject the grouping where the evidence does not support it.</w:t>
      </w:r>
      <w:r/>
    </w:p>
    <w:p>
      <w:pPr>
        <w:pStyle w:val="1138"/>
        <w:keepNext w:val="true"/>
        <w:keepLines w:val="true"/>
        <w:pBdr/>
        <w:spacing/>
        <w:ind/>
        <w:rPr/>
      </w:pPr>
      <w:r>
        <w:t xml:space="preserve">19.4 Constraint, exit, and release</w:t>
      </w:r>
      <w:r/>
    </w:p>
    <w:p>
      <w:pPr>
        <w:pBdr/>
        <w:spacing/>
        <w:ind/>
        <w:rPr/>
      </w:pPr>
      <w:r>
        <w:t xml:space="preserve">Tests Sethian, Indian, and secular cases against false universal soteriology.</w:t>
      </w:r>
      <w:r/>
    </w:p>
    <w:p>
      <w:pPr>
        <w:pStyle w:val="1138"/>
        <w:keepNext w:val="true"/>
        <w:keepLines w:val="true"/>
        <w:pBdr/>
        <w:spacing/>
        <w:ind/>
        <w:rPr/>
      </w:pPr>
      <w:r>
        <w:t xml:space="preserve">19.5 No fixed substantial self</w:t>
      </w:r>
      <w:r/>
    </w:p>
    <w:p>
      <w:pPr>
        <w:pBdr/>
        <w:spacing/>
        <w:ind/>
        <w:rPr/>
      </w:pPr>
      <w:r>
        <w:t xml:space="preserve">Compares Madhyamaka, Yogācāra, Hume, Sartre, and countercases with explicit genealogy/contact assessment; independent support is claimed only where established.</w:t>
      </w:r>
      <w:r/>
    </w:p>
    <w:p>
      <w:pPr>
        <w:pStyle w:val="1138"/>
        <w:keepNext w:val="true"/>
        <w:keepLines w:val="true"/>
        <w:pBdr/>
        <w:spacing/>
        <w:ind/>
        <w:rPr/>
      </w:pPr>
      <w:r>
        <w:t xml:space="preserve">19.6 Fundamental consciousness is more than one architecture</w:t>
      </w:r>
      <w:r/>
    </w:p>
    <w:p>
      <w:pPr>
        <w:pBdr/>
        <w:spacing/>
        <w:ind/>
        <w:rPr/>
      </w:pPr>
      <w:r>
        <w:t xml:space="preserve">Uses Sāṃkhya, Utpaladeva, micropsychism, Leibniz</w:t>
      </w:r>
      <w:r>
        <w:t xml:space="preserve"> and Whitehead to dissolve one tempting umbrella and tests only whether the existing consciousness-fundamentality pattern bears on a source-grounded theory of knowing or subjecthood; it does not infer a knower, epistemic access or a path of transformation.</w:t>
      </w:r>
      <w:r/>
    </w:p>
    <w:p>
      <w:pPr>
        <w:pStyle w:val="1138"/>
        <w:keepNext w:val="true"/>
        <w:keepLines w:val="true"/>
        <w:pBdr/>
        <w:spacing/>
        <w:ind/>
        <w:rPr/>
      </w:pPr>
      <w:r>
        <w:t xml:space="preserve">19.7 Causal order and agency under comparison</w:t>
      </w:r>
      <w:r/>
    </w:p>
    <w:p>
      <w:pPr>
        <w:pBdr/>
        <w:spacing/>
        <w:ind/>
        <w:rPr/>
      </w:pPr>
      <w:r>
        <w:t xml:space="preserve">Test whether the distinction between causal order and agency recurs </w:t>
      </w:r>
      <w:r>
        <w:t xml:space="preserve">across the selected comparisons, and state where it clarifies or distorts the source accounts. Report only the scope supported by P6’s evidence and review, including counterexamples or a negative result; do not turn the distinction into a metaphysical law.</w:t>
      </w:r>
      <w:r/>
    </w:p>
    <w:p>
      <w:pPr>
        <w:pStyle w:val="1138"/>
        <w:keepNext w:val="true"/>
        <w:keepLines w:val="true"/>
        <w:pBdr/>
        <w:spacing/>
        <w:ind/>
        <w:rPr/>
      </w:pPr>
      <w:r>
        <w:t xml:space="preserve">19.8 Terminal versus open-ended transformation</w:t>
      </w:r>
      <w:r/>
    </w:p>
    <w:p>
      <w:pPr>
        <w:pBdr/>
        <w:spacing/>
        <w:ind/>
        <w:rPr/>
      </w:pPr>
      <w:r>
        <w:t xml:space="preserve">Tests static release, endless growth, practice-realization and no cosmic telos as a possible L2 morphology, including whether any stable relation to knowing exists.</w:t>
      </w:r>
      <w:r/>
    </w:p>
    <w:p>
      <w:pPr>
        <w:pStyle w:val="1138"/>
        <w:keepNext w:val="true"/>
        <w:keepLines w:val="true"/>
        <w:pBdr/>
        <w:spacing/>
        <w:ind/>
        <w:rPr/>
      </w:pPr>
      <w:r>
        <w:t xml:space="preserve">19.9 What did not recur</w:t>
      </w:r>
      <w:r/>
    </w:p>
    <w:p>
      <w:pPr>
        <w:pBdr/>
        <w:spacing/>
        <w:ind/>
        <w:rPr/>
      </w:pPr>
      <w:r>
        <w:t xml:space="preserve">Includes failed patterns, failed couplings, uncoupled cases and negative results as evidence.</w:t>
      </w:r>
      <w:r/>
    </w:p>
    <w:p>
      <w:pPr>
        <w:pStyle w:val="1137"/>
        <w:keepNext w:val="true"/>
        <w:keepLines w:val="true"/>
        <w:pBdr/>
        <w:spacing/>
        <w:ind/>
        <w:rPr/>
      </w:pPr>
      <w:r/>
      <w:bookmarkStart w:id="172" w:name="CH_20"/>
      <w:r>
        <w:t xml:space="preserve">Chapter 20 — What Comparison Establishes—and Where It Must Stop</w:t>
      </w:r>
      <w:bookmarkEnd w:id="172"/>
      <w:r/>
      <w:r/>
    </w:p>
    <w:p>
      <w:pPr>
        <w:pStyle w:val="1184"/>
        <w:keepNext w:val="true"/>
        <w:keepLines w:val="true"/>
        <w:pBdr/>
        <w:spacing/>
        <w:ind/>
        <w:rPr/>
      </w:pPr>
      <w:r/>
      <w:bookmarkStart w:id="173" w:name="T_CH_20"/>
      <w:r>
        <w:t xml:space="preserve">Governing — Chapter 20 local brief</w:t>
      </w:r>
      <w:bookmarkEnd w:id="173"/>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2393"/>
        <w:gridCol w:w="7613"/>
      </w:tblGrid>
      <w:tr>
        <w:trPr>
          <w:cantSplit/>
          <w:tblHeader/>
        </w:trPr>
        <w:tc>
          <w:tcPr>
            <w:shd w:val="clear" w:color="auto" w:fill="1f5a73"/>
            <w:tcBorders/>
            <w:tcMar>
              <w:left w:w="70" w:type="dxa"/>
              <w:top w:w="60" w:type="dxa"/>
              <w:right w:w="70" w:type="dxa"/>
              <w:bottom w:w="60" w:type="dxa"/>
            </w:tcMar>
            <w:tcW w:w="2393" w:type="dxa"/>
            <w:vAlign w:val="top"/>
          </w:tcPr>
          <w:p>
            <w:pPr>
              <w:pStyle w:val="1298"/>
              <w:pBdr/>
              <w:spacing/>
              <w:ind/>
              <w:rPr/>
            </w:pPr>
            <w:r>
              <w:t xml:space="preserve">Field</w:t>
            </w:r>
            <w:r/>
          </w:p>
        </w:tc>
        <w:tc>
          <w:tcPr>
            <w:shd w:val="clear" w:color="auto" w:fill="1f5a73"/>
            <w:tcBorders/>
            <w:tcMar>
              <w:left w:w="70" w:type="dxa"/>
              <w:top w:w="60" w:type="dxa"/>
              <w:right w:w="70" w:type="dxa"/>
              <w:bottom w:w="60" w:type="dxa"/>
            </w:tcMar>
            <w:tcW w:w="7613" w:type="dxa"/>
            <w:vAlign w:val="top"/>
          </w:tcPr>
          <w:p>
            <w:pPr>
              <w:pStyle w:val="1298"/>
              <w:pBdr/>
              <w:spacing/>
              <w:ind/>
              <w:rPr/>
            </w:pPr>
            <w:r>
              <w:t xml:space="preserve">Chapter brief</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Purpose</w:t>
            </w:r>
            <w:r/>
          </w:p>
        </w:tc>
        <w:tc>
          <w:tcPr>
            <w:tcBorders/>
            <w:tcMar>
              <w:left w:w="70" w:type="dxa"/>
              <w:top w:w="60" w:type="dxa"/>
              <w:right w:w="70" w:type="dxa"/>
              <w:bottom w:w="60" w:type="dxa"/>
            </w:tcMar>
            <w:tcW w:w="7613" w:type="dxa"/>
            <w:vAlign w:val="top"/>
          </w:tcPr>
          <w:p>
            <w:pPr>
              <w:pStyle w:val="1296"/>
              <w:pBdr/>
              <w:spacing/>
              <w:ind/>
              <w:rPr/>
            </w:pPr>
            <w:r>
              <w:t xml:space="preserve">Conclude with </w:t>
            </w:r>
            <w:r>
              <w:t xml:space="preserve">the Atlas’s actual intellectual contribution and explicit limits, including the mapped relations among reality, epistemic authority and access, sources or structures of error and transformation, with knower/subject language used only where source-grounded.</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Central question</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After all these comparisons, what can responsibly be said about the structured possibilities by which Positions connect or separate reality, epistemic access, diagnosis, transformation and human life without presuming one knower or one sequence?</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Intellectual payoff</w:t>
            </w:r>
            <w:r/>
          </w:p>
        </w:tc>
        <w:tc>
          <w:tcPr>
            <w:tcBorders/>
            <w:tcMar>
              <w:left w:w="70" w:type="dxa"/>
              <w:top w:w="60" w:type="dxa"/>
              <w:right w:w="70" w:type="dxa"/>
              <w:bottom w:w="60" w:type="dxa"/>
            </w:tcMar>
            <w:tcW w:w="7613" w:type="dxa"/>
            <w:vAlign w:val="top"/>
          </w:tcPr>
          <w:p>
            <w:pPr>
              <w:pStyle w:val="1296"/>
              <w:pBdr/>
              <w:spacing/>
              <w:ind/>
              <w:rPr/>
            </w:pPr>
            <w:r>
              <w:t xml:space="preserve">Transforms the work from catalogue into a disciplined map of solution-spaces, fault lines and cross-domain architectures without perennialist closure, a universal Being–Knowing–Becoming thesis, or a consciousness-to-subjecthood shortcut.</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Comparative scope</w:t>
            </w:r>
            <w:r/>
          </w:p>
        </w:tc>
        <w:tc>
          <w:tcPr>
            <w:shd w:val="clear" w:color="auto" w:fill="f7f9fa"/>
            <w:tcBorders/>
            <w:tcMar>
              <w:left w:w="70" w:type="dxa"/>
              <w:top w:w="60" w:type="dxa"/>
              <w:right w:w="70" w:type="dxa"/>
              <w:bottom w:w="60" w:type="dxa"/>
            </w:tcMar>
            <w:tcW w:w="7613" w:type="dxa"/>
            <w:vAlign w:val="top"/>
          </w:tcPr>
          <w:p>
            <w:pPr>
              <w:pStyle w:val="1296"/>
              <w:pBdr/>
              <w:spacing/>
              <w:ind/>
              <w:rPr/>
            </w:pPr>
            <w:r>
              <w:rPr>
                <w:b/>
              </w:rPr>
              <w:t xml:space="preserve">Core Positions:</w:t>
            </w:r>
            <w:r>
              <w:t xml:space="preserve"> All adopted CORE positions.</w:t>
            </w:r>
            <w:r/>
          </w:p>
          <w:p>
            <w:pPr>
              <w:pStyle w:val="1296"/>
              <w:pBdr/>
              <w:spacing/>
              <w:ind/>
              <w:rPr/>
            </w:pPr>
            <w:r>
              <w:t xml:space="preserve">Comparators and counterexamples: All adopted non-core publication roles as relevant; held/future material remains bounded by its current role.</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Domains and concepts</w:t>
            </w:r>
            <w:r/>
          </w:p>
        </w:tc>
        <w:tc>
          <w:tcPr>
            <w:tcBorders/>
            <w:tcMar>
              <w:left w:w="70" w:type="dxa"/>
              <w:top w:w="60" w:type="dxa"/>
              <w:right w:w="70" w:type="dxa"/>
              <w:bottom w:w="60" w:type="dxa"/>
            </w:tcMar>
            <w:tcW w:w="7613" w:type="dxa"/>
            <w:vAlign w:val="top"/>
          </w:tcPr>
          <w:p>
            <w:pPr>
              <w:pStyle w:val="1296"/>
              <w:pBdr/>
              <w:spacing/>
              <w:ind/>
              <w:rPr/>
            </w:pPr>
            <w:r>
              <w:rPr>
                <w:b/>
              </w:rPr>
              <w:t xml:space="preserve">Primary domains:</w:t>
            </w:r>
            <w:r>
              <w:t xml:space="preserve"> Cross-domain.</w:t>
            </w:r>
            <w:r/>
          </w:p>
          <w:p>
            <w:pPr>
              <w:pStyle w:val="1296"/>
              <w:pBdr/>
              <w:spacing/>
              <w:ind/>
              <w:rPr/>
            </w:pPr>
            <w:r>
              <w:t xml:space="preserve">Key concepts: conceptual saturation; L0–L5; counterexample; independence; provenance; conditions of epistemic access; knowing–transformation relations.</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Comparison burden</w:t>
            </w:r>
            <w:r/>
          </w:p>
        </w:tc>
        <w:tc>
          <w:tcPr>
            <w:shd w:val="clear" w:color="auto" w:fill="f7f9fa"/>
            <w:tcBorders/>
            <w:tcMar>
              <w:left w:w="70" w:type="dxa"/>
              <w:top w:w="60" w:type="dxa"/>
              <w:right w:w="70" w:type="dxa"/>
              <w:bottom w:w="60" w:type="dxa"/>
            </w:tcMar>
            <w:tcW w:w="7613" w:type="dxa"/>
            <w:vAlign w:val="top"/>
          </w:tcPr>
          <w:p>
            <w:pPr>
              <w:pStyle w:val="1296"/>
              <w:pBdr/>
              <w:spacing/>
              <w:ind/>
              <w:rPr/>
            </w:pPr>
            <w:r>
              <w:rPr>
                <w:b/>
              </w:rPr>
              <w:t xml:space="preserve">Principal comparisons and relations:</w:t>
            </w:r>
            <w:r>
              <w:t xml:space="preserve"> Synthesis of chapter-level findings only.</w:t>
            </w:r>
            <w:r/>
          </w:p>
          <w:p>
            <w:pPr>
              <w:pStyle w:val="1296"/>
              <w:pBdr/>
              <w:spacing/>
              <w:ind/>
              <w:rPr/>
            </w:pPr>
            <w:r>
              <w:t xml:space="preserve">Relation types: No new relation claims without underlying events.</w:t>
            </w:r>
            <w:r/>
          </w:p>
          <w:p>
            <w:pPr>
              <w:pStyle w:val="1296"/>
              <w:pBdr/>
              <w:spacing/>
              <w:ind/>
              <w:rPr/>
            </w:pPr>
            <w:r>
              <w:t xml:space="preserve">Essential disanalogies: global resemblance is not equivalence; recurrence is not truth; consciousness</w:t>
            </w:r>
            <w:r>
              <w:t xml:space="preserve"> is not automatically subjecthood or access; transformative effect is not epistemic validation; reported access is not metaphysical proof; absence from the corpus is not impossibility; Being, Knowing and Becoming are not presumed to form a universal triad.</w:t>
            </w:r>
            <w:r/>
          </w:p>
          <w:p>
            <w:pPr>
              <w:pStyle w:val="1296"/>
              <w:pBdr/>
              <w:spacing/>
              <w:ind/>
              <w:rPr/>
            </w:pPr>
            <w:r>
              <w:t xml:space="preserve">Genealogy: Pattern claims explicitly distinguish contact, convergence, independence and unknown.</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Evidence and review</w:t>
            </w:r>
            <w:r/>
          </w:p>
        </w:tc>
        <w:tc>
          <w:tcPr>
            <w:tcBorders/>
            <w:tcMar>
              <w:left w:w="70" w:type="dxa"/>
              <w:top w:w="60" w:type="dxa"/>
              <w:right w:w="70" w:type="dxa"/>
              <w:bottom w:w="60" w:type="dxa"/>
            </w:tcMar>
            <w:tcW w:w="7613" w:type="dxa"/>
            <w:vAlign w:val="top"/>
          </w:tcPr>
          <w:p>
            <w:pPr>
              <w:pStyle w:val="1296"/>
              <w:pBdr/>
              <w:spacing/>
              <w:ind/>
              <w:rPr/>
            </w:pPr>
            <w:r>
              <w:rPr>
                <w:b/>
              </w:rPr>
              <w:t xml:space="preserve">Research and evidence burden:</w:t>
            </w:r>
            <w:r>
              <w:t xml:space="preserve"> Requires completed research-gap closure for manuscript claims and updated novelty review; L3+ remains gated.</w:t>
            </w:r>
            <w:r/>
          </w:p>
          <w:p>
            <w:pPr>
              <w:pStyle w:val="1296"/>
              <w:pBdr/>
              <w:spacing/>
              <w:ind/>
              <w:rPr/>
            </w:pPr>
            <w:r>
              <w:t xml:space="preserve">Canonical inputs and generated views: Exact SynthesisRecord and publication_scope for every cumulative formulation; Reader routes into the canonical evidence layer and future version updates.</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Dependencies and local consequence</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RG-30, RG-31, RG-32, RG-33, RG-35. Final claims depend on saturation, reliability, traceability and a contemporaneous novelty refresh.</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Planned outputs</w:t>
            </w:r>
            <w:r/>
          </w:p>
        </w:tc>
        <w:tc>
          <w:tcPr>
            <w:tcBorders/>
            <w:tcMar>
              <w:left w:w="70" w:type="dxa"/>
              <w:top w:w="60" w:type="dxa"/>
              <w:right w:w="70" w:type="dxa"/>
              <w:bottom w:w="60" w:type="dxa"/>
            </w:tcMar>
            <w:tcW w:w="7613" w:type="dxa"/>
            <w:vAlign w:val="top"/>
          </w:tcPr>
          <w:p>
            <w:pPr>
              <w:pStyle w:val="1296"/>
              <w:pBdr/>
              <w:spacing/>
              <w:ind/>
              <w:rPr/>
            </w:pPr>
            <w:r>
              <w:t xml:space="preserve">Figure 20. Atlas solution-space map; Box 20. Claims the Atlas refuses, including: “No universal Being–Knowing–Becoming triad, fixed sequence, consciousness-to-knower shortcut or privileged route from transformation or experience to truth.”</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Target narrative words</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10,000</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Chapter-specific completion tests</w:t>
            </w:r>
            <w:r/>
          </w:p>
        </w:tc>
        <w:tc>
          <w:tcPr>
            <w:tcBorders/>
            <w:tcMar>
              <w:left w:w="70" w:type="dxa"/>
              <w:top w:w="60" w:type="dxa"/>
              <w:right w:w="70" w:type="dxa"/>
              <w:bottom w:w="60" w:type="dxa"/>
            </w:tcMar>
            <w:tcW w:w="7613" w:type="dxa"/>
            <w:vAlign w:val="top"/>
          </w:tcPr>
          <w:p>
            <w:pPr>
              <w:pStyle w:val="1296"/>
              <w:pBdr/>
              <w:spacing/>
              <w:ind/>
              <w:rPr/>
            </w:pPr>
            <w:r>
              <w:t xml:space="preserve">The concluding formulation narrows to the</w:t>
            </w:r>
            <w:r>
              <w:t xml:space="preserve"> actual release-eligible findings, including pairwise, negative or limitation results where warranted. Every concluding thesis resolves through a PublicationClaimRecord to release-eligible canonical premises and, where cumulative, the exact L0–L2 Synthesis</w:t>
            </w:r>
            <w:r>
              <w:t xml:space="preserve">Record; the prohibited stronger reading excludes universality, truth-by-frequency, unbounded global recurrence, any necessary or privileged coupling among Being, Knowing and Becoming, and any inference from consciousness to subjecthood or epistemic access.</w:t>
            </w:r>
            <w:r/>
          </w:p>
        </w:tc>
      </w:tr>
    </w:tbl>
    <w:p>
      <w:pPr>
        <w:pStyle w:val="1300"/>
        <w:pBdr/>
        <w:spacing/>
        <w:ind/>
        <w:rPr/>
      </w:pPr>
      <w:r/>
      <w:r/>
    </w:p>
    <w:p>
      <w:pPr>
        <w:pStyle w:val="1138"/>
        <w:keepNext w:val="true"/>
        <w:keepLines w:val="true"/>
        <w:pBdr/>
        <w:spacing/>
        <w:ind/>
        <w:rPr/>
      </w:pPr>
      <w:r>
        <w:t xml:space="preserve">20.1 The Atlas as a map of constrained possibilities</w:t>
      </w:r>
      <w:r/>
    </w:p>
    <w:p>
      <w:pPr>
        <w:pBdr/>
        <w:spacing/>
        <w:ind/>
        <w:rPr/>
      </w:pPr>
      <w:r>
        <w:t xml:space="preserve">Introduce the solution-spaces and fault lines established by the preceding c</w:t>
      </w:r>
      <w:r>
        <w:t xml:space="preserve">hapters, including supported cross-domain relations and negative results. Distinguish their scope from the remaining coverage and evidential limits. Reserve the final integrative formulation for §20.6, where it must narrow to the release-eligible findings.</w:t>
      </w:r>
      <w:r/>
    </w:p>
    <w:p>
      <w:pPr>
        <w:pStyle w:val="1138"/>
        <w:keepNext w:val="true"/>
        <w:keepLines w:val="true"/>
        <w:pBdr/>
        <w:spacing/>
        <w:ind/>
        <w:rPr/>
      </w:pPr>
      <w:r>
        <w:t xml:space="preserve">20.2 What recurrence can show</w:t>
      </w:r>
      <w:r/>
    </w:p>
    <w:p>
      <w:pPr>
        <w:pBdr/>
        <w:spacing/>
        <w:ind/>
        <w:rPr/>
      </w:pPr>
      <w:r>
        <w:t xml:space="preserve">Permits comparative morphology, contrast and hypothesis generation concerning both solution-spaces and cross-domain relations at warranted levels.</w:t>
      </w:r>
      <w:r/>
    </w:p>
    <w:p>
      <w:pPr>
        <w:pStyle w:val="1138"/>
        <w:keepNext w:val="true"/>
        <w:keepLines w:val="true"/>
        <w:pBdr/>
        <w:spacing/>
        <w:ind/>
        <w:rPr/>
      </w:pPr>
      <w:r>
        <w:t xml:space="preserve">20.3 What recurrence cannot show</w:t>
      </w:r>
      <w:r/>
    </w:p>
    <w:p>
      <w:pPr>
        <w:pBdr/>
        <w:spacing/>
        <w:ind/>
        <w:rPr/>
      </w:pPr>
      <w:r>
        <w:t xml:space="preserve">Rejects truth-by-frequency, perennial essence, database-majority metaphysics and any universal sequence from Being through Knowing to Becoming.</w:t>
      </w:r>
      <w:r/>
    </w:p>
    <w:p>
      <w:pPr>
        <w:pStyle w:val="1138"/>
        <w:keepNext w:val="true"/>
        <w:keepLines w:val="true"/>
        <w:pBdr/>
        <w:spacing/>
        <w:ind/>
        <w:rPr/>
      </w:pPr>
      <w:r>
        <w:t xml:space="preserve">20.4 Coverage and absence</w:t>
      </w:r>
      <w:r/>
    </w:p>
    <w:p>
      <w:pPr>
        <w:pBdr/>
        <w:spacing/>
        <w:ind/>
        <w:rPr/>
      </w:pPr>
      <w:r>
        <w:t xml:space="preserve">Explains the purposive sampling of selected solution-spaces, the remaining coverage debts and the limits those debts place on synthesis. Neither adoption of the corpus nor its size establishes conceptual saturation or exhaustiveness.</w:t>
      </w:r>
      <w:r/>
    </w:p>
    <w:p>
      <w:pPr>
        <w:pStyle w:val="1138"/>
        <w:keepNext w:val="true"/>
        <w:keepLines w:val="true"/>
        <w:pBdr/>
        <w:spacing/>
        <w:ind/>
        <w:rPr/>
      </w:pPr>
      <w:r>
        <w:t xml:space="preserve">20.5 Comparison after the book</w:t>
      </w:r>
      <w:r/>
    </w:p>
    <w:p>
      <w:pPr>
        <w:pBdr/>
        <w:spacing/>
        <w:ind/>
        <w:rPr/>
      </w:pPr>
      <w:r>
        <w:t xml:space="preserve">Shows how the Digital Atlas can absorb new positions and revisions without silently rewriting the print evidence base.</w:t>
      </w:r>
      <w:r/>
    </w:p>
    <w:p>
      <w:pPr>
        <w:pStyle w:val="1138"/>
        <w:keepNext w:val="true"/>
        <w:keepLines w:val="true"/>
        <w:pBdr/>
        <w:spacing/>
        <w:ind/>
        <w:rPr/>
      </w:pPr>
      <w:r>
        <w:t xml:space="preserve">20.6 The final claim</w:t>
      </w:r>
      <w:r/>
    </w:p>
    <w:p>
      <w:pPr>
        <w:pBdr/>
        <w:spacing/>
        <w:ind/>
        <w:rPr/>
      </w:pPr>
      <w:r>
        <w:t xml:space="preserve">The final formulation states only the cross-domain relations and limits supported by release-eligible chapter findings and t</w:t>
      </w:r>
      <w:r>
        <w:t xml:space="preserve">heir PublicationClaims. The intended integrative conclusion does not predetermine a positive pattern, a universal sequence or a completed research result. Where only narrower relations or negative findings are supported, the conclusion narrows accordingly.</w:t>
      </w:r>
      <w:r/>
    </w:p>
    <w:p>
      <w:pPr>
        <w:pStyle w:val="1135"/>
        <w:keepNext w:val="true"/>
        <w:keepLines w:val="true"/>
        <w:pBdr/>
        <w:spacing/>
        <w:ind/>
        <w:rPr/>
      </w:pPr>
      <w:r/>
      <w:bookmarkStart w:id="174" w:name="PART_III"/>
      <w:r>
        <w:t xml:space="preserve">Part III — Production control</w:t>
      </w:r>
      <w:bookmarkEnd w:id="174"/>
      <w:r/>
      <w:r/>
    </w:p>
    <w:p>
      <w:pPr>
        <w:pStyle w:val="1184"/>
        <w:keepNext w:val="true"/>
        <w:keepLines w:val="true"/>
        <w:pBdr/>
        <w:spacing/>
        <w:ind/>
        <w:rPr/>
      </w:pPr>
      <w:r>
        <w:t xml:space="preserve">Governing — Part III front door</w:t>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2393"/>
        <w:gridCol w:w="7613"/>
      </w:tblGrid>
      <w:tr>
        <w:trPr>
          <w:cantSplit/>
          <w:tblHeader/>
        </w:trPr>
        <w:tc>
          <w:tcPr>
            <w:shd w:val="clear" w:color="auto" w:fill="1f5a73"/>
            <w:tcBorders/>
            <w:tcMar>
              <w:left w:w="70" w:type="dxa"/>
              <w:top w:w="60" w:type="dxa"/>
              <w:right w:w="70" w:type="dxa"/>
              <w:bottom w:w="60" w:type="dxa"/>
            </w:tcMar>
            <w:tcW w:w="2393" w:type="dxa"/>
            <w:vAlign w:val="top"/>
          </w:tcPr>
          <w:p>
            <w:pPr>
              <w:pStyle w:val="1298"/>
              <w:pBdr/>
              <w:spacing/>
              <w:ind/>
              <w:rPr/>
            </w:pPr>
            <w:r>
              <w:t xml:space="preserve">Field</w:t>
            </w:r>
            <w:r/>
          </w:p>
        </w:tc>
        <w:tc>
          <w:tcPr>
            <w:shd w:val="clear" w:color="auto" w:fill="1f5a73"/>
            <w:tcBorders/>
            <w:tcMar>
              <w:left w:w="70" w:type="dxa"/>
              <w:top w:w="60" w:type="dxa"/>
              <w:right w:w="70" w:type="dxa"/>
              <w:bottom w:w="60" w:type="dxa"/>
            </w:tcMar>
            <w:tcW w:w="7613" w:type="dxa"/>
            <w:vAlign w:val="top"/>
          </w:tcPr>
          <w:p>
            <w:pPr>
              <w:pStyle w:val="1298"/>
              <w:pBdr/>
              <w:spacing/>
              <w:ind/>
              <w:rPr/>
            </w:pPr>
            <w:r>
              <w:t xml:space="preserve">Required content</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Purpose</w:t>
            </w:r>
            <w:r/>
          </w:p>
        </w:tc>
        <w:tc>
          <w:tcPr>
            <w:tcBorders/>
            <w:tcMar>
              <w:left w:w="70" w:type="dxa"/>
              <w:top w:w="60" w:type="dxa"/>
              <w:right w:w="70" w:type="dxa"/>
              <w:bottom w:w="60" w:type="dxa"/>
            </w:tcMar>
            <w:tcW w:w="7613" w:type="dxa"/>
            <w:vAlign w:val="top"/>
          </w:tcPr>
          <w:p>
            <w:pPr>
              <w:pStyle w:val="1296"/>
              <w:pBdr/>
              <w:spacing/>
              <w:ind/>
              <w:rPr/>
            </w:pPr>
            <w:r>
              <w:t xml:space="preserve">Convert the adopted architecture into chapter-ready packages, resolved dependencies, reviewed manuscripts, generated views and a controlled release handoff.</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Primary users</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Programme lead, publication editor, research and validation leads, specialists, rights/governance teams, data engineers and release officers.</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Authority status</w:t>
            </w:r>
            <w:r/>
          </w:p>
        </w:tc>
        <w:tc>
          <w:tcPr>
            <w:tcBorders/>
            <w:tcMar>
              <w:left w:w="70" w:type="dxa"/>
              <w:top w:w="60" w:type="dxa"/>
              <w:right w:w="70" w:type="dxa"/>
              <w:bottom w:w="60" w:type="dxa"/>
            </w:tcMar>
            <w:tcW w:w="7613" w:type="dxa"/>
            <w:vAlign w:val="top"/>
          </w:tcPr>
          <w:p>
            <w:pPr>
              <w:pStyle w:val="1296"/>
              <w:pBdr/>
              <w:spacing/>
              <w:ind/>
              <w:rPr/>
            </w:pPr>
            <w:r>
              <w:t xml:space="preserve">Governing for chapter production, dependency ownership, publication sequence and editorial change control.</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Required output</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Completed chapter manuscripts and publication records from one named canonical build, followed by GO or HOLD under Research Specification.</w:t>
            </w:r>
            <w:r/>
          </w:p>
        </w:tc>
      </w:tr>
    </w:tbl>
    <w:p>
      <w:pPr>
        <w:pStyle w:val="1300"/>
        <w:pBdr/>
        <w:spacing/>
        <w:ind/>
        <w:rPr/>
      </w:pPr>
      <w:r/>
      <w:r/>
    </w:p>
    <w:p>
      <w:pPr>
        <w:pStyle w:val="1136"/>
        <w:keepNext w:val="true"/>
        <w:keepLines w:val="true"/>
        <w:pBdr/>
        <w:spacing/>
        <w:ind/>
        <w:rPr/>
      </w:pPr>
      <w:r/>
      <w:bookmarkStart w:id="175" w:name="SEC_11"/>
      <w:r>
        <w:t xml:space="preserve">11. Master Chapter Production Contract (MCPC)</w:t>
      </w:r>
      <w:bookmarkEnd w:id="175"/>
      <w:r/>
      <w:r/>
    </w:p>
    <w:p>
      <w:pPr>
        <w:pBdr/>
        <w:spacing/>
        <w:ind/>
        <w:rPr/>
      </w:pPr>
      <w:r>
        <w:t xml:space="preserve">Every Chapter 1–20 brief inherits the Master Chapter Prod</w:t>
      </w:r>
      <w:r>
        <w:t xml:space="preserve">uction Contract (MCPC). A local brief may add requirements but may not weaken this contract or any MUST-level rule in Research Specification. The reader-facing prose rule in §3.3 governs Chapters 3–20 without concealing material evidence or release limits.</w:t>
      </w:r>
      <w:r/>
    </w:p>
    <w:p>
      <w:pPr>
        <w:pStyle w:val="1184"/>
        <w:keepNext w:val="true"/>
        <w:keepLines w:val="true"/>
        <w:pBdr/>
        <w:spacing/>
        <w:ind/>
        <w:rPr/>
      </w:pPr>
      <w:r/>
      <w:bookmarkStart w:id="176" w:name="T_MCPC"/>
      <w:r>
        <w:t xml:space="preserve">Governing — Master Chapter Production Contract (MCPC)</w:t>
      </w:r>
      <w:bookmarkEnd w:id="176"/>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2393"/>
        <w:gridCol w:w="7613"/>
      </w:tblGrid>
      <w:tr>
        <w:trPr>
          <w:cantSplit/>
          <w:tblHeader/>
        </w:trPr>
        <w:tc>
          <w:tcPr>
            <w:shd w:val="clear" w:color="auto" w:fill="1f5a73"/>
            <w:tcBorders/>
            <w:tcMar>
              <w:left w:w="70" w:type="dxa"/>
              <w:top w:w="60" w:type="dxa"/>
              <w:right w:w="70" w:type="dxa"/>
              <w:bottom w:w="60" w:type="dxa"/>
            </w:tcMar>
            <w:tcW w:w="2393" w:type="dxa"/>
            <w:vAlign w:val="top"/>
          </w:tcPr>
          <w:p>
            <w:pPr>
              <w:pStyle w:val="1298"/>
              <w:pBdr/>
              <w:spacing/>
              <w:ind/>
              <w:rPr/>
            </w:pPr>
            <w:r>
              <w:t xml:space="preserve">Field</w:t>
            </w:r>
            <w:r/>
          </w:p>
        </w:tc>
        <w:tc>
          <w:tcPr>
            <w:shd w:val="clear" w:color="auto" w:fill="1f5a73"/>
            <w:tcBorders/>
            <w:tcMar>
              <w:left w:w="70" w:type="dxa"/>
              <w:top w:w="60" w:type="dxa"/>
              <w:right w:w="70" w:type="dxa"/>
              <w:bottom w:w="60" w:type="dxa"/>
            </w:tcMar>
            <w:tcW w:w="7613" w:type="dxa"/>
            <w:vAlign w:val="top"/>
          </w:tcPr>
          <w:p>
            <w:pPr>
              <w:pStyle w:val="1298"/>
              <w:pBdr/>
              <w:spacing/>
              <w:ind/>
              <w:rPr/>
            </w:pPr>
            <w:r>
              <w:t xml:space="preserve">Requirement</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chapter contract</w:t>
            </w:r>
            <w:r/>
          </w:p>
        </w:tc>
        <w:tc>
          <w:tcPr>
            <w:tcBorders/>
            <w:tcMar>
              <w:left w:w="70" w:type="dxa"/>
              <w:top w:w="60" w:type="dxa"/>
              <w:right w:w="70" w:type="dxa"/>
              <w:bottom w:w="60" w:type="dxa"/>
            </w:tcMar>
            <w:tcW w:w="7613" w:type="dxa"/>
            <w:vAlign w:val="top"/>
          </w:tcPr>
          <w:p>
            <w:pPr>
              <w:pStyle w:val="1296"/>
              <w:pBdr/>
              <w:spacing/>
              <w:ind/>
              <w:rPr/>
            </w:pPr>
            <w:r>
              <w:t xml:space="preserve">Master Chapter Production Contract (MCPC). Every Chapter 1–20 brief inherits this contract; a local provision cannot weaken a MUST-level rule.</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Common entry conditions</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The planned treatment has</w:t>
            </w:r>
            <w:r>
              <w:t xml:space="preserve"> bounded PositionRecords; source-fit Concept, Claim/Evidence and QuestionResponse records; comparison records at the required granularity; and SynthesisRecords where a cumulative claim is planned. No unresolved Severity-1 defect affects the planned thesis.</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Severity-1 rule</w:t>
            </w:r>
            <w:r/>
          </w:p>
        </w:tc>
        <w:tc>
          <w:tcPr>
            <w:tcBorders/>
            <w:tcMar>
              <w:left w:w="70" w:type="dxa"/>
              <w:top w:w="60" w:type="dxa"/>
              <w:right w:w="70" w:type="dxa"/>
              <w:bottom w:w="60" w:type="dxa"/>
            </w:tcMar>
            <w:tcW w:w="7613" w:type="dxa"/>
            <w:vAlign w:val="top"/>
          </w:tcPr>
          <w:p>
            <w:pPr>
              <w:pStyle w:val="1296"/>
              <w:pBdr/>
              <w:spacing/>
              <w:ind/>
              <w:rPr/>
            </w:pPr>
            <w:r>
              <w:t xml:space="preserve">Potential false attribution, missing release evidence/locator, rights or authorization breach, uncontrolled community representation, invalid OEQ burden, semantic violation or regeneration divergence blocks the affected release treatment.</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Minimum canonical inputs</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Named, vers</w:t>
            </w:r>
            <w:r>
              <w:t xml:space="preserve">ioned records required by Research Specification for the planned Position, QuestionResponse, Claim, Concept, Source/SourceInstance, Evidence, Comparison, Review and RepresentationReadiness treatment; Synthesis and PublicationClaim records where applicable.</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Comparison discipline</w:t>
            </w:r>
            <w:r/>
          </w:p>
        </w:tc>
        <w:tc>
          <w:tcPr>
            <w:tcBorders/>
            <w:tcMar>
              <w:left w:w="70" w:type="dxa"/>
              <w:top w:w="60" w:type="dxa"/>
              <w:right w:w="70" w:type="dxa"/>
              <w:bottom w:w="60" w:type="dxa"/>
            </w:tcMar>
            <w:tcW w:w="7613" w:type="dxa"/>
            <w:vAlign w:val="top"/>
          </w:tcPr>
          <w:p>
            <w:pPr>
              <w:pStyle w:val="1296"/>
              <w:pBdr/>
              <w:spacing/>
              <w:ind/>
              <w:rPr/>
            </w:pPr>
            <w:r>
              <w:t xml:space="preserve">Every comparative claim satisfies Research Specification §6: exact Claim pairs, relation dimension, temporal and Position scope, tertium validity, linked material disanalogies, coherence and genealogy/independence metadata.</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Synthesis discipline</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No chapter exceeds the current L0–L2 ceiling. Reader-facing L2 recurrence satisfies Research Specification §11; synthesis level and maturity remain independent.</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PublicationClaim traceability</w:t>
            </w:r>
            <w:r/>
          </w:p>
        </w:tc>
        <w:tc>
          <w:tcPr>
            <w:tcBorders/>
            <w:tcMar>
              <w:left w:w="70" w:type="dxa"/>
              <w:top w:w="60" w:type="dxa"/>
              <w:right w:w="70" w:type="dxa"/>
              <w:bottom w:w="60" w:type="dxa"/>
            </w:tcMar>
            <w:tcW w:w="7613" w:type="dxa"/>
            <w:vAlign w:val="top"/>
          </w:tcPr>
          <w:p>
            <w:pPr>
              <w:pStyle w:val="1296"/>
              <w:pBdr/>
              <w:spacing/>
              <w:ind/>
              <w:rPr/>
            </w:pPr>
            <w:r>
              <w:t xml:space="preserve">Every chapter thesis, major comparison, synthesis, explicit limitation and material editorial-decision claim satisfies Research Specification §12 and Research Specification Annex B.</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Representation/readiness</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Applicable source grounding, specialist review, community governance, rights/access and release eligibility are evaluated independently. A project-level G4/G5 capability PASS does not clear a unit.</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Generated exhibit rule</w:t>
            </w:r>
            <w:r/>
          </w:p>
        </w:tc>
        <w:tc>
          <w:tcPr>
            <w:tcBorders/>
            <w:tcMar>
              <w:left w:w="70" w:type="dxa"/>
              <w:top w:w="60" w:type="dxa"/>
              <w:right w:w="70" w:type="dxa"/>
              <w:bottom w:w="60" w:type="dxa"/>
            </w:tcMar>
            <w:tcW w:w="7613" w:type="dxa"/>
            <w:vAlign w:val="top"/>
          </w:tcPr>
          <w:p>
            <w:pPr>
              <w:pStyle w:val="1296"/>
              <w:pBdr/>
              <w:spacing/>
              <w:ind/>
              <w:rPr/>
            </w:pPr>
            <w:r>
              <w:t xml:space="preserve">Factual figures, tables, profiles and matrices are Generated Evidence Views from one named canonical build and carry schema version, vocabulary version, canonical_build_id, generation version and output hash.</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Standard Definition of Done</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Released factual claims are traceable; thesis-bearing claims have complete PublicationClaim cha</w:t>
            </w:r>
            <w:r>
              <w:t xml:space="preserve">ins; planned relations and linked disanalogies are reviewed; dependencies are resolved, narrowed, demoted or held; generated exhibits can be regenerated; applicable specialist/community/rights review is complete; remaining non-blocking issues are recorded.</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Handoff / failure path</w:t>
            </w:r>
            <w:r/>
          </w:p>
        </w:tc>
        <w:tc>
          <w:tcPr>
            <w:tcBorders/>
            <w:tcMar>
              <w:left w:w="70" w:type="dxa"/>
              <w:top w:w="60" w:type="dxa"/>
              <w:right w:w="70" w:type="dxa"/>
              <w:bottom w:w="60" w:type="dxa"/>
            </w:tcMar>
            <w:tcW w:w="7613" w:type="dxa"/>
            <w:vAlign w:val="top"/>
          </w:tcPr>
          <w:p>
            <w:pPr>
              <w:pStyle w:val="1296"/>
              <w:pBdr/>
              <w:spacing/>
              <w:ind/>
              <w:rPr/>
            </w:pPr>
            <w:r>
              <w:t xml:space="preserve">Completed chapter manuscript, PublicationClaim ledger entries, generated-exhibi</w:t>
            </w:r>
            <w:r>
              <w:t xml:space="preserve">t inputs and resolved dependency state pass to manuscript integration/copyedit/design. A failed condition returns the exact object to the responsible Publication §12 dependency owner or Research Specification workflow stage with an unresolved-issue record.</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Release-freeze rule</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A chapter may be developed provisionally, but provisional evidence or unresolved dependencies are not released as validated material. Project GO/HOLD remains governed exclusively by Research Specification §10.</w:t>
            </w:r>
            <w:r/>
          </w:p>
        </w:tc>
      </w:tr>
    </w:tbl>
    <w:p>
      <w:pPr>
        <w:pStyle w:val="1300"/>
        <w:pBdr/>
        <w:spacing/>
        <w:ind/>
        <w:rPr/>
      </w:pPr>
      <w:r/>
      <w:r/>
    </w:p>
    <w:p>
      <w:pPr>
        <w:pStyle w:val="1136"/>
        <w:keepNext w:val="true"/>
        <w:keepLines w:val="true"/>
        <w:pBdr/>
        <w:spacing/>
        <w:ind/>
        <w:rPr/>
      </w:pPr>
      <w:r/>
      <w:bookmarkStart w:id="177" w:name="SEC_12"/>
      <w:r>
        <w:t xml:space="preserve">12. Dependency control and gate exposure</w:t>
      </w:r>
      <w:bookmarkEnd w:id="177"/>
      <w:r/>
      <w:r/>
    </w:p>
    <w:p>
      <w:pPr>
        <w:pBdr/>
        <w:spacing/>
        <w:ind/>
        <w:rPr/>
      </w:pPr>
      <w:r>
        <w:t xml:space="preserve">The dependency register owns each RG identifier, affected location, blocking question, owner, available and missing evidence, required action, observable unblock criterion, unresolved consequence and handoff. Chapter briefs ide</w:t>
      </w:r>
      <w:r>
        <w:t xml:space="preserve">ntify the applicable RG IDs, local consequences and distinct local review obligations under the MCPC. A nearby RG identifier does not subsume an unrelated specialist review. The populated register is a dated historical snapshot at the end of this document.</w:t>
      </w:r>
      <w:r/>
    </w:p>
    <w:p>
      <w:pPr>
        <w:pBdr/>
        <w:spacing/>
        <w:ind/>
        <w:rPr/>
      </w:pPr>
      <w:r>
        <w:t xml:space="preserve">A dependency is evidentially satisfied only when its required evidence and review are complete. A chapter may instead proceed with the affected tre</w:t>
      </w:r>
      <w:r>
        <w:t xml:space="preserve">atment narrowed, deferred or excluded under its documented disposition. Such a disposition removes the unsupported part of the treatment from the relevant release scope; it does not certify the missing evidence or close the underlying research requirement.</w:t>
      </w:r>
      <w:r/>
    </w:p>
    <w:p>
      <w:pPr>
        <w:pBdr/>
        <w:spacing/>
        <w:ind/>
        <w:rPr/>
      </w:pPr>
      <w:r>
        <w:t xml:space="preserve">The MCPC preserves named local specialist obligations even when they have no dedicated RG identifier. Maimonidean Arabic/Judeo-Arabic review in Chapter 3 and Avicennan psychology/Arabic-source review in Chapters 9 and 17 are distinct fr</w:t>
      </w:r>
      <w:r>
        <w:t xml:space="preserve">om RG-07/RG-08 and RG-11 respectively; RG-18 governs the Chapter 14 Avicenna/al-Ghazālī dossier. RG-35 targets Part III §13, the pre-submission handoff, and Chapter 20 §20.6. These requirements do not imply that any review or dependency has been completed.</w:t>
      </w:r>
      <w:r/>
    </w:p>
    <w:p>
      <w:pPr>
        <w:pBdr/>
        <w:spacing/>
        <w:ind/>
        <w:rPr/>
      </w:pPr>
      <w:r>
        <w:t xml:space="preserve">RG-33 uses the two-population G6 contract in Research Speci</w:t>
      </w:r>
      <w:r>
        <w:t xml:space="preserve">fication Annex C §C3.6: report both candidate and qualifying counts and require both non-empty populations to achieve 1.000. Empty scopes or an incomplete audit are not complete traceability and follow that section’s PENDING or governed applicability path.</w:t>
      </w:r>
      <w:r/>
    </w:p>
    <w:p>
      <w:pPr>
        <w:pBdr/>
        <w:spacing/>
        <w:ind/>
        <w:rPr/>
      </w:pPr>
      <w:r>
        <w:t xml:space="preserve">Current gate and release decisions are established by the applicable recorded GateRuns and release records under Research Specification §10. The historical snapshot summarizes the state at its stated date and does not independently establish a later state.</w:t>
      </w:r>
      <w:r/>
    </w:p>
    <w:p>
      <w:pPr>
        <w:pStyle w:val="1184"/>
        <w:keepNext w:val="true"/>
        <w:keepLines w:val="true"/>
        <w:pBdr/>
        <w:spacing/>
        <w:ind/>
        <w:rPr/>
      </w:pPr>
      <w:r>
        <w:t xml:space="preserve">Governing — Dependency consequence and handoff legend</w:t>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2465"/>
        <w:gridCol w:w="7541"/>
      </w:tblGrid>
      <w:tr>
        <w:trPr>
          <w:cantSplit/>
          <w:tblHeader/>
        </w:trPr>
        <w:tc>
          <w:tcPr>
            <w:shd w:val="clear" w:color="auto" w:fill="1f5a73"/>
            <w:tcBorders/>
            <w:tcMar>
              <w:left w:w="70" w:type="dxa"/>
              <w:top w:w="60" w:type="dxa"/>
              <w:right w:w="70" w:type="dxa"/>
              <w:bottom w:w="60" w:type="dxa"/>
            </w:tcMar>
            <w:tcW w:w="2465" w:type="dxa"/>
            <w:vAlign w:val="top"/>
          </w:tcPr>
          <w:p>
            <w:pPr>
              <w:pStyle w:val="1298"/>
              <w:pBdr/>
              <w:spacing/>
              <w:ind/>
              <w:rPr/>
            </w:pPr>
            <w:r>
              <w:t xml:space="preserve">Code</w:t>
            </w:r>
            <w:r/>
          </w:p>
        </w:tc>
        <w:tc>
          <w:tcPr>
            <w:shd w:val="clear" w:color="auto" w:fill="1f5a73"/>
            <w:tcBorders/>
            <w:tcMar>
              <w:left w:w="70" w:type="dxa"/>
              <w:top w:w="60" w:type="dxa"/>
              <w:right w:w="70" w:type="dxa"/>
              <w:bottom w:w="60" w:type="dxa"/>
            </w:tcMar>
            <w:tcW w:w="7541" w:type="dxa"/>
            <w:vAlign w:val="top"/>
          </w:tcPr>
          <w:p>
            <w:pPr>
              <w:pStyle w:val="1298"/>
              <w:pBdr/>
              <w:spacing/>
              <w:ind/>
              <w:rPr/>
            </w:pPr>
            <w:r>
              <w:t xml:space="preserve">Meaning</w:t>
            </w:r>
            <w:r/>
          </w:p>
        </w:tc>
      </w:tr>
      <w:tr>
        <w:trPr>
          <w:cantSplit/>
        </w:trPr>
        <w:tc>
          <w:tcPr>
            <w:tcBorders/>
            <w:tcMar>
              <w:left w:w="70" w:type="dxa"/>
              <w:top w:w="60" w:type="dxa"/>
              <w:right w:w="70" w:type="dxa"/>
              <w:bottom w:w="60" w:type="dxa"/>
            </w:tcMar>
            <w:tcW w:w="2465" w:type="dxa"/>
            <w:vAlign w:val="top"/>
          </w:tcPr>
          <w:p>
            <w:pPr>
              <w:pStyle w:val="1296"/>
              <w:pBdr/>
              <w:spacing/>
              <w:ind/>
              <w:rPr/>
            </w:pPr>
            <w:r>
              <w:t xml:space="preserve">C1 — Blocking claim</w:t>
            </w:r>
            <w:r/>
          </w:p>
        </w:tc>
        <w:tc>
          <w:tcPr>
            <w:tcBorders/>
            <w:tcMar>
              <w:left w:w="70" w:type="dxa"/>
              <w:top w:w="60" w:type="dxa"/>
              <w:right w:w="70" w:type="dxa"/>
              <w:bottom w:w="60" w:type="dxa"/>
            </w:tcMar>
            <w:tcW w:w="7541" w:type="dxa"/>
            <w:vAlign w:val="top"/>
          </w:tcPr>
          <w:p>
            <w:pPr>
              <w:pStyle w:val="1296"/>
              <w:pBdr/>
              <w:spacing/>
              <w:ind/>
              <w:rPr/>
            </w:pPr>
            <w:r>
              <w:t xml:space="preserve">Remove, narrow, demote or hold the affected treatment; do not release the blocked claim or Position until cleared.</w:t>
            </w:r>
            <w:r/>
          </w:p>
        </w:tc>
      </w:tr>
      <w:tr>
        <w:trPr>
          <w:cantSplit/>
        </w:trPr>
        <w:tc>
          <w:tcPr>
            <w:shd w:val="clear" w:color="auto" w:fill="f7f9fa"/>
            <w:tcBorders/>
            <w:tcMar>
              <w:left w:w="70" w:type="dxa"/>
              <w:top w:w="60" w:type="dxa"/>
              <w:right w:w="70" w:type="dxa"/>
              <w:bottom w:w="60" w:type="dxa"/>
            </w:tcMar>
            <w:tcW w:w="2465" w:type="dxa"/>
            <w:vAlign w:val="top"/>
          </w:tcPr>
          <w:p>
            <w:pPr>
              <w:pStyle w:val="1296"/>
              <w:pBdr/>
              <w:spacing/>
              <w:ind/>
              <w:rPr/>
            </w:pPr>
            <w:r>
              <w:t xml:space="preserve">C2 — Important dependency</w:t>
            </w:r>
            <w:r/>
          </w:p>
        </w:tc>
        <w:tc>
          <w:tcPr>
            <w:shd w:val="clear" w:color="auto" w:fill="f7f9fa"/>
            <w:tcBorders/>
            <w:tcMar>
              <w:left w:w="70" w:type="dxa"/>
              <w:top w:w="60" w:type="dxa"/>
              <w:right w:w="70" w:type="dxa"/>
              <w:bottom w:w="60" w:type="dxa"/>
            </w:tcMar>
            <w:tcW w:w="7541" w:type="dxa"/>
            <w:vAlign w:val="top"/>
          </w:tcPr>
          <w:p>
            <w:pPr>
              <w:pStyle w:val="1296"/>
              <w:pBdr/>
              <w:spacing/>
              <w:ind/>
              <w:rPr/>
            </w:pPr>
            <w:r>
              <w:t xml:space="preserve">Narrow or defer the affected subsection or comparator and carry the unresolved issue to release freeze.</w:t>
            </w:r>
            <w:r/>
          </w:p>
        </w:tc>
      </w:tr>
      <w:tr>
        <w:trPr>
          <w:cantSplit/>
        </w:trPr>
        <w:tc>
          <w:tcPr>
            <w:tcBorders/>
            <w:tcMar>
              <w:left w:w="70" w:type="dxa"/>
              <w:top w:w="60" w:type="dxa"/>
              <w:right w:w="70" w:type="dxa"/>
              <w:bottom w:w="60" w:type="dxa"/>
            </w:tcMar>
            <w:tcW w:w="2465" w:type="dxa"/>
            <w:vAlign w:val="top"/>
          </w:tcPr>
          <w:p>
            <w:pPr>
              <w:pStyle w:val="1296"/>
              <w:pBdr/>
              <w:spacing/>
              <w:ind/>
              <w:rPr/>
            </w:pPr>
            <w:r>
              <w:t xml:space="preserve">C3 — Desirable detail</w:t>
            </w:r>
            <w:r/>
          </w:p>
        </w:tc>
        <w:tc>
          <w:tcPr>
            <w:tcBorders/>
            <w:tcMar>
              <w:left w:w="70" w:type="dxa"/>
              <w:top w:w="60" w:type="dxa"/>
              <w:right w:w="70" w:type="dxa"/>
              <w:bottom w:w="60" w:type="dxa"/>
            </w:tcMar>
            <w:tcW w:w="7541" w:type="dxa"/>
            <w:vAlign w:val="top"/>
          </w:tcPr>
          <w:p>
            <w:pPr>
              <w:pStyle w:val="1296"/>
              <w:pBdr/>
              <w:spacing/>
              <w:ind/>
              <w:rPr/>
            </w:pPr>
            <w:r>
              <w:t xml:space="preserve">Retain only non-blocking treatment supported by current evidence; unresolved detail remains outside release scope.</w:t>
            </w:r>
            <w:r/>
          </w:p>
        </w:tc>
      </w:tr>
      <w:tr>
        <w:trPr>
          <w:cantSplit/>
        </w:trPr>
        <w:tc>
          <w:tcPr>
            <w:shd w:val="clear" w:color="auto" w:fill="f7f9fa"/>
            <w:tcBorders/>
            <w:tcMar>
              <w:left w:w="70" w:type="dxa"/>
              <w:top w:w="60" w:type="dxa"/>
              <w:right w:w="70" w:type="dxa"/>
              <w:bottom w:w="60" w:type="dxa"/>
            </w:tcMar>
            <w:tcW w:w="2465" w:type="dxa"/>
            <w:vAlign w:val="top"/>
          </w:tcPr>
          <w:p>
            <w:pPr>
              <w:pStyle w:val="1296"/>
              <w:pBdr/>
              <w:spacing/>
              <w:ind/>
              <w:rPr/>
            </w:pPr>
            <w:r>
              <w:t xml:space="preserve">H1 — Blocking handoff</w:t>
            </w:r>
            <w:r/>
          </w:p>
        </w:tc>
        <w:tc>
          <w:tcPr>
            <w:shd w:val="clear" w:color="auto" w:fill="f7f9fa"/>
            <w:tcBorders/>
            <w:tcMar>
              <w:left w:w="70" w:type="dxa"/>
              <w:top w:w="60" w:type="dxa"/>
              <w:right w:w="70" w:type="dxa"/>
              <w:bottom w:w="60" w:type="dxa"/>
            </w:tcMar>
            <w:tcW w:w="7541" w:type="dxa"/>
            <w:vAlign w:val="top"/>
          </w:tcPr>
          <w:p>
            <w:pPr>
              <w:pStyle w:val="1296"/>
              <w:pBdr/>
              <w:spacing/>
              <w:ind/>
              <w:rPr/>
            </w:pPr>
            <w:r>
              <w:t xml:space="preserve">On clearance, return the updated canonical package and dependency record to the chapter owner; if unresolved, return to the accountable research/governance owner and carry the treatment to release freeze as HOLD.</w:t>
            </w:r>
            <w:r/>
          </w:p>
        </w:tc>
      </w:tr>
      <w:tr>
        <w:trPr>
          <w:cantSplit/>
        </w:trPr>
        <w:tc>
          <w:tcPr>
            <w:tcBorders/>
            <w:tcMar>
              <w:left w:w="70" w:type="dxa"/>
              <w:top w:w="60" w:type="dxa"/>
              <w:right w:w="70" w:type="dxa"/>
              <w:bottom w:w="60" w:type="dxa"/>
            </w:tcMar>
            <w:tcW w:w="2465" w:type="dxa"/>
            <w:vAlign w:val="top"/>
          </w:tcPr>
          <w:p>
            <w:pPr>
              <w:pStyle w:val="1296"/>
              <w:pBdr/>
              <w:spacing/>
              <w:ind/>
              <w:rPr/>
            </w:pPr>
            <w:r>
              <w:t xml:space="preserve">H2 — Bounded handoff</w:t>
            </w:r>
            <w:r/>
          </w:p>
        </w:tc>
        <w:tc>
          <w:tcPr>
            <w:tcBorders/>
            <w:tcMar>
              <w:left w:w="70" w:type="dxa"/>
              <w:top w:w="60" w:type="dxa"/>
              <w:right w:w="70" w:type="dxa"/>
              <w:bottom w:w="60" w:type="dxa"/>
            </w:tcMar>
            <w:tcW w:w="7541" w:type="dxa"/>
            <w:vAlign w:val="top"/>
          </w:tcPr>
          <w:p>
            <w:pPr>
              <w:pStyle w:val="1296"/>
              <w:pBdr/>
              <w:spacing/>
              <w:ind/>
              <w:rPr/>
            </w:pPr>
            <w:r>
              <w:t xml:space="preserve">On clearance, return the updated package and dependency record to the chapter owner; if unresolved, retain the issue in the register, apply the narrowing/deferment consequence and pass it to release freeze.</w:t>
            </w:r>
            <w:r/>
          </w:p>
        </w:tc>
      </w:tr>
    </w:tbl>
    <w:p>
      <w:pPr>
        <w:pStyle w:val="1300"/>
        <w:pBdr/>
        <w:spacing/>
        <w:ind/>
        <w:rPr/>
      </w:pPr>
      <w:r/>
      <w:r/>
    </w:p>
    <w:p>
      <w:pPr>
        <w:pStyle w:val="1184"/>
        <w:keepNext w:val="true"/>
        <w:keepLines w:val="true"/>
        <w:pBdr/>
        <w:spacing/>
        <w:ind/>
        <w:rPr/>
      </w:pPr>
      <w:r/>
      <w:bookmarkStart w:id="178" w:name="T_GATE_EXPOSURE"/>
      <w:r>
        <w:t xml:space="preserve">Governing — Publication exposure to Research Specification gates</w:t>
      </w:r>
      <w:bookmarkEnd w:id="178"/>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1601"/>
        <w:gridCol w:w="3301"/>
        <w:gridCol w:w="2001"/>
        <w:gridCol w:w="3101"/>
      </w:tblGrid>
      <w:tr>
        <w:trPr>
          <w:cantSplit/>
          <w:tblHeader/>
        </w:trPr>
        <w:tc>
          <w:tcPr>
            <w:shd w:val="clear" w:color="auto" w:fill="1f5a73"/>
            <w:tcBorders/>
            <w:tcMar>
              <w:left w:w="70" w:type="dxa"/>
              <w:top w:w="60" w:type="dxa"/>
              <w:right w:w="70" w:type="dxa"/>
              <w:bottom w:w="60" w:type="dxa"/>
            </w:tcMar>
            <w:tcW w:w="1601" w:type="dxa"/>
            <w:vAlign w:val="top"/>
          </w:tcPr>
          <w:p>
            <w:pPr>
              <w:pStyle w:val="1299"/>
              <w:pBdr/>
              <w:spacing/>
              <w:ind/>
              <w:rPr/>
            </w:pPr>
            <w:r>
              <w:t xml:space="preserve">Gate</w:t>
            </w:r>
            <w:r/>
          </w:p>
        </w:tc>
        <w:tc>
          <w:tcPr>
            <w:shd w:val="clear" w:color="auto" w:fill="1f5a73"/>
            <w:tcBorders/>
            <w:tcMar>
              <w:left w:w="70" w:type="dxa"/>
              <w:top w:w="60" w:type="dxa"/>
              <w:right w:w="70" w:type="dxa"/>
              <w:bottom w:w="60" w:type="dxa"/>
            </w:tcMar>
            <w:tcW w:w="3301" w:type="dxa"/>
            <w:vAlign w:val="top"/>
          </w:tcPr>
          <w:p>
            <w:pPr>
              <w:pStyle w:val="1299"/>
              <w:pBdr/>
              <w:spacing/>
              <w:ind/>
              <w:rPr/>
            </w:pPr>
            <w:r>
              <w:t xml:space="preserve">Publication exposure</w:t>
            </w:r>
            <w:r/>
          </w:p>
        </w:tc>
        <w:tc>
          <w:tcPr>
            <w:shd w:val="clear" w:color="auto" w:fill="1f5a73"/>
            <w:tcBorders/>
            <w:tcMar>
              <w:left w:w="70" w:type="dxa"/>
              <w:top w:w="60" w:type="dxa"/>
              <w:right w:w="70" w:type="dxa"/>
              <w:bottom w:w="60" w:type="dxa"/>
            </w:tcMar>
            <w:tcW w:w="2001" w:type="dxa"/>
            <w:vAlign w:val="top"/>
          </w:tcPr>
          <w:p>
            <w:pPr>
              <w:pStyle w:val="1299"/>
              <w:pBdr/>
              <w:spacing/>
              <w:ind/>
              <w:rPr/>
            </w:pPr>
            <w:r>
              <w:t xml:space="preserve">Current verdict source</w:t>
            </w:r>
            <w:r/>
          </w:p>
        </w:tc>
        <w:tc>
          <w:tcPr>
            <w:shd w:val="clear" w:color="auto" w:fill="1f5a73"/>
            <w:tcBorders/>
            <w:tcMar>
              <w:left w:w="70" w:type="dxa"/>
              <w:top w:w="60" w:type="dxa"/>
              <w:right w:w="70" w:type="dxa"/>
              <w:bottom w:w="60" w:type="dxa"/>
            </w:tcMar>
            <w:tcW w:w="3101" w:type="dxa"/>
            <w:vAlign w:val="top"/>
          </w:tcPr>
          <w:p>
            <w:pPr>
              <w:pStyle w:val="1299"/>
              <w:pBdr/>
              <w:spacing/>
              <w:ind/>
              <w:rPr/>
            </w:pPr>
            <w:r>
              <w:t xml:space="preserve">If unresolved or failing</w:t>
            </w:r>
            <w:r/>
          </w:p>
        </w:tc>
      </w:tr>
      <w:tr>
        <w:trPr>
          <w:cantSplit/>
        </w:trPr>
        <w:tc>
          <w:tcPr>
            <w:tcBorders/>
            <w:tcMar>
              <w:left w:w="70" w:type="dxa"/>
              <w:top w:w="60" w:type="dxa"/>
              <w:right w:w="70" w:type="dxa"/>
              <w:bottom w:w="60" w:type="dxa"/>
            </w:tcMar>
            <w:tcW w:w="1601" w:type="dxa"/>
            <w:vAlign w:val="top"/>
          </w:tcPr>
          <w:p>
            <w:pPr>
              <w:pStyle w:val="1297"/>
              <w:pBdr/>
              <w:spacing/>
              <w:ind/>
              <w:rPr/>
            </w:pPr>
            <w:r>
              <w:t xml:space="preserve">G1 (schema stability)</w:t>
            </w:r>
            <w:r/>
          </w:p>
        </w:tc>
        <w:tc>
          <w:tcPr>
            <w:tcBorders/>
            <w:tcMar>
              <w:left w:w="70" w:type="dxa"/>
              <w:top w:w="60" w:type="dxa"/>
              <w:right w:w="70" w:type="dxa"/>
              <w:bottom w:w="60" w:type="dxa"/>
            </w:tcMar>
            <w:tcW w:w="3301" w:type="dxa"/>
            <w:vAlign w:val="top"/>
          </w:tcPr>
          <w:p>
            <w:pPr>
              <w:pStyle w:val="1297"/>
              <w:pBdr/>
              <w:spacing/>
              <w:ind/>
              <w:rPr/>
            </w:pPr>
            <w:r>
              <w:t xml:space="preserve">Architecture baseline only if a genuine repeated structural failure emerges.</w:t>
            </w:r>
            <w:r/>
          </w:p>
        </w:tc>
        <w:tc>
          <w:tcPr>
            <w:tcBorders/>
            <w:tcMar>
              <w:left w:w="70" w:type="dxa"/>
              <w:top w:w="60" w:type="dxa"/>
              <w:right w:w="70" w:type="dxa"/>
              <w:bottom w:w="60" w:type="dxa"/>
            </w:tcMar>
            <w:tcW w:w="2001" w:type="dxa"/>
            <w:vAlign w:val="top"/>
          </w:tcPr>
          <w:p>
            <w:pPr>
              <w:pStyle w:val="1297"/>
              <w:pBdr/>
              <w:spacing/>
              <w:ind/>
              <w:rPr/>
            </w:pPr>
            <w:r>
              <w:t xml:space="preserve">Applicable recorded GateRuns under Research Specification §10</w:t>
            </w:r>
            <w:r/>
          </w:p>
        </w:tc>
        <w:tc>
          <w:tcPr>
            <w:tcBorders/>
            <w:tcMar>
              <w:left w:w="70" w:type="dxa"/>
              <w:top w:w="60" w:type="dxa"/>
              <w:right w:w="70" w:type="dxa"/>
              <w:bottom w:w="60" w:type="dxa"/>
            </w:tcMar>
            <w:tcW w:w="3101" w:type="dxa"/>
            <w:vAlign w:val="top"/>
          </w:tcPr>
          <w:p>
            <w:pPr>
              <w:pStyle w:val="1297"/>
              <w:pBdr/>
              <w:spacing/>
              <w:ind/>
              <w:rPr/>
            </w:pPr>
            <w:r>
              <w:t xml:space="preserve">Pause/reopen governing analytical architecture only on the defined systemic trigger.</w:t>
            </w:r>
            <w:r/>
          </w:p>
        </w:tc>
      </w:tr>
      <w:tr>
        <w:trPr>
          <w:cantSplit/>
        </w:trPr>
        <w:tc>
          <w:tcPr>
            <w:shd w:val="clear" w:color="auto" w:fill="f7f9fa"/>
            <w:tcBorders/>
            <w:tcMar>
              <w:left w:w="70" w:type="dxa"/>
              <w:top w:w="60" w:type="dxa"/>
              <w:right w:w="70" w:type="dxa"/>
              <w:bottom w:w="60" w:type="dxa"/>
            </w:tcMar>
            <w:tcW w:w="1601" w:type="dxa"/>
            <w:vAlign w:val="top"/>
          </w:tcPr>
          <w:p>
            <w:pPr>
              <w:pStyle w:val="1297"/>
              <w:pBdr/>
              <w:spacing/>
              <w:ind/>
              <w:rPr/>
            </w:pPr>
            <w:r>
              <w:t xml:space="preserve">G2 (status discrimination)</w:t>
            </w:r>
            <w:r/>
          </w:p>
        </w:tc>
        <w:tc>
          <w:tcPr>
            <w:shd w:val="clear" w:color="auto" w:fill="f7f9fa"/>
            <w:tcBorders/>
            <w:tcMar>
              <w:left w:w="70" w:type="dxa"/>
              <w:top w:w="60" w:type="dxa"/>
              <w:right w:w="70" w:type="dxa"/>
              <w:bottom w:w="60" w:type="dxa"/>
            </w:tcMar>
            <w:tcW w:w="3301" w:type="dxa"/>
            <w:vAlign w:val="top"/>
          </w:tcPr>
          <w:p>
            <w:pPr>
              <w:pStyle w:val="1297"/>
              <w:pBdr/>
              <w:spacing/>
              <w:ind/>
              <w:rPr/>
            </w:pPr>
            <w:r>
              <w:t xml:space="preserve">All chapter arguments relying on reproducible ANS/DEN/REF/NSA/VAR/UND/IND/INS distinctions or CAT handling.</w:t>
            </w:r>
            <w:r/>
          </w:p>
        </w:tc>
        <w:tc>
          <w:tcPr>
            <w:shd w:val="clear" w:color="auto" w:fill="f7f9fa"/>
            <w:tcBorders/>
            <w:tcMar>
              <w:left w:w="70" w:type="dxa"/>
              <w:top w:w="60" w:type="dxa"/>
              <w:right w:w="70" w:type="dxa"/>
              <w:bottom w:w="60" w:type="dxa"/>
            </w:tcMar>
            <w:tcW w:w="2001" w:type="dxa"/>
            <w:vAlign w:val="top"/>
          </w:tcPr>
          <w:p>
            <w:pPr>
              <w:pStyle w:val="1297"/>
              <w:pBdr/>
              <w:spacing/>
              <w:ind/>
              <w:rPr/>
            </w:pPr>
            <w:r>
              <w:t xml:space="preserve">Applicable recorded GateRuns under Research Specification §10</w:t>
            </w:r>
            <w:r/>
          </w:p>
        </w:tc>
        <w:tc>
          <w:tcPr>
            <w:shd w:val="clear" w:color="auto" w:fill="f7f9fa"/>
            <w:tcBorders/>
            <w:tcMar>
              <w:left w:w="70" w:type="dxa"/>
              <w:top w:w="60" w:type="dxa"/>
              <w:right w:w="70" w:type="dxa"/>
              <w:bottom w:w="60" w:type="dxa"/>
            </w:tcMar>
            <w:tcW w:w="3101" w:type="dxa"/>
            <w:vAlign w:val="top"/>
          </w:tcPr>
          <w:p>
            <w:pPr>
              <w:pStyle w:val="1297"/>
              <w:pBdr/>
              <w:spacing/>
              <w:ind/>
              <w:rPr/>
            </w:pPr>
            <w:r>
              <w:t xml:space="preserve">Recoding/retraining; weaken or hold affected arguments until all-state and CAT diagnostics pass.</w:t>
            </w:r>
            <w:r/>
          </w:p>
        </w:tc>
      </w:tr>
      <w:tr>
        <w:trPr>
          <w:cantSplit/>
        </w:trPr>
        <w:tc>
          <w:tcPr>
            <w:tcBorders/>
            <w:tcMar>
              <w:left w:w="70" w:type="dxa"/>
              <w:top w:w="60" w:type="dxa"/>
              <w:right w:w="70" w:type="dxa"/>
              <w:bottom w:w="60" w:type="dxa"/>
            </w:tcMar>
            <w:tcW w:w="1601" w:type="dxa"/>
            <w:vAlign w:val="top"/>
          </w:tcPr>
          <w:p>
            <w:pPr>
              <w:pStyle w:val="1297"/>
              <w:pBdr/>
              <w:spacing/>
              <w:ind/>
              <w:rPr/>
            </w:pPr>
            <w:r>
              <w:t xml:space="preserve">G3 (comparative-relation reliability)</w:t>
            </w:r>
            <w:r/>
          </w:p>
        </w:tc>
        <w:tc>
          <w:tcPr>
            <w:tcBorders/>
            <w:tcMar>
              <w:left w:w="70" w:type="dxa"/>
              <w:top w:w="60" w:type="dxa"/>
              <w:right w:w="70" w:type="dxa"/>
              <w:bottom w:w="60" w:type="dxa"/>
            </w:tcMar>
            <w:tcW w:w="3301" w:type="dxa"/>
            <w:vAlign w:val="top"/>
          </w:tcPr>
          <w:p>
            <w:pPr>
              <w:pStyle w:val="1297"/>
              <w:pBdr/>
              <w:spacing/>
              <w:ind/>
              <w:rPr/>
            </w:pPr>
            <w:r>
              <w:t xml:space="preserve">All typed comparison claims and Chapter 19 synthesis; full eleven-type, multi-label relation reliability.</w:t>
            </w:r>
            <w:r/>
          </w:p>
        </w:tc>
        <w:tc>
          <w:tcPr>
            <w:tcBorders/>
            <w:tcMar>
              <w:left w:w="70" w:type="dxa"/>
              <w:top w:w="60" w:type="dxa"/>
              <w:right w:w="70" w:type="dxa"/>
              <w:bottom w:w="60" w:type="dxa"/>
            </w:tcMar>
            <w:tcW w:w="2001" w:type="dxa"/>
            <w:vAlign w:val="top"/>
          </w:tcPr>
          <w:p>
            <w:pPr>
              <w:pStyle w:val="1297"/>
              <w:pBdr/>
              <w:spacing/>
              <w:ind/>
              <w:rPr/>
            </w:pPr>
            <w:r>
              <w:t xml:space="preserve">Applicable recorded GateRuns under Research Specification §10</w:t>
            </w:r>
            <w:r/>
          </w:p>
        </w:tc>
        <w:tc>
          <w:tcPr>
            <w:tcBorders/>
            <w:tcMar>
              <w:left w:w="70" w:type="dxa"/>
              <w:top w:w="60" w:type="dxa"/>
              <w:right w:w="70" w:type="dxa"/>
              <w:bottom w:w="60" w:type="dxa"/>
            </w:tcMar>
            <w:tcW w:w="3101" w:type="dxa"/>
            <w:vAlign w:val="top"/>
          </w:tcPr>
          <w:p>
            <w:pPr>
              <w:pStyle w:val="1297"/>
              <w:pBdr/>
              <w:spacing/>
              <w:ind/>
              <w:rPr/>
            </w:pPr>
            <w:r>
              <w:t xml:space="preserve">Withdraw or weaken unreproducible relations; correct scope, tertium, disanalogy or coherence failures.</w:t>
            </w:r>
            <w:r/>
          </w:p>
        </w:tc>
      </w:tr>
      <w:tr>
        <w:trPr>
          <w:cantSplit/>
        </w:trPr>
        <w:tc>
          <w:tcPr>
            <w:shd w:val="clear" w:color="auto" w:fill="f7f9fa"/>
            <w:tcBorders/>
            <w:tcMar>
              <w:left w:w="70" w:type="dxa"/>
              <w:top w:w="60" w:type="dxa"/>
              <w:right w:w="70" w:type="dxa"/>
              <w:bottom w:w="60" w:type="dxa"/>
            </w:tcMar>
            <w:tcW w:w="1601" w:type="dxa"/>
            <w:vAlign w:val="top"/>
          </w:tcPr>
          <w:p>
            <w:pPr>
              <w:pStyle w:val="1297"/>
              <w:pBdr/>
              <w:spacing/>
              <w:ind/>
              <w:rPr/>
            </w:pPr>
            <w:r>
              <w:t xml:space="preserve">G4 (oral/performance provenance)</w:t>
            </w:r>
            <w:r/>
          </w:p>
        </w:tc>
        <w:tc>
          <w:tcPr>
            <w:shd w:val="clear" w:color="auto" w:fill="f7f9fa"/>
            <w:tcBorders/>
            <w:tcMar>
              <w:left w:w="70" w:type="dxa"/>
              <w:top w:w="60" w:type="dxa"/>
              <w:right w:w="70" w:type="dxa"/>
              <w:bottom w:w="60" w:type="dxa"/>
            </w:tcMar>
            <w:tcW w:w="3301" w:type="dxa"/>
            <w:vAlign w:val="top"/>
          </w:tcPr>
          <w:p>
            <w:pPr>
              <w:pStyle w:val="1297"/>
              <w:pBdr/>
              <w:spacing/>
              <w:ind/>
              <w:rPr/>
            </w:pPr>
            <w:r>
              <w:t xml:space="preserve">Release-grade oral/performance claims; currently material to source-bounded Ifá use.</w:t>
            </w:r>
            <w:r/>
          </w:p>
        </w:tc>
        <w:tc>
          <w:tcPr>
            <w:shd w:val="clear" w:color="auto" w:fill="f7f9fa"/>
            <w:tcBorders/>
            <w:tcMar>
              <w:left w:w="70" w:type="dxa"/>
              <w:top w:w="60" w:type="dxa"/>
              <w:right w:w="70" w:type="dxa"/>
              <w:bottom w:w="60" w:type="dxa"/>
            </w:tcMar>
            <w:tcW w:w="2001" w:type="dxa"/>
            <w:vAlign w:val="top"/>
          </w:tcPr>
          <w:p>
            <w:pPr>
              <w:pStyle w:val="1297"/>
              <w:pBdr/>
              <w:spacing/>
              <w:ind/>
              <w:rPr/>
            </w:pPr>
            <w:r>
              <w:t xml:space="preserve">Applicable recorded GateRuns under Research Specification §10</w:t>
            </w:r>
            <w:r/>
          </w:p>
        </w:tc>
        <w:tc>
          <w:tcPr>
            <w:shd w:val="clear" w:color="auto" w:fill="f7f9fa"/>
            <w:tcBorders/>
            <w:tcMar>
              <w:left w:w="70" w:type="dxa"/>
              <w:top w:w="60" w:type="dxa"/>
              <w:right w:w="70" w:type="dxa"/>
              <w:bottom w:w="60" w:type="dxa"/>
            </w:tcMar>
            <w:tcW w:w="3101" w:type="dxa"/>
            <w:vAlign w:val="top"/>
          </w:tcPr>
          <w:p>
            <w:pPr>
              <w:pStyle w:val="1297"/>
              <w:pBdr/>
              <w:spacing/>
              <w:ind/>
              <w:rPr/>
            </w:pPr>
            <w:r>
              <w:t xml:space="preserve">Demote or hold unsupported oral/performance material; project capability does not clear unit-level provenance.</w:t>
            </w:r>
            <w:r/>
          </w:p>
        </w:tc>
      </w:tr>
      <w:tr>
        <w:trPr>
          <w:cantSplit/>
        </w:trPr>
        <w:tc>
          <w:tcPr>
            <w:tcBorders/>
            <w:tcMar>
              <w:left w:w="70" w:type="dxa"/>
              <w:top w:w="60" w:type="dxa"/>
              <w:right w:w="70" w:type="dxa"/>
              <w:bottom w:w="60" w:type="dxa"/>
            </w:tcMar>
            <w:tcW w:w="1601" w:type="dxa"/>
            <w:vAlign w:val="top"/>
          </w:tcPr>
          <w:p>
            <w:pPr>
              <w:pStyle w:val="1297"/>
              <w:pBdr/>
              <w:spacing/>
              <w:ind/>
              <w:rPr/>
            </w:pPr>
            <w:r>
              <w:t xml:space="preserve">G5 (source-community representation)</w:t>
            </w:r>
            <w:r/>
          </w:p>
        </w:tc>
        <w:tc>
          <w:tcPr>
            <w:tcBorders/>
            <w:tcMar>
              <w:left w:w="70" w:type="dxa"/>
              <w:top w:w="60" w:type="dxa"/>
              <w:right w:w="70" w:type="dxa"/>
              <w:bottom w:w="60" w:type="dxa"/>
            </w:tcMar>
            <w:tcW w:w="3301" w:type="dxa"/>
            <w:vAlign w:val="top"/>
          </w:tcPr>
          <w:p>
            <w:pPr>
              <w:pStyle w:val="1297"/>
              <w:pBdr/>
              <w:spacing/>
              <w:ind/>
              <w:rPr/>
            </w:pPr>
            <w:r>
              <w:t xml:space="preserve">Community-applicable representation and any promotion of held local/Indigenous cases.</w:t>
            </w:r>
            <w:r/>
          </w:p>
        </w:tc>
        <w:tc>
          <w:tcPr>
            <w:tcBorders/>
            <w:tcMar>
              <w:left w:w="70" w:type="dxa"/>
              <w:top w:w="60" w:type="dxa"/>
              <w:right w:w="70" w:type="dxa"/>
              <w:bottom w:w="60" w:type="dxa"/>
            </w:tcMar>
            <w:tcW w:w="2001" w:type="dxa"/>
            <w:vAlign w:val="top"/>
          </w:tcPr>
          <w:p>
            <w:pPr>
              <w:pStyle w:val="1297"/>
              <w:pBdr/>
              <w:spacing/>
              <w:ind/>
              <w:rPr/>
            </w:pPr>
            <w:r>
              <w:t xml:space="preserve">Applicable recorded GateRuns under Research Specification §10</w:t>
            </w:r>
            <w:r/>
          </w:p>
        </w:tc>
        <w:tc>
          <w:tcPr>
            <w:tcBorders/>
            <w:tcMar>
              <w:left w:w="70" w:type="dxa"/>
              <w:top w:w="60" w:type="dxa"/>
              <w:right w:w="70" w:type="dxa"/>
              <w:bottom w:w="60" w:type="dxa"/>
            </w:tcMar>
            <w:tcW w:w="3101" w:type="dxa"/>
            <w:vAlign w:val="top"/>
          </w:tcPr>
          <w:p>
            <w:pPr>
              <w:pStyle w:val="1297"/>
              <w:pBdr/>
              <w:spacing/>
              <w:ind/>
              <w:rPr/>
            </w:pPr>
            <w:r>
              <w:t xml:space="preserve">Restrict/hold affected position or claim; no editorial shortcut.</w:t>
            </w:r>
            <w:r/>
          </w:p>
        </w:tc>
      </w:tr>
      <w:tr>
        <w:trPr>
          <w:cantSplit/>
        </w:trPr>
        <w:tc>
          <w:tcPr>
            <w:shd w:val="clear" w:color="auto" w:fill="f7f9fa"/>
            <w:tcBorders/>
            <w:tcMar>
              <w:left w:w="70" w:type="dxa"/>
              <w:top w:w="60" w:type="dxa"/>
              <w:right w:w="70" w:type="dxa"/>
              <w:bottom w:w="60" w:type="dxa"/>
            </w:tcMar>
            <w:tcW w:w="1601" w:type="dxa"/>
            <w:vAlign w:val="top"/>
          </w:tcPr>
          <w:p>
            <w:pPr>
              <w:pStyle w:val="1297"/>
              <w:pBdr/>
              <w:spacing/>
              <w:ind/>
              <w:rPr/>
            </w:pPr>
            <w:r>
              <w:t xml:space="preserve">G6 (claim traceability)</w:t>
            </w:r>
            <w:r/>
          </w:p>
        </w:tc>
        <w:tc>
          <w:tcPr>
            <w:shd w:val="clear" w:color="auto" w:fill="f7f9fa"/>
            <w:tcBorders/>
            <w:tcMar>
              <w:left w:w="70" w:type="dxa"/>
              <w:top w:w="60" w:type="dxa"/>
              <w:right w:w="70" w:type="dxa"/>
              <w:bottom w:w="60" w:type="dxa"/>
            </w:tcMar>
            <w:tcW w:w="3301" w:type="dxa"/>
            <w:vAlign w:val="top"/>
          </w:tcPr>
          <w:p>
            <w:pPr>
              <w:pStyle w:val="1297"/>
              <w:pBdr/>
              <w:spacing/>
              <w:ind/>
              <w:rPr/>
            </w:pPr>
            <w:r>
              <w:t xml:space="preserve">Every release-candidate Claim and thesis-bearing PublicationClaim in print or public digital scope.</w:t>
            </w:r>
            <w:r/>
          </w:p>
        </w:tc>
        <w:tc>
          <w:tcPr>
            <w:shd w:val="clear" w:color="auto" w:fill="f7f9fa"/>
            <w:tcBorders/>
            <w:tcMar>
              <w:left w:w="70" w:type="dxa"/>
              <w:top w:w="60" w:type="dxa"/>
              <w:right w:w="70" w:type="dxa"/>
              <w:bottom w:w="60" w:type="dxa"/>
            </w:tcMar>
            <w:tcW w:w="2001" w:type="dxa"/>
            <w:vAlign w:val="top"/>
          </w:tcPr>
          <w:p>
            <w:pPr>
              <w:pStyle w:val="1297"/>
              <w:pBdr/>
              <w:spacing/>
              <w:ind/>
              <w:rPr/>
            </w:pPr>
            <w:r>
              <w:t xml:space="preserve">Applicable recorded GateRuns under Research Specification §10</w:t>
            </w:r>
            <w:r/>
          </w:p>
        </w:tc>
        <w:tc>
          <w:tcPr>
            <w:shd w:val="clear" w:color="auto" w:fill="f7f9fa"/>
            <w:tcBorders/>
            <w:tcMar>
              <w:left w:w="70" w:type="dxa"/>
              <w:top w:w="60" w:type="dxa"/>
              <w:right w:w="70" w:type="dxa"/>
              <w:bottom w:w="60" w:type="dxa"/>
            </w:tcMar>
            <w:tcW w:w="3101" w:type="dxa"/>
            <w:vAlign w:val="top"/>
          </w:tcPr>
          <w:p>
            <w:pPr>
              <w:pStyle w:val="1297"/>
              <w:pBdr/>
              <w:spacing/>
              <w:ind/>
              <w:rPr/>
            </w:pPr>
            <w:r>
              <w:t xml:space="preserve">Remove or hold incomplete evidence or premise chains; both required traceability ratios must equal 1.000, with empty scopes handled under Research Specification Annex C §C3.6.</w:t>
            </w:r>
            <w:r/>
          </w:p>
        </w:tc>
      </w:tr>
      <w:tr>
        <w:trPr>
          <w:cantSplit/>
        </w:trPr>
        <w:tc>
          <w:tcPr>
            <w:tcBorders/>
            <w:tcMar>
              <w:left w:w="70" w:type="dxa"/>
              <w:top w:w="60" w:type="dxa"/>
              <w:right w:w="70" w:type="dxa"/>
              <w:bottom w:w="60" w:type="dxa"/>
            </w:tcMar>
            <w:tcW w:w="1601" w:type="dxa"/>
            <w:vAlign w:val="top"/>
          </w:tcPr>
          <w:p>
            <w:pPr>
              <w:pStyle w:val="1297"/>
              <w:pBdr/>
              <w:spacing/>
              <w:ind/>
              <w:rPr/>
            </w:pPr>
            <w:r>
              <w:t xml:space="preserve">G7 (production query regeneration)</w:t>
            </w:r>
            <w:r/>
          </w:p>
        </w:tc>
        <w:tc>
          <w:tcPr>
            <w:tcBorders/>
            <w:tcMar>
              <w:left w:w="70" w:type="dxa"/>
              <w:top w:w="60" w:type="dxa"/>
              <w:right w:w="70" w:type="dxa"/>
              <w:bottom w:w="60" w:type="dxa"/>
            </w:tcMar>
            <w:tcW w:w="3301" w:type="dxa"/>
            <w:vAlign w:val="top"/>
          </w:tcPr>
          <w:p>
            <w:pPr>
              <w:pStyle w:val="1297"/>
              <w:pBdr/>
              <w:spacing/>
              <w:ind/>
              <w:rPr/>
            </w:pPr>
            <w:r>
              <w:t xml:space="preserve">Generated factual views, build-linked exhibits and the public projection.</w:t>
            </w:r>
            <w:r/>
          </w:p>
        </w:tc>
        <w:tc>
          <w:tcPr>
            <w:tcBorders/>
            <w:tcMar>
              <w:left w:w="70" w:type="dxa"/>
              <w:top w:w="60" w:type="dxa"/>
              <w:right w:w="70" w:type="dxa"/>
              <w:bottom w:w="60" w:type="dxa"/>
            </w:tcMar>
            <w:tcW w:w="2001" w:type="dxa"/>
            <w:vAlign w:val="top"/>
          </w:tcPr>
          <w:p>
            <w:pPr>
              <w:pStyle w:val="1297"/>
              <w:pBdr/>
              <w:spacing/>
              <w:ind/>
              <w:rPr/>
            </w:pPr>
            <w:r>
              <w:t xml:space="preserve">Applicable recorded GateRuns under Research Specification §10</w:t>
            </w:r>
            <w:r/>
          </w:p>
        </w:tc>
        <w:tc>
          <w:tcPr>
            <w:tcBorders/>
            <w:tcMar>
              <w:left w:w="70" w:type="dxa"/>
              <w:top w:w="60" w:type="dxa"/>
              <w:right w:w="70" w:type="dxa"/>
              <w:bottom w:w="60" w:type="dxa"/>
            </w:tcMar>
            <w:tcW w:w="3101" w:type="dxa"/>
            <w:vAlign w:val="top"/>
          </w:tcPr>
          <w:p>
            <w:pPr>
              <w:pStyle w:val="1297"/>
              <w:pBdr/>
              <w:spacing/>
              <w:ind/>
              <w:rPr/>
            </w:pPr>
            <w:r>
              <w:t xml:space="preserve">Hold Generated Evidence Views and public outputs until regeneration integrity is restored.</w:t>
            </w:r>
            <w:r/>
          </w:p>
        </w:tc>
      </w:tr>
      <w:tr>
        <w:trPr>
          <w:cantSplit/>
        </w:trPr>
        <w:tc>
          <w:tcPr>
            <w:shd w:val="clear" w:color="auto" w:fill="f7f9fa"/>
            <w:tcBorders/>
            <w:tcMar>
              <w:left w:w="70" w:type="dxa"/>
              <w:top w:w="60" w:type="dxa"/>
              <w:right w:w="70" w:type="dxa"/>
              <w:bottom w:w="60" w:type="dxa"/>
            </w:tcMar>
            <w:tcW w:w="1601" w:type="dxa"/>
            <w:vAlign w:val="top"/>
          </w:tcPr>
          <w:p>
            <w:pPr>
              <w:pStyle w:val="1297"/>
              <w:pBdr/>
              <w:spacing/>
              <w:ind/>
              <w:rPr/>
            </w:pPr>
            <w:r>
              <w:t xml:space="preserve">G8 (novelty refresh)</w:t>
            </w:r>
            <w:r/>
          </w:p>
        </w:tc>
        <w:tc>
          <w:tcPr>
            <w:shd w:val="clear" w:color="auto" w:fill="f7f9fa"/>
            <w:tcBorders/>
            <w:tcMar>
              <w:left w:w="70" w:type="dxa"/>
              <w:top w:w="60" w:type="dxa"/>
              <w:right w:w="70" w:type="dxa"/>
              <w:bottom w:w="60" w:type="dxa"/>
            </w:tcMar>
            <w:tcW w:w="3301" w:type="dxa"/>
            <w:vAlign w:val="top"/>
          </w:tcPr>
          <w:p>
            <w:pPr>
              <w:pStyle w:val="1297"/>
              <w:pBdr/>
              <w:spacing/>
              <w:ind/>
              <w:rPr/>
            </w:pPr>
            <w:r>
              <w:t xml:space="preserve">Originality/priority language only.</w:t>
            </w:r>
            <w:r/>
          </w:p>
        </w:tc>
        <w:tc>
          <w:tcPr>
            <w:shd w:val="clear" w:color="auto" w:fill="f7f9fa"/>
            <w:tcBorders/>
            <w:tcMar>
              <w:left w:w="70" w:type="dxa"/>
              <w:top w:w="60" w:type="dxa"/>
              <w:right w:w="70" w:type="dxa"/>
              <w:bottom w:w="60" w:type="dxa"/>
            </w:tcMar>
            <w:tcW w:w="2001" w:type="dxa"/>
            <w:vAlign w:val="top"/>
          </w:tcPr>
          <w:p>
            <w:pPr>
              <w:pStyle w:val="1297"/>
              <w:pBdr/>
              <w:spacing/>
              <w:ind/>
              <w:rPr/>
            </w:pPr>
            <w:r>
              <w:t xml:space="preserve">Applicable recorded GateRuns under Research Specification §10</w:t>
            </w:r>
            <w:r/>
          </w:p>
        </w:tc>
        <w:tc>
          <w:tcPr>
            <w:shd w:val="clear" w:color="auto" w:fill="f7f9fa"/>
            <w:tcBorders/>
            <w:tcMar>
              <w:left w:w="70" w:type="dxa"/>
              <w:top w:w="60" w:type="dxa"/>
              <w:right w:w="70" w:type="dxa"/>
              <w:bottom w:w="60" w:type="dxa"/>
            </w:tcMar>
            <w:tcW w:w="3101" w:type="dxa"/>
            <w:vAlign w:val="top"/>
          </w:tcPr>
          <w:p>
            <w:pPr>
              <w:pStyle w:val="1297"/>
              <w:pBdr/>
              <w:spacing/>
              <w:ind/>
              <w:rPr/>
            </w:pPr>
            <w:r>
              <w:t xml:space="preserve">Revise public positioning; no expected architecture change.</w:t>
            </w:r>
            <w:r/>
          </w:p>
        </w:tc>
      </w:tr>
    </w:tbl>
    <w:p>
      <w:pPr>
        <w:pStyle w:val="1300"/>
        <w:pBdr/>
        <w:spacing/>
        <w:ind/>
        <w:rPr/>
      </w:pPr>
      <w:r/>
      <w:r/>
    </w:p>
    <w:p>
      <w:pPr>
        <w:pBdr/>
        <w:spacing/>
        <w:ind/>
        <w:rPr/>
      </w:pPr>
      <w:r>
        <w:t xml:space="preserve">A project-level G4 or G5 PASS demonstrates process capability. Clearance of the selected treatment requires the applicable project capability evidence and compliant </w:t>
      </w:r>
      <w:r>
        <w:t xml:space="preserve">evidence, provenance, representation readiness, rights and review for every retained unit, together with per-record validation under Research Specification. A successful capability case does not clear other units. Unsupported units remain excluded or held.</w:t>
      </w:r>
      <w:r/>
    </w:p>
    <w:p>
      <w:pPr>
        <w:pBdr/>
        <w:spacing/>
        <w:ind/>
        <w:rPr/>
      </w:pPr>
      <w:r>
        <w:t xml:space="preserve">Source</w:t>
      </w:r>
      <w:r>
        <w:t xml:space="preserve">-bounded Ifá retains the editorial role CORE when unsupported treatment is narrowed, deferred or held. A change of editorial role requires a separate governed decision. HOLD-FUTURE is an editorial role, HOLD an authorization decision, and rights/access a s</w:t>
      </w:r>
      <w:r>
        <w:t xml:space="preserve">eparate field; none is a synonym for confidentiality. Achuar, Nahua and Māori retain their stated promotion requirements, and Dōgen remains DIGITAL-REFERENCE. Boxed, research-only or digital presentation does not confer public eligibility or authorization.</w:t>
      </w:r>
      <w:r/>
    </w:p>
    <w:p>
      <w:pPr>
        <w:pStyle w:val="1136"/>
        <w:keepNext w:val="true"/>
        <w:keepLines w:val="true"/>
        <w:pBdr/>
        <w:spacing/>
        <w:ind/>
        <w:rPr/>
      </w:pPr>
      <w:r/>
      <w:bookmarkStart w:id="179" w:name="SEC_13"/>
      <w:r>
        <w:t xml:space="preserve">13. Production sequence and handoff</w:t>
      </w:r>
      <w:bookmarkEnd w:id="179"/>
      <w:r/>
      <w:r/>
    </w:p>
    <w:p>
      <w:pPr>
        <w:pStyle w:val="1137"/>
        <w:keepNext w:val="true"/>
        <w:keepLines w:val="true"/>
        <w:pBdr/>
        <w:spacing/>
        <w:ind/>
        <w:rPr/>
      </w:pPr>
      <w:r>
        <w:t xml:space="preserve">1. Targeted research + validation</w:t>
      </w:r>
      <w:r/>
    </w:p>
    <w:p>
      <w:pPr>
        <w:pStyle w:val="1184"/>
        <w:keepNext w:val="true"/>
        <w:keepLines w:val="true"/>
        <w:pBdr/>
        <w:spacing/>
        <w:ind/>
        <w:rPr/>
      </w:pPr>
      <w:r>
        <w:t xml:space="preserve">Governing — 1. Targeted research + validation</w:t>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2393"/>
        <w:gridCol w:w="7613"/>
      </w:tblGrid>
      <w:tr>
        <w:trPr>
          <w:cantSplit/>
          <w:tblHeader/>
        </w:trPr>
        <w:tc>
          <w:tcPr>
            <w:shd w:val="clear" w:color="auto" w:fill="1f5a73"/>
            <w:tcBorders/>
            <w:tcMar>
              <w:left w:w="70" w:type="dxa"/>
              <w:top w:w="60" w:type="dxa"/>
              <w:right w:w="70" w:type="dxa"/>
              <w:bottom w:w="60" w:type="dxa"/>
            </w:tcMar>
            <w:tcW w:w="2393" w:type="dxa"/>
            <w:vAlign w:val="top"/>
          </w:tcPr>
          <w:p>
            <w:pPr>
              <w:pStyle w:val="1298"/>
              <w:pBdr/>
              <w:spacing/>
              <w:ind/>
              <w:rPr/>
            </w:pPr>
            <w:r>
              <w:t xml:space="preserve">Field</w:t>
            </w:r>
            <w:r/>
          </w:p>
        </w:tc>
        <w:tc>
          <w:tcPr>
            <w:shd w:val="clear" w:color="auto" w:fill="1f5a73"/>
            <w:tcBorders/>
            <w:tcMar>
              <w:left w:w="70" w:type="dxa"/>
              <w:top w:w="60" w:type="dxa"/>
              <w:right w:w="70" w:type="dxa"/>
              <w:bottom w:w="60" w:type="dxa"/>
            </w:tcMar>
            <w:tcW w:w="7613" w:type="dxa"/>
            <w:vAlign w:val="top"/>
          </w:tcPr>
          <w:p>
            <w:pPr>
              <w:pStyle w:val="1298"/>
              <w:pBdr/>
              <w:spacing/>
              <w:ind/>
              <w:rPr/>
            </w:pPr>
            <w:r>
              <w:t xml:space="preserve">Required content</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Entry</w:t>
            </w:r>
            <w:r/>
          </w:p>
        </w:tc>
        <w:tc>
          <w:tcPr>
            <w:tcBorders/>
            <w:tcMar>
              <w:left w:w="70" w:type="dxa"/>
              <w:top w:w="60" w:type="dxa"/>
              <w:right w:w="70" w:type="dxa"/>
              <w:bottom w:w="60" w:type="dxa"/>
            </w:tcMar>
            <w:tcW w:w="7613" w:type="dxa"/>
            <w:vAlign w:val="top"/>
          </w:tcPr>
          <w:p>
            <w:pPr>
              <w:pStyle w:val="1296"/>
              <w:pBdr/>
              <w:spacing/>
              <w:ind/>
              <w:rPr/>
            </w:pPr>
            <w:r>
              <w:t xml:space="preserve">Publication Architecture Specification and Research Specification are current authorities</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Owner</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Research lead + relevant specialists/governance/validation owners</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Work</w:t>
            </w:r>
            <w:r/>
          </w:p>
        </w:tc>
        <w:tc>
          <w:tcPr>
            <w:tcBorders/>
            <w:tcMar>
              <w:left w:w="70" w:type="dxa"/>
              <w:top w:w="60" w:type="dxa"/>
              <w:right w:w="70" w:type="dxa"/>
              <w:bottom w:w="60" w:type="dxa"/>
            </w:tcMar>
            <w:tcW w:w="7613" w:type="dxa"/>
            <w:vAlign w:val="top"/>
          </w:tcPr>
          <w:p>
            <w:pPr>
              <w:pStyle w:val="1296"/>
              <w:pBdr/>
              <w:spacing/>
              <w:ind/>
              <w:rPr/>
            </w:pPr>
            <w:r>
              <w:t xml:space="preserve">Close chapter-linked gaps; complete atomic Claims, Concepts, genealogies, counterexamples and PublicationClaim premises; execute applicable G2–G7 work.</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Required output</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Chapter-ready canonical packages + updated dependency register.</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Exit criterion</w:t>
            </w:r>
            <w:r/>
          </w:p>
        </w:tc>
        <w:tc>
          <w:tcPr>
            <w:tcBorders/>
            <w:tcMar>
              <w:left w:w="70" w:type="dxa"/>
              <w:top w:w="60" w:type="dxa"/>
              <w:right w:w="70" w:type="dxa"/>
              <w:bottom w:w="60" w:type="dxa"/>
            </w:tcMar>
            <w:tcW w:w="7613" w:type="dxa"/>
            <w:vAlign w:val="top"/>
          </w:tcPr>
          <w:p>
            <w:pPr>
              <w:pStyle w:val="1296"/>
              <w:pBdr/>
              <w:spacing/>
              <w:ind/>
              <w:rPr/>
            </w:pPr>
            <w:r>
              <w:t xml:space="preserve">Each chapter’s Master Contract entry conditions are satisfied or blocked material is explicitly narrowed, demoted or held.</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Failure and handoff</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Ready package -&gt; manuscript phase; failed dependency -&gt; responsible Research Specification workflow stage or governance owner.</w:t>
            </w:r>
            <w:r/>
          </w:p>
        </w:tc>
      </w:tr>
    </w:tbl>
    <w:p>
      <w:pPr>
        <w:pStyle w:val="1300"/>
        <w:pBdr/>
        <w:spacing/>
        <w:ind/>
        <w:rPr/>
      </w:pPr>
      <w:r/>
      <w:r/>
    </w:p>
    <w:p>
      <w:pPr>
        <w:pStyle w:val="1137"/>
        <w:keepNext w:val="true"/>
        <w:keepLines w:val="true"/>
        <w:pBdr/>
        <w:spacing/>
        <w:ind/>
        <w:rPr/>
      </w:pPr>
      <w:r>
        <w:t xml:space="preserve">2. Manuscript development + generated views</w:t>
      </w:r>
      <w:r/>
    </w:p>
    <w:p>
      <w:pPr>
        <w:pStyle w:val="1184"/>
        <w:keepNext w:val="true"/>
        <w:keepLines w:val="true"/>
        <w:pBdr/>
        <w:spacing/>
        <w:ind/>
        <w:rPr/>
      </w:pPr>
      <w:r>
        <w:t xml:space="preserve">Governing — 2. Manuscript development + generated views</w:t>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2393"/>
        <w:gridCol w:w="7613"/>
      </w:tblGrid>
      <w:tr>
        <w:trPr>
          <w:cantSplit/>
          <w:tblHeader/>
        </w:trPr>
        <w:tc>
          <w:tcPr>
            <w:shd w:val="clear" w:color="auto" w:fill="1f5a73"/>
            <w:tcBorders/>
            <w:tcMar>
              <w:left w:w="70" w:type="dxa"/>
              <w:top w:w="60" w:type="dxa"/>
              <w:right w:w="70" w:type="dxa"/>
              <w:bottom w:w="60" w:type="dxa"/>
            </w:tcMar>
            <w:tcW w:w="2393" w:type="dxa"/>
            <w:vAlign w:val="top"/>
          </w:tcPr>
          <w:p>
            <w:pPr>
              <w:pStyle w:val="1298"/>
              <w:pBdr/>
              <w:spacing/>
              <w:ind/>
              <w:rPr/>
            </w:pPr>
            <w:r>
              <w:t xml:space="preserve">Field</w:t>
            </w:r>
            <w:r/>
          </w:p>
        </w:tc>
        <w:tc>
          <w:tcPr>
            <w:shd w:val="clear" w:color="auto" w:fill="1f5a73"/>
            <w:tcBorders/>
            <w:tcMar>
              <w:left w:w="70" w:type="dxa"/>
              <w:top w:w="60" w:type="dxa"/>
              <w:right w:w="70" w:type="dxa"/>
              <w:bottom w:w="60" w:type="dxa"/>
            </w:tcMar>
            <w:tcW w:w="7613" w:type="dxa"/>
            <w:vAlign w:val="top"/>
          </w:tcPr>
          <w:p>
            <w:pPr>
              <w:pStyle w:val="1298"/>
              <w:pBdr/>
              <w:spacing/>
              <w:ind/>
              <w:rPr/>
            </w:pPr>
            <w:r>
              <w:t xml:space="preserve">Required content</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Entry</w:t>
            </w:r>
            <w:r/>
          </w:p>
        </w:tc>
        <w:tc>
          <w:tcPr>
            <w:tcBorders/>
            <w:tcMar>
              <w:left w:w="70" w:type="dxa"/>
              <w:top w:w="60" w:type="dxa"/>
              <w:right w:w="70" w:type="dxa"/>
              <w:bottom w:w="60" w:type="dxa"/>
            </w:tcMar>
            <w:tcW w:w="7613" w:type="dxa"/>
            <w:vAlign w:val="top"/>
          </w:tcPr>
          <w:p>
            <w:pPr>
              <w:pStyle w:val="1296"/>
              <w:pBdr/>
              <w:spacing/>
              <w:ind/>
              <w:rPr/>
            </w:pPr>
            <w:r>
              <w:t xml:space="preserve">Chapter entry conditions met</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Owner</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Lead author/editor + chapter specialists + data/validation support</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Work</w:t>
            </w:r>
            <w:r/>
          </w:p>
        </w:tc>
        <w:tc>
          <w:tcPr>
            <w:tcBorders/>
            <w:tcMar>
              <w:left w:w="70" w:type="dxa"/>
              <w:top w:w="60" w:type="dxa"/>
              <w:right w:w="70" w:type="dxa"/>
              <w:bottom w:w="60" w:type="dxa"/>
            </w:tcMar>
            <w:tcW w:w="7613" w:type="dxa"/>
            <w:vAlign w:val="top"/>
          </w:tcPr>
          <w:p>
            <w:pPr>
              <w:pStyle w:val="1296"/>
              <w:pBdr/>
              <w:spacing/>
              <w:ind/>
              <w:rPr/>
            </w:pPr>
            <w:r>
              <w:t xml:space="preserve">Draft against the Master Chapter Production Contract (MCPC) and validated records; populate PublicationClaim ledger; generate factual exhibits from the named canonical build; review disanalogies and dependency-bounded material.</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Required output</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Reviewed chapter manuscripts + PublicationClaim records + Generated Evidence Views + resolved dependency state.</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Exit criterion</w:t>
            </w:r>
            <w:r/>
          </w:p>
        </w:tc>
        <w:tc>
          <w:tcPr>
            <w:tcBorders/>
            <w:tcMar>
              <w:left w:w="70" w:type="dxa"/>
              <w:top w:w="60" w:type="dxa"/>
              <w:right w:w="70" w:type="dxa"/>
              <w:bottom w:w="60" w:type="dxa"/>
            </w:tcMar>
            <w:tcW w:w="7613" w:type="dxa"/>
            <w:vAlign w:val="top"/>
          </w:tcPr>
          <w:p>
            <w:pPr>
              <w:pStyle w:val="1296"/>
              <w:pBdr/>
              <w:spacing/>
              <w:ind/>
              <w:rPr/>
            </w:pPr>
            <w:r>
              <w:t xml:space="preserve">Each chapter’s standard and local completion tests pass.</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Failure and handoff</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Complete chapters -&gt; release freeze; failed condition -&gt; chapter/research owner with unresolved-issue record.</w:t>
            </w:r>
            <w:r/>
          </w:p>
        </w:tc>
      </w:tr>
    </w:tbl>
    <w:p>
      <w:pPr>
        <w:pStyle w:val="1300"/>
        <w:pBdr/>
        <w:spacing/>
        <w:ind/>
        <w:rPr/>
      </w:pPr>
      <w:r/>
      <w:r/>
    </w:p>
    <w:p>
      <w:pPr>
        <w:pStyle w:val="1137"/>
        <w:keepNext w:val="true"/>
        <w:keepLines w:val="true"/>
        <w:pBdr/>
        <w:spacing/>
        <w:ind/>
        <w:rPr/>
      </w:pPr>
      <w:r>
        <w:t xml:space="preserve">3. Release freeze</w:t>
      </w:r>
      <w:r/>
    </w:p>
    <w:p>
      <w:pPr>
        <w:pStyle w:val="1184"/>
        <w:keepNext w:val="true"/>
        <w:keepLines w:val="true"/>
        <w:pBdr/>
        <w:spacing/>
        <w:ind/>
        <w:rPr/>
      </w:pPr>
      <w:r>
        <w:t xml:space="preserve">Governing — 3. Release freeze</w:t>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2393"/>
        <w:gridCol w:w="7613"/>
      </w:tblGrid>
      <w:tr>
        <w:trPr>
          <w:cantSplit/>
          <w:tblHeader/>
        </w:trPr>
        <w:tc>
          <w:tcPr>
            <w:shd w:val="clear" w:color="auto" w:fill="1f5a73"/>
            <w:tcBorders/>
            <w:tcMar>
              <w:left w:w="70" w:type="dxa"/>
              <w:top w:w="60" w:type="dxa"/>
              <w:right w:w="70" w:type="dxa"/>
              <w:bottom w:w="60" w:type="dxa"/>
            </w:tcMar>
            <w:tcW w:w="2393" w:type="dxa"/>
            <w:vAlign w:val="top"/>
          </w:tcPr>
          <w:p>
            <w:pPr>
              <w:pStyle w:val="1298"/>
              <w:pBdr/>
              <w:spacing/>
              <w:ind/>
              <w:rPr/>
            </w:pPr>
            <w:r>
              <w:t xml:space="preserve">Field</w:t>
            </w:r>
            <w:r/>
          </w:p>
        </w:tc>
        <w:tc>
          <w:tcPr>
            <w:shd w:val="clear" w:color="auto" w:fill="1f5a73"/>
            <w:tcBorders/>
            <w:tcMar>
              <w:left w:w="70" w:type="dxa"/>
              <w:top w:w="60" w:type="dxa"/>
              <w:right w:w="70" w:type="dxa"/>
              <w:bottom w:w="60" w:type="dxa"/>
            </w:tcMar>
            <w:tcW w:w="7613" w:type="dxa"/>
            <w:vAlign w:val="top"/>
          </w:tcPr>
          <w:p>
            <w:pPr>
              <w:pStyle w:val="1298"/>
              <w:pBdr/>
              <w:spacing/>
              <w:ind/>
              <w:rPr/>
            </w:pPr>
            <w:r>
              <w:t xml:space="preserve">Required content</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Entry</w:t>
            </w:r>
            <w:r/>
          </w:p>
        </w:tc>
        <w:tc>
          <w:tcPr>
            <w:tcBorders/>
            <w:tcMar>
              <w:left w:w="70" w:type="dxa"/>
              <w:top w:w="60" w:type="dxa"/>
              <w:right w:w="70" w:type="dxa"/>
              <w:bottom w:w="60" w:type="dxa"/>
            </w:tcMar>
            <w:tcW w:w="7613" w:type="dxa"/>
            <w:vAlign w:val="top"/>
          </w:tcPr>
          <w:p>
            <w:pPr>
              <w:pStyle w:val="1296"/>
              <w:pBdr/>
              <w:spacing/>
              <w:ind/>
              <w:rPr/>
            </w:pPr>
            <w:r>
              <w:t xml:space="preserve">Complete manuscript and canonical build candidate</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Owner</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Release officer + publication lead + validation engineer + applicable reviewers</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Work</w:t>
            </w:r>
            <w:r/>
          </w:p>
        </w:tc>
        <w:tc>
          <w:tcPr>
            <w:tcBorders/>
            <w:tcMar>
              <w:left w:w="70" w:type="dxa"/>
              <w:top w:w="60" w:type="dxa"/>
              <w:right w:w="70" w:type="dxa"/>
              <w:bottom w:w="60" w:type="dxa"/>
            </w:tcMar>
            <w:tcW w:w="7613" w:type="dxa"/>
            <w:vAlign w:val="top"/>
          </w:tcPr>
          <w:p>
            <w:pPr>
              <w:pStyle w:val="1296"/>
              <w:pBdr/>
              <w:spacing/>
              <w:ind/>
              <w:rPr/>
            </w:pPr>
            <w:r>
              <w:t xml:space="preserve">Close all applicable G1–G8 gates; refresh novelty if required; regenerate outputs; complete specialist/community/rights review; freeze build and publication version.</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Required output</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Frozen canonical build + frozen publication files + authorization record.</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Exit criterion</w:t>
            </w:r>
            <w:r/>
          </w:p>
        </w:tc>
        <w:tc>
          <w:tcPr>
            <w:tcBorders/>
            <w:tcMar>
              <w:left w:w="70" w:type="dxa"/>
              <w:top w:w="60" w:type="dxa"/>
              <w:right w:w="70" w:type="dxa"/>
              <w:bottom w:w="60" w:type="dxa"/>
            </w:tcMar>
            <w:tcW w:w="7613" w:type="dxa"/>
            <w:vAlign w:val="top"/>
          </w:tcPr>
          <w:p>
            <w:pPr>
              <w:pStyle w:val="1296"/>
              <w:pBdr/>
              <w:spacing/>
              <w:ind/>
              <w:rPr/>
            </w:pPr>
            <w:r>
              <w:t xml:space="preserve">GO only when all applicable gates PASS and no unresolved Severity-1 defect remains.</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Failure and handoff</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GO -&gt; release; otherwise HOLD with bounded remediation and targeted regression rerun.</w:t>
            </w:r>
            <w:r/>
          </w:p>
        </w:tc>
      </w:tr>
    </w:tbl>
    <w:p>
      <w:pPr>
        <w:pStyle w:val="1300"/>
        <w:pBdr/>
        <w:spacing/>
        <w:ind/>
        <w:rPr/>
      </w:pPr>
      <w:r/>
      <w:r/>
    </w:p>
    <w:tbl>
      <w:tblPr>
        <w:jc w:val="center"/>
        <w:tblW w:w="0" w:type="auto"/>
        <w:tblBorders>
          <w:top w:val="single" w:color="2a6f83" w:sz="8" w:space="0"/>
          <w:left w:val="single" w:color="2a6f83" w:sz="8" w:space="0"/>
          <w:bottom w:val="single" w:color="2a6f83" w:sz="8" w:space="0"/>
          <w:right w:val="single" w:color="2a6f83" w:sz="8" w:space="0"/>
          <w:insideH w:val="single" w:color="2a6f83" w:sz="8" w:space="0"/>
          <w:insideV w:val="single" w:color="2a6f83" w:sz="8" w:space="0"/>
        </w:tblBorders>
        <w:tblLayout w:type="fixed"/>
        <w:tblLook w:val="04A0" w:firstRow="1" w:lastRow="0" w:firstColumn="1" w:lastColumn="0" w:noHBand="0" w:noVBand="1"/>
      </w:tblPr>
      <w:tblGrid>
        <w:gridCol w:w="10006"/>
      </w:tblGrid>
      <w:tr>
        <w:trPr>
          <w:cantSplit/>
          <w:tblHeader/>
        </w:trPr>
        <w:tc>
          <w:tcPr>
            <w:shd w:val="clear" w:color="auto" w:fill="2a6f83"/>
            <w:tcBorders/>
            <w:tcMar>
              <w:left w:w="70" w:type="dxa"/>
              <w:top w:w="60" w:type="dxa"/>
              <w:right w:w="70" w:type="dxa"/>
              <w:bottom w:w="60" w:type="dxa"/>
            </w:tcMar>
            <w:tcW w:w="9936" w:type="dxa"/>
            <w:vAlign w:val="top"/>
          </w:tcPr>
          <w:p>
            <w:pPr>
              <w:pStyle w:val="1301"/>
              <w:pBdr/>
              <w:spacing/>
              <w:ind/>
              <w:rPr/>
            </w:pPr>
            <w:r>
              <w:t xml:space="preserve">Governing — Phase completion rule</w:t>
            </w:r>
            <w:r/>
          </w:p>
        </w:tc>
      </w:tr>
      <w:tr>
        <w:trPr>
          <w:cantSplit/>
        </w:trPr>
        <w:tc>
          <w:tcPr>
            <w:shd w:val="clear" w:color="auto" w:fill="eaf2f6"/>
            <w:tcBorders/>
            <w:tcMar>
              <w:left w:w="70" w:type="dxa"/>
              <w:top w:w="60" w:type="dxa"/>
              <w:right w:w="70" w:type="dxa"/>
              <w:bottom w:w="60" w:type="dxa"/>
            </w:tcMar>
            <w:tcW w:w="10006" w:type="dxa"/>
            <w:vAlign w:val="top"/>
          </w:tcPr>
          <w:p>
            <w:pPr>
              <w:pStyle w:val="1302"/>
              <w:pBdr/>
              <w:spacing/>
              <w:ind/>
              <w:rPr/>
            </w:pPr>
            <w:r>
              <w:t xml:space="preserve">A phase is complete only when its mandatory output exists and its exit criterion is satisfied. Downstream work may proceed pr</w:t>
            </w:r>
            <w:r>
              <w:t xml:space="preserve">ovisionally only where explicitly marked; provisional evidence is never released as validated material. Failed exit criteria return the exact object to the responsible upstream phase or Research Specification workflow stage with an unresolved-issue record.</w:t>
            </w:r>
            <w:r/>
          </w:p>
        </w:tc>
      </w:tr>
    </w:tbl>
    <w:p>
      <w:pPr>
        <w:pStyle w:val="1300"/>
        <w:pBdr/>
        <w:spacing/>
        <w:ind/>
        <w:rPr/>
      </w:pPr>
      <w:r/>
      <w:r/>
    </w:p>
    <w:p>
      <w:pPr>
        <w:pStyle w:val="1136"/>
        <w:keepNext w:val="true"/>
        <w:keepLines w:val="true"/>
        <w:pBdr/>
        <w:spacing/>
        <w:ind/>
        <w:rPr/>
      </w:pPr>
      <w:r/>
      <w:bookmarkStart w:id="180" w:name="SEC_14"/>
      <w:r>
        <w:t xml:space="preserve">14. Two-document governance and change control</w:t>
      </w:r>
      <w:bookmarkEnd w:id="180"/>
      <w:r/>
      <w:r/>
    </w:p>
    <w:p>
      <w:pPr>
        <w:pBdr/>
        <w:spacing/>
        <w:ind/>
        <w:rPr/>
      </w:pPr>
      <w:r>
        <w:t xml:space="preserve">Publication Specification governs editorial placement and production architecture. Research Sp</w:t>
      </w:r>
      <w:r>
        <w:t xml:space="preserve">ecification governs the validity and release eligibility of the supporting research. Editorial changes cannot weaken Research MUST-level requirements; research-method changes affect this specification only where they create material editorial consequences.</w:t>
      </w:r>
      <w:r/>
    </w:p>
    <w:p>
      <w:pPr>
        <w:pStyle w:val="1165"/>
        <w:pBdr/>
        <w:spacing/>
        <w:ind/>
        <w:rPr/>
      </w:pPr>
      <w:r>
        <w:t xml:space="preserve">Evidence, readiness or gate failure may demote, narrow, hold or remove a claim or Position without automatically changing chapter structure.</w:t>
      </w:r>
      <w:r/>
    </w:p>
    <w:p>
      <w:pPr>
        <w:pStyle w:val="1165"/>
        <w:pBdr/>
        <w:spacing/>
        <w:ind/>
        <w:rPr/>
      </w:pPr>
      <w:r>
        <w:t xml:space="preserve">A constitutive change to the two-volume, six-Part, twenty-chapter architecture requires explicit versioned editorial change control.</w:t>
      </w:r>
      <w:r/>
    </w:p>
    <w:p>
      <w:pPr>
        <w:pStyle w:val="1165"/>
        <w:pBdr/>
        <w:spacing/>
        <w:ind/>
        <w:rPr/>
      </w:pPr>
      <w:r>
        <w:t xml:space="preserve">A constitutive change to D1–D15, response or claim meanings, evidence burdens, relation taxonomy, synthesis levels or release logic is governed by Research Specification §13.</w:t>
      </w:r>
      <w:r/>
    </w:p>
    <w:p>
      <w:pPr>
        <w:pStyle w:val="1165"/>
        <w:pBdr/>
        <w:spacing/>
        <w:ind/>
        <w:rPr/>
      </w:pPr>
      <w:r>
        <w:t xml:space="preserve">Generated manifests and crosswalks must be regenerated when their authoritative chapter, corpus or dependency facts change.</w:t>
      </w:r>
      <w:r/>
    </w:p>
    <w:p>
      <w:pPr>
        <w:pStyle w:val="1165"/>
        <w:pBdr/>
        <w:spacing/>
        <w:ind/>
        <w:rPr/>
      </w:pPr>
      <w:r>
        <w:t xml:space="preserve">Document status never constitutes release authorization.</w:t>
      </w:r>
      <w:r/>
    </w:p>
    <w:p>
      <w:pPr>
        <w:pStyle w:val="1184"/>
        <w:keepNext w:val="true"/>
        <w:keepLines w:val="true"/>
        <w:pBdr/>
        <w:spacing/>
        <w:ind/>
        <w:rPr/>
      </w:pPr>
      <w:r>
        <w:t xml:space="preserve">Governing — Publication-facing dependency-impact rule</w:t>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720"/>
        <w:gridCol w:w="9216"/>
      </w:tblGrid>
      <w:tr>
        <w:trPr>
          <w:cantSplit/>
          <w:tblHeader/>
        </w:trPr>
        <w:tc>
          <w:tcPr>
            <w:shd w:val="clear" w:color="auto" w:fill="1f5a73"/>
            <w:tcBorders/>
            <w:tcMar>
              <w:left w:w="70" w:type="dxa"/>
              <w:top w:w="60" w:type="dxa"/>
              <w:right w:w="70" w:type="dxa"/>
              <w:bottom w:w="60" w:type="dxa"/>
            </w:tcMar>
            <w:tcW w:w="720" w:type="dxa"/>
            <w:vAlign w:val="top"/>
          </w:tcPr>
          <w:p>
            <w:pPr>
              <w:pStyle w:val="1298"/>
              <w:pBdr/>
              <w:spacing/>
              <w:ind/>
              <w:rPr/>
            </w:pPr>
            <w:r>
              <w:t xml:space="preserve">No.</w:t>
            </w:r>
            <w:r/>
          </w:p>
        </w:tc>
        <w:tc>
          <w:tcPr>
            <w:shd w:val="clear" w:color="auto" w:fill="1f5a73"/>
            <w:tcBorders/>
            <w:tcMar>
              <w:left w:w="70" w:type="dxa"/>
              <w:top w:w="60" w:type="dxa"/>
              <w:right w:w="70" w:type="dxa"/>
              <w:bottom w:w="60" w:type="dxa"/>
            </w:tcMar>
            <w:tcW w:w="9216" w:type="dxa"/>
            <w:vAlign w:val="top"/>
          </w:tcPr>
          <w:p>
            <w:pPr>
              <w:pStyle w:val="1298"/>
              <w:pBdr/>
              <w:spacing/>
              <w:ind/>
              <w:rPr/>
            </w:pPr>
            <w:r>
              <w:t xml:space="preserve">Publication-facing rule</w:t>
            </w:r>
            <w:r/>
          </w:p>
        </w:tc>
      </w:tr>
      <w:tr>
        <w:trPr>
          <w:cantSplit/>
        </w:trPr>
        <w:tc>
          <w:tcPr>
            <w:tcBorders/>
            <w:tcMar>
              <w:left w:w="70" w:type="dxa"/>
              <w:top w:w="60" w:type="dxa"/>
              <w:right w:w="70" w:type="dxa"/>
              <w:bottom w:w="60" w:type="dxa"/>
            </w:tcMar>
            <w:tcW w:w="720" w:type="dxa"/>
            <w:vAlign w:val="top"/>
          </w:tcPr>
          <w:p>
            <w:pPr>
              <w:pStyle w:val="1296"/>
              <w:pBdr/>
              <w:spacing/>
              <w:ind/>
              <w:rPr/>
            </w:pPr>
            <w:r>
              <w:t xml:space="preserve">1</w:t>
            </w:r>
            <w:r/>
          </w:p>
        </w:tc>
        <w:tc>
          <w:tcPr>
            <w:tcBorders/>
            <w:tcMar>
              <w:left w:w="70" w:type="dxa"/>
              <w:top w:w="60" w:type="dxa"/>
              <w:right w:w="70" w:type="dxa"/>
              <w:bottom w:w="60" w:type="dxa"/>
            </w:tcMar>
            <w:tcW w:w="9216" w:type="dxa"/>
            <w:vAlign w:val="top"/>
          </w:tcPr>
          <w:p>
            <w:pPr>
              <w:pStyle w:val="1296"/>
              <w:pBdr/>
              <w:spacing/>
              <w:ind/>
              <w:rPr/>
            </w:pPr>
            <w:r>
              <w:t xml:space="preserve">No consumed editorial meaning, status, identifier, dependency or behavior changed — NO ACTION. Record the determination; do not reopen accepted publication material.</w:t>
            </w:r>
            <w:r/>
          </w:p>
        </w:tc>
      </w:tr>
      <w:tr>
        <w:trPr>
          <w:cantSplit/>
        </w:trPr>
        <w:tc>
          <w:tcPr>
            <w:shd w:val="clear" w:color="auto" w:fill="f7f9fa"/>
            <w:tcBorders/>
            <w:tcMar>
              <w:left w:w="70" w:type="dxa"/>
              <w:top w:w="60" w:type="dxa"/>
              <w:right w:w="70" w:type="dxa"/>
              <w:bottom w:w="60" w:type="dxa"/>
            </w:tcMar>
            <w:tcW w:w="720" w:type="dxa"/>
            <w:vAlign w:val="top"/>
          </w:tcPr>
          <w:p>
            <w:pPr>
              <w:pStyle w:val="1296"/>
              <w:pBdr/>
              <w:spacing/>
              <w:ind/>
              <w:rPr/>
            </w:pPr>
            <w:r>
              <w:t xml:space="preserve">2</w:t>
            </w:r>
            <w:r/>
          </w:p>
        </w:tc>
        <w:tc>
          <w:tcPr>
            <w:shd w:val="clear" w:color="auto" w:fill="f7f9fa"/>
            <w:tcBorders/>
            <w:tcMar>
              <w:left w:w="70" w:type="dxa"/>
              <w:top w:w="60" w:type="dxa"/>
              <w:right w:w="70" w:type="dxa"/>
              <w:bottom w:w="60" w:type="dxa"/>
            </w:tcMar>
            <w:tcW w:w="9216" w:type="dxa"/>
            <w:vAlign w:val="top"/>
          </w:tcPr>
          <w:p>
            <w:pPr>
              <w:pStyle w:val="1296"/>
              <w:pBdr/>
              <w:spacing/>
              <w:ind/>
              <w:rPr/>
            </w:pPr>
            <w:r>
              <w:t xml:space="preserve">Only technical, </w:t>
            </w:r>
            <w:r>
              <w:t xml:space="preserve">format, locator, pagination, metadata or identity changed and consumed meaning is unchanged — REVALIDATE. Check affected references, manifests, links, generated views and package behavior; do not rerun substantive work unless revalidation exposes a defect.</w:t>
            </w:r>
            <w:r/>
          </w:p>
        </w:tc>
      </w:tr>
      <w:tr>
        <w:trPr>
          <w:cantSplit/>
        </w:trPr>
        <w:tc>
          <w:tcPr>
            <w:tcBorders/>
            <w:tcMar>
              <w:left w:w="70" w:type="dxa"/>
              <w:top w:w="60" w:type="dxa"/>
              <w:right w:w="70" w:type="dxa"/>
              <w:bottom w:w="60" w:type="dxa"/>
            </w:tcMar>
            <w:tcW w:w="720" w:type="dxa"/>
            <w:vAlign w:val="top"/>
          </w:tcPr>
          <w:p>
            <w:pPr>
              <w:pStyle w:val="1296"/>
              <w:pBdr/>
              <w:spacing/>
              <w:ind/>
              <w:rPr/>
            </w:pPr>
            <w:r>
              <w:t xml:space="preserve">3</w:t>
            </w:r>
            <w:r/>
          </w:p>
        </w:tc>
        <w:tc>
          <w:tcPr>
            <w:tcBorders/>
            <w:tcMar>
              <w:left w:w="70" w:type="dxa"/>
              <w:top w:w="60" w:type="dxa"/>
              <w:right w:w="70" w:type="dxa"/>
              <w:bottom w:w="60" w:type="dxa"/>
            </w:tcMar>
            <w:tcW w:w="9216" w:type="dxa"/>
            <w:vAlign w:val="top"/>
          </w:tcPr>
          <w:p>
            <w:pPr>
              <w:pStyle w:val="1296"/>
              <w:pBdr/>
              <w:spacing/>
              <w:ind/>
              <w:rPr/>
            </w:pPr>
            <w:r>
              <w:t xml:space="preserve">Controlled terminology, claim scope, canonical content, dependency state, relation/synthes</w:t>
            </w:r>
            <w:r>
              <w:t xml:space="preserve">is status or generated-view behavior consumed downstream changed — RERUN AFFECTED DEPENDENTS. Rerun only the affected chapter briefs, chapter packets, PublicationClaims, exhibits, crosswalks or manifests from an accepted baseline; preserve unaffected work.</w:t>
            </w:r>
            <w:r/>
          </w:p>
        </w:tc>
      </w:tr>
      <w:tr>
        <w:trPr>
          <w:cantSplit/>
        </w:trPr>
        <w:tc>
          <w:tcPr>
            <w:shd w:val="clear" w:color="auto" w:fill="f7f9fa"/>
            <w:tcBorders/>
            <w:tcMar>
              <w:left w:w="70" w:type="dxa"/>
              <w:top w:w="60" w:type="dxa"/>
              <w:right w:w="70" w:type="dxa"/>
              <w:bottom w:w="60" w:type="dxa"/>
            </w:tcMar>
            <w:tcW w:w="720" w:type="dxa"/>
            <w:vAlign w:val="top"/>
          </w:tcPr>
          <w:p>
            <w:pPr>
              <w:pStyle w:val="1296"/>
              <w:pBdr/>
              <w:spacing/>
              <w:ind/>
              <w:rPr/>
            </w:pPr>
            <w:r>
              <w:t xml:space="preserve">4</w:t>
            </w:r>
            <w:r/>
          </w:p>
        </w:tc>
        <w:tc>
          <w:tcPr>
            <w:shd w:val="clear" w:color="auto" w:fill="f7f9fa"/>
            <w:tcBorders/>
            <w:tcMar>
              <w:left w:w="70" w:type="dxa"/>
              <w:top w:w="60" w:type="dxa"/>
              <w:right w:w="70" w:type="dxa"/>
              <w:bottom w:w="60" w:type="dxa"/>
            </w:tcMar>
            <w:tcW w:w="9216" w:type="dxa"/>
            <w:vAlign w:val="top"/>
          </w:tcPr>
          <w:p>
            <w:pPr>
              <w:pStyle w:val="1296"/>
              <w:pBdr/>
              <w:spacing/>
              <w:ind/>
              <w:rPr/>
            </w:pPr>
            <w:r>
              <w:t xml:space="preserve">The controlling baseline is missing, ambiguous, revoked, rejected, superseded or unqualified — BLOCK. Stop downstream use until an eligible baseline is restored.</w:t>
            </w:r>
            <w:r/>
          </w:p>
        </w:tc>
      </w:tr>
    </w:tbl>
    <w:p>
      <w:pPr>
        <w:pBdr/>
        <w:spacing/>
        <w:ind/>
        <w:rPr/>
      </w:pPr>
      <w:r>
        <w:t xml:space="preserve">Research Specification §13 remains authoritative for methodological change. This rule governs publication-facing impact only and creates no second gate, verdict or status system.</w:t>
      </w:r>
      <w:r/>
    </w:p>
    <w:p>
      <w:pPr>
        <w:pStyle w:val="1135"/>
        <w:keepNext w:val="true"/>
        <w:keepLines w:val="true"/>
        <w:pBdr/>
        <w:spacing/>
        <w:ind/>
        <w:rPr/>
      </w:pPr>
      <w:r/>
      <w:bookmarkStart w:id="181" w:name="ANNEX_A"/>
      <w:r>
        <w:t xml:space="preserve">Annex A — Candidate and selection provenance</w:t>
      </w:r>
      <w:bookmarkEnd w:id="181"/>
      <w:r/>
      <w:r/>
    </w:p>
    <w:p>
      <w:pPr>
        <w:pStyle w:val="1184"/>
        <w:keepNext w:val="true"/>
        <w:keepLines w:val="true"/>
        <w:pBdr/>
        <w:spacing/>
        <w:ind/>
        <w:rPr/>
      </w:pPr>
      <w:r>
        <w:t xml:space="preserve">Governing — Annex A front door</w:t>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2393"/>
        <w:gridCol w:w="7613"/>
      </w:tblGrid>
      <w:tr>
        <w:trPr>
          <w:cantSplit/>
          <w:tblHeader/>
        </w:trPr>
        <w:tc>
          <w:tcPr>
            <w:shd w:val="clear" w:color="auto" w:fill="1f5a73"/>
            <w:tcBorders/>
            <w:tcMar>
              <w:left w:w="70" w:type="dxa"/>
              <w:top w:w="60" w:type="dxa"/>
              <w:right w:w="70" w:type="dxa"/>
              <w:bottom w:w="60" w:type="dxa"/>
            </w:tcMar>
            <w:tcW w:w="2393" w:type="dxa"/>
            <w:vAlign w:val="top"/>
          </w:tcPr>
          <w:p>
            <w:pPr>
              <w:pStyle w:val="1298"/>
              <w:pBdr/>
              <w:spacing/>
              <w:ind/>
              <w:rPr/>
            </w:pPr>
            <w:r>
              <w:t xml:space="preserve">Field</w:t>
            </w:r>
            <w:r/>
          </w:p>
        </w:tc>
        <w:tc>
          <w:tcPr>
            <w:shd w:val="clear" w:color="auto" w:fill="1f5a73"/>
            <w:tcBorders/>
            <w:tcMar>
              <w:left w:w="70" w:type="dxa"/>
              <w:top w:w="60" w:type="dxa"/>
              <w:right w:w="70" w:type="dxa"/>
              <w:bottom w:w="60" w:type="dxa"/>
            </w:tcMar>
            <w:tcW w:w="7613" w:type="dxa"/>
            <w:vAlign w:val="top"/>
          </w:tcPr>
          <w:p>
            <w:pPr>
              <w:pStyle w:val="1298"/>
              <w:pBdr/>
              <w:spacing/>
              <w:ind/>
              <w:rPr/>
            </w:pPr>
            <w:r>
              <w:t xml:space="preserve">Required content</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Purpose</w:t>
            </w:r>
            <w:r/>
          </w:p>
        </w:tc>
        <w:tc>
          <w:tcPr>
            <w:tcBorders/>
            <w:tcMar>
              <w:left w:w="70" w:type="dxa"/>
              <w:top w:w="60" w:type="dxa"/>
              <w:right w:w="70" w:type="dxa"/>
              <w:bottom w:w="60" w:type="dxa"/>
            </w:tcMar>
            <w:tcW w:w="7613" w:type="dxa"/>
            <w:vAlign w:val="top"/>
          </w:tcPr>
          <w:p>
            <w:pPr>
              <w:pStyle w:val="1296"/>
              <w:pBdr/>
              <w:spacing/>
              <w:ind/>
              <w:rPr/>
            </w:pPr>
            <w:r>
              <w:t xml:space="preserve">Preserve the candidate-universe eligibility, calibrated role method, role-stability evidence and linked candidate views.</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Authority status</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Editorial roles in Part I are governing. Scores and feasibility views are selection provenance dated 28 July 2026.</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Join key</w:t>
            </w:r>
            <w:r/>
          </w:p>
        </w:tc>
        <w:tc>
          <w:tcPr>
            <w:tcBorders/>
            <w:tcMar>
              <w:left w:w="70" w:type="dxa"/>
              <w:top w:w="60" w:type="dxa"/>
              <w:right w:w="70" w:type="dxa"/>
              <w:bottom w:w="60" w:type="dxa"/>
            </w:tcMar>
            <w:tcW w:w="7613" w:type="dxa"/>
            <w:vAlign w:val="top"/>
          </w:tcPr>
          <w:p>
            <w:pPr>
              <w:pStyle w:val="1296"/>
              <w:pBdr/>
              <w:spacing/>
              <w:ind/>
              <w:rPr/>
            </w:pPr>
            <w:r>
              <w:t xml:space="preserve">Candidate number 1–40 links every view.</w:t>
            </w:r>
            <w:r/>
          </w:p>
        </w:tc>
      </w:tr>
    </w:tbl>
    <w:p>
      <w:pPr>
        <w:pStyle w:val="1300"/>
        <w:pBdr/>
        <w:spacing/>
        <w:ind/>
        <w:rPr/>
      </w:pPr>
      <w:r/>
      <w:r/>
    </w:p>
    <w:p>
      <w:pPr>
        <w:pStyle w:val="1136"/>
        <w:keepNext w:val="true"/>
        <w:keepLines w:val="true"/>
        <w:pBdr/>
        <w:spacing/>
        <w:ind/>
        <w:rPr/>
      </w:pPr>
      <w:r/>
      <w:bookmarkStart w:id="182" w:name="A1"/>
      <w:r>
        <w:t xml:space="preserve">A1. Candidate eligibility and role method</w:t>
      </w:r>
      <w:bookmarkEnd w:id="182"/>
      <w:r/>
      <w:r/>
    </w:p>
    <w:p>
      <w:pPr>
        <w:pStyle w:val="1184"/>
        <w:keepNext w:val="true"/>
        <w:keepLines w:val="true"/>
        <w:pBdr/>
        <w:spacing/>
        <w:ind/>
        <w:rPr/>
      </w:pPr>
      <w:r>
        <w:t xml:space="preserve">Governing — Candidate eligibility hard gates</w:t>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2248"/>
        <w:gridCol w:w="4350"/>
        <w:gridCol w:w="3407"/>
      </w:tblGrid>
      <w:tr>
        <w:trPr>
          <w:cantSplit/>
          <w:tblHeader/>
        </w:trPr>
        <w:tc>
          <w:tcPr>
            <w:shd w:val="clear" w:color="auto" w:fill="1f5a73"/>
            <w:tcBorders/>
            <w:tcMar>
              <w:left w:w="70" w:type="dxa"/>
              <w:top w:w="60" w:type="dxa"/>
              <w:right w:w="70" w:type="dxa"/>
              <w:bottom w:w="60" w:type="dxa"/>
            </w:tcMar>
            <w:tcW w:w="2248" w:type="dxa"/>
            <w:vAlign w:val="top"/>
          </w:tcPr>
          <w:p>
            <w:pPr>
              <w:pStyle w:val="1298"/>
              <w:pBdr/>
              <w:spacing/>
              <w:ind/>
              <w:rPr/>
            </w:pPr>
            <w:r>
              <w:t xml:space="preserve">Hard gate</w:t>
            </w:r>
            <w:r/>
          </w:p>
        </w:tc>
        <w:tc>
          <w:tcPr>
            <w:shd w:val="clear" w:color="auto" w:fill="1f5a73"/>
            <w:tcBorders/>
            <w:tcMar>
              <w:left w:w="70" w:type="dxa"/>
              <w:top w:w="60" w:type="dxa"/>
              <w:right w:w="70" w:type="dxa"/>
              <w:bottom w:w="60" w:type="dxa"/>
            </w:tcMar>
            <w:tcW w:w="4350" w:type="dxa"/>
            <w:vAlign w:val="top"/>
          </w:tcPr>
          <w:p>
            <w:pPr>
              <w:pStyle w:val="1298"/>
              <w:pBdr/>
              <w:spacing/>
              <w:ind/>
              <w:rPr/>
            </w:pPr>
            <w:r>
              <w:t xml:space="preserve">Pass question</w:t>
            </w:r>
            <w:r/>
          </w:p>
        </w:tc>
        <w:tc>
          <w:tcPr>
            <w:shd w:val="clear" w:color="auto" w:fill="1f5a73"/>
            <w:tcBorders/>
            <w:tcMar>
              <w:left w:w="70" w:type="dxa"/>
              <w:top w:w="60" w:type="dxa"/>
              <w:right w:w="70" w:type="dxa"/>
              <w:bottom w:w="60" w:type="dxa"/>
            </w:tcMar>
            <w:tcW w:w="3407" w:type="dxa"/>
            <w:vAlign w:val="top"/>
          </w:tcPr>
          <w:p>
            <w:pPr>
              <w:pStyle w:val="1298"/>
              <w:pBdr/>
              <w:spacing/>
              <w:ind/>
              <w:rPr/>
            </w:pPr>
            <w:r>
              <w:t xml:space="preserve">Rule</w:t>
            </w:r>
            <w:r/>
          </w:p>
        </w:tc>
      </w:tr>
      <w:tr>
        <w:trPr>
          <w:cantSplit/>
        </w:trPr>
        <w:tc>
          <w:tcPr>
            <w:tcBorders/>
            <w:tcMar>
              <w:left w:w="70" w:type="dxa"/>
              <w:top w:w="60" w:type="dxa"/>
              <w:right w:w="70" w:type="dxa"/>
              <w:bottom w:w="60" w:type="dxa"/>
            </w:tcMar>
            <w:tcW w:w="2248" w:type="dxa"/>
            <w:vAlign w:val="top"/>
          </w:tcPr>
          <w:p>
            <w:pPr>
              <w:pStyle w:val="1296"/>
              <w:pBdr/>
              <w:spacing/>
              <w:ind/>
              <w:rPr/>
            </w:pPr>
            <w:r>
              <w:t xml:space="preserve">Boundability</w:t>
            </w:r>
            <w:r/>
          </w:p>
        </w:tc>
        <w:tc>
          <w:tcPr>
            <w:tcBorders/>
            <w:tcMar>
              <w:left w:w="70" w:type="dxa"/>
              <w:top w:w="60" w:type="dxa"/>
              <w:right w:w="70" w:type="dxa"/>
              <w:bottom w:w="60" w:type="dxa"/>
            </w:tcMar>
            <w:tcW w:w="4350" w:type="dxa"/>
            <w:vAlign w:val="top"/>
          </w:tcPr>
          <w:p>
            <w:pPr>
              <w:pStyle w:val="1296"/>
              <w:pBdr/>
              <w:spacing/>
              <w:ind/>
              <w:rPr/>
            </w:pPr>
            <w:r>
              <w:t xml:space="preserve">Can the unit be specified by source, period, school, community, thinker, reconstruction or explicit thesis?</w:t>
            </w:r>
            <w:r/>
          </w:p>
        </w:tc>
        <w:tc>
          <w:tcPr>
            <w:tcBorders/>
            <w:tcMar>
              <w:left w:w="70" w:type="dxa"/>
              <w:top w:w="60" w:type="dxa"/>
              <w:right w:w="70" w:type="dxa"/>
              <w:bottom w:w="60" w:type="dxa"/>
            </w:tcMar>
            <w:tcW w:w="3407" w:type="dxa"/>
            <w:vAlign w:val="top"/>
          </w:tcPr>
          <w:p>
            <w:pPr>
              <w:pStyle w:val="1296"/>
              <w:pBdr/>
              <w:spacing/>
              <w:ind/>
              <w:rPr/>
            </w:pPr>
            <w:r>
              <w:t xml:space="preserve">FAIL excludes the candidate from scoring.</w:t>
            </w:r>
            <w:r/>
          </w:p>
        </w:tc>
      </w:tr>
      <w:tr>
        <w:trPr>
          <w:cantSplit/>
        </w:trPr>
        <w:tc>
          <w:tcPr>
            <w:shd w:val="clear" w:color="auto" w:fill="f7f9fa"/>
            <w:tcBorders/>
            <w:tcMar>
              <w:left w:w="70" w:type="dxa"/>
              <w:top w:w="60" w:type="dxa"/>
              <w:right w:w="70" w:type="dxa"/>
              <w:bottom w:w="60" w:type="dxa"/>
            </w:tcMar>
            <w:tcW w:w="2248" w:type="dxa"/>
            <w:vAlign w:val="top"/>
          </w:tcPr>
          <w:p>
            <w:pPr>
              <w:pStyle w:val="1296"/>
              <w:pBdr/>
              <w:spacing/>
              <w:ind/>
              <w:rPr/>
            </w:pPr>
            <w:r>
              <w:t xml:space="preserve">Minimum documentation</w:t>
            </w:r>
            <w:r/>
          </w:p>
        </w:tc>
        <w:tc>
          <w:tcPr>
            <w:shd w:val="clear" w:color="auto" w:fill="f7f9fa"/>
            <w:tcBorders/>
            <w:tcMar>
              <w:left w:w="70" w:type="dxa"/>
              <w:top w:w="60" w:type="dxa"/>
              <w:right w:w="70" w:type="dxa"/>
              <w:bottom w:w="60" w:type="dxa"/>
            </w:tcMar>
            <w:tcW w:w="4350" w:type="dxa"/>
            <w:vAlign w:val="top"/>
          </w:tcPr>
          <w:p>
            <w:pPr>
              <w:pStyle w:val="1296"/>
              <w:pBdr/>
              <w:spacing/>
              <w:ind/>
              <w:rPr/>
            </w:pPr>
            <w:r>
              <w:t xml:space="preserve">Does reliable evidence support at least one substantive Atlas domain?</w:t>
            </w:r>
            <w:r/>
          </w:p>
        </w:tc>
        <w:tc>
          <w:tcPr>
            <w:shd w:val="clear" w:color="auto" w:fill="f7f9fa"/>
            <w:tcBorders/>
            <w:tcMar>
              <w:left w:w="70" w:type="dxa"/>
              <w:top w:w="60" w:type="dxa"/>
              <w:right w:w="70" w:type="dxa"/>
              <w:bottom w:w="60" w:type="dxa"/>
            </w:tcMar>
            <w:tcW w:w="3407" w:type="dxa"/>
            <w:vAlign w:val="top"/>
          </w:tcPr>
          <w:p>
            <w:pPr>
              <w:pStyle w:val="1296"/>
              <w:pBdr/>
              <w:spacing/>
              <w:ind/>
              <w:rPr/>
            </w:pPr>
            <w:r>
              <w:t xml:space="preserve">FAIL excludes the candidate from scoring.</w:t>
            </w:r>
            <w:r/>
          </w:p>
        </w:tc>
      </w:tr>
      <w:tr>
        <w:trPr>
          <w:cantSplit/>
        </w:trPr>
        <w:tc>
          <w:tcPr>
            <w:tcBorders/>
            <w:tcMar>
              <w:left w:w="70" w:type="dxa"/>
              <w:top w:w="60" w:type="dxa"/>
              <w:right w:w="70" w:type="dxa"/>
              <w:bottom w:w="60" w:type="dxa"/>
            </w:tcMar>
            <w:tcW w:w="2248" w:type="dxa"/>
            <w:vAlign w:val="top"/>
          </w:tcPr>
          <w:p>
            <w:pPr>
              <w:pStyle w:val="1296"/>
              <w:pBdr/>
              <w:spacing/>
              <w:ind/>
              <w:rPr/>
            </w:pPr>
            <w:r>
              <w:t xml:space="preserve">Comparative relevance</w:t>
            </w:r>
            <w:r/>
          </w:p>
        </w:tc>
        <w:tc>
          <w:tcPr>
            <w:tcBorders/>
            <w:tcMar>
              <w:left w:w="70" w:type="dxa"/>
              <w:top w:w="60" w:type="dxa"/>
              <w:right w:w="70" w:type="dxa"/>
              <w:bottom w:w="60" w:type="dxa"/>
            </w:tcMar>
            <w:tcW w:w="4350" w:type="dxa"/>
            <w:vAlign w:val="top"/>
          </w:tcPr>
          <w:p>
            <w:pPr>
              <w:pStyle w:val="1296"/>
              <w:pBdr/>
              <w:spacing/>
              <w:ind/>
              <w:rPr/>
            </w:pPr>
            <w:r>
              <w:t xml:space="preserve">Does the candidate contribute a distinct answer, reframing, category challenge, historical node, counterexample or underrepresented solution-space?</w:t>
            </w:r>
            <w:r/>
          </w:p>
        </w:tc>
        <w:tc>
          <w:tcPr>
            <w:tcBorders/>
            <w:tcMar>
              <w:left w:w="70" w:type="dxa"/>
              <w:top w:w="60" w:type="dxa"/>
              <w:right w:w="70" w:type="dxa"/>
              <w:bottom w:w="60" w:type="dxa"/>
            </w:tcMar>
            <w:tcW w:w="3407" w:type="dxa"/>
            <w:vAlign w:val="top"/>
          </w:tcPr>
          <w:p>
            <w:pPr>
              <w:pStyle w:val="1296"/>
              <w:pBdr/>
              <w:spacing/>
              <w:ind/>
              <w:rPr/>
            </w:pPr>
            <w:r>
              <w:t xml:space="preserve">FAIL excludes the candidate from scoring.</w:t>
            </w:r>
            <w:r/>
          </w:p>
        </w:tc>
      </w:tr>
      <w:tr>
        <w:trPr>
          <w:cantSplit/>
        </w:trPr>
        <w:tc>
          <w:tcPr>
            <w:shd w:val="clear" w:color="auto" w:fill="f7f9fa"/>
            <w:tcBorders/>
            <w:tcMar>
              <w:left w:w="70" w:type="dxa"/>
              <w:top w:w="60" w:type="dxa"/>
              <w:right w:w="70" w:type="dxa"/>
              <w:bottom w:w="60" w:type="dxa"/>
            </w:tcMar>
            <w:tcW w:w="2248" w:type="dxa"/>
            <w:vAlign w:val="top"/>
          </w:tcPr>
          <w:p>
            <w:pPr>
              <w:pStyle w:val="1296"/>
              <w:pBdr/>
              <w:spacing/>
              <w:ind/>
              <w:rPr/>
            </w:pPr>
            <w:r>
              <w:t xml:space="preserve">Ethical/rights feasibility</w:t>
            </w:r>
            <w:r/>
          </w:p>
        </w:tc>
        <w:tc>
          <w:tcPr>
            <w:shd w:val="clear" w:color="auto" w:fill="f7f9fa"/>
            <w:tcBorders/>
            <w:tcMar>
              <w:left w:w="70" w:type="dxa"/>
              <w:top w:w="60" w:type="dxa"/>
              <w:right w:w="70" w:type="dxa"/>
              <w:bottom w:w="60" w:type="dxa"/>
            </w:tcMar>
            <w:tcW w:w="4350" w:type="dxa"/>
            <w:vAlign w:val="top"/>
          </w:tcPr>
          <w:p>
            <w:pPr>
              <w:pStyle w:val="1296"/>
              <w:pBdr/>
              <w:spacing/>
              <w:ind/>
              <w:rPr/>
            </w:pPr>
            <w:r>
              <w:t xml:space="preserve">Can the candidate be studied and represented within an explicitly bounded role without relying only on extractive, unreliable, decontextualized or rights-incompatible evidence?</w:t>
            </w:r>
            <w:r/>
          </w:p>
        </w:tc>
        <w:tc>
          <w:tcPr>
            <w:shd w:val="clear" w:color="auto" w:fill="f7f9fa"/>
            <w:tcBorders/>
            <w:tcMar>
              <w:left w:w="70" w:type="dxa"/>
              <w:top w:w="60" w:type="dxa"/>
              <w:right w:w="70" w:type="dxa"/>
              <w:bottom w:w="60" w:type="dxa"/>
            </w:tcMar>
            <w:tcW w:w="3407" w:type="dxa"/>
            <w:vAlign w:val="top"/>
          </w:tcPr>
          <w:p>
            <w:pPr>
              <w:pStyle w:val="1296"/>
              <w:pBdr/>
              <w:spacing/>
              <w:ind/>
              <w:rPr/>
            </w:pPr>
            <w:r>
              <w:t xml:space="preserve">FAIL excludes the candidate from scoring; a PASS may still be limited to DIGITAL-REFERENCE or HOLD-FUTURE scope.</w:t>
            </w:r>
            <w:r/>
          </w:p>
        </w:tc>
      </w:tr>
    </w:tbl>
    <w:p>
      <w:pPr>
        <w:pStyle w:val="1300"/>
        <w:pBdr/>
        <w:spacing/>
        <w:ind/>
        <w:rPr/>
      </w:pPr>
      <w:r/>
      <w:r/>
    </w:p>
    <w:p>
      <w:pPr>
        <w:pStyle w:val="1184"/>
        <w:keepNext w:val="true"/>
        <w:keepLines w:val="true"/>
        <w:pBdr/>
        <w:spacing/>
        <w:ind/>
        <w:rPr/>
      </w:pPr>
      <w:r>
        <w:t xml:space="preserve">Governing — Calibrated score anchors</w:t>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1160"/>
        <w:gridCol w:w="8846"/>
      </w:tblGrid>
      <w:tr>
        <w:trPr>
          <w:cantSplit/>
          <w:tblHeader/>
        </w:trPr>
        <w:tc>
          <w:tcPr>
            <w:shd w:val="clear" w:color="auto" w:fill="1f5a73"/>
            <w:tcBorders/>
            <w:tcMar>
              <w:left w:w="70" w:type="dxa"/>
              <w:top w:w="60" w:type="dxa"/>
              <w:right w:w="70" w:type="dxa"/>
              <w:bottom w:w="60" w:type="dxa"/>
            </w:tcMar>
            <w:tcW w:w="1160" w:type="dxa"/>
            <w:vAlign w:val="top"/>
          </w:tcPr>
          <w:p>
            <w:pPr>
              <w:pStyle w:val="1298"/>
              <w:pBdr/>
              <w:spacing/>
              <w:ind/>
              <w:rPr/>
            </w:pPr>
            <w:r>
              <w:t xml:space="preserve">Score</w:t>
            </w:r>
            <w:r/>
          </w:p>
        </w:tc>
        <w:tc>
          <w:tcPr>
            <w:shd w:val="clear" w:color="auto" w:fill="1f5a73"/>
            <w:tcBorders/>
            <w:tcMar>
              <w:left w:w="70" w:type="dxa"/>
              <w:top w:w="60" w:type="dxa"/>
              <w:right w:w="70" w:type="dxa"/>
              <w:bottom w:w="60" w:type="dxa"/>
            </w:tcMar>
            <w:tcW w:w="8846" w:type="dxa"/>
            <w:vAlign w:val="top"/>
          </w:tcPr>
          <w:p>
            <w:pPr>
              <w:pStyle w:val="1298"/>
              <w:pBdr/>
              <w:spacing/>
              <w:ind/>
              <w:rPr/>
            </w:pPr>
            <w:r>
              <w:t xml:space="preserve">General anchor</w:t>
            </w:r>
            <w:r/>
          </w:p>
        </w:tc>
      </w:tr>
      <w:tr>
        <w:trPr>
          <w:cantSplit/>
        </w:trPr>
        <w:tc>
          <w:tcPr>
            <w:tcBorders/>
            <w:tcMar>
              <w:left w:w="70" w:type="dxa"/>
              <w:top w:w="60" w:type="dxa"/>
              <w:right w:w="70" w:type="dxa"/>
              <w:bottom w:w="60" w:type="dxa"/>
            </w:tcMar>
            <w:tcW w:w="1160" w:type="dxa"/>
            <w:vAlign w:val="top"/>
          </w:tcPr>
          <w:p>
            <w:pPr>
              <w:pStyle w:val="1296"/>
              <w:pBdr/>
              <w:spacing/>
              <w:ind/>
              <w:rPr/>
            </w:pPr>
            <w:r>
              <w:t xml:space="preserve">0</w:t>
            </w:r>
            <w:r/>
          </w:p>
        </w:tc>
        <w:tc>
          <w:tcPr>
            <w:tcBorders/>
            <w:tcMar>
              <w:left w:w="70" w:type="dxa"/>
              <w:top w:w="60" w:type="dxa"/>
              <w:right w:w="70" w:type="dxa"/>
              <w:bottom w:w="60" w:type="dxa"/>
            </w:tcMar>
            <w:tcW w:w="8846" w:type="dxa"/>
            <w:vAlign w:val="top"/>
          </w:tcPr>
          <w:p>
            <w:pPr>
              <w:pStyle w:val="1296"/>
              <w:pBdr/>
              <w:spacing/>
              <w:ind/>
              <w:rPr/>
            </w:pPr>
            <w:r>
              <w:t xml:space="preserve">No support or the criterion does not apply to the candidate as bounded.</w:t>
            </w:r>
            <w:r/>
          </w:p>
        </w:tc>
      </w:tr>
      <w:tr>
        <w:trPr>
          <w:cantSplit/>
        </w:trPr>
        <w:tc>
          <w:tcPr>
            <w:shd w:val="clear" w:color="auto" w:fill="f7f9fa"/>
            <w:tcBorders/>
            <w:tcMar>
              <w:left w:w="70" w:type="dxa"/>
              <w:top w:w="60" w:type="dxa"/>
              <w:right w:w="70" w:type="dxa"/>
              <w:bottom w:w="60" w:type="dxa"/>
            </w:tcMar>
            <w:tcW w:w="1160" w:type="dxa"/>
            <w:vAlign w:val="top"/>
          </w:tcPr>
          <w:p>
            <w:pPr>
              <w:pStyle w:val="1296"/>
              <w:pBdr/>
              <w:spacing/>
              <w:ind/>
              <w:rPr/>
            </w:pPr>
            <w:r>
              <w:t xml:space="preserve">1</w:t>
            </w:r>
            <w:r/>
          </w:p>
        </w:tc>
        <w:tc>
          <w:tcPr>
            <w:shd w:val="clear" w:color="auto" w:fill="f7f9fa"/>
            <w:tcBorders/>
            <w:tcMar>
              <w:left w:w="70" w:type="dxa"/>
              <w:top w:w="60" w:type="dxa"/>
              <w:right w:w="70" w:type="dxa"/>
              <w:bottom w:w="60" w:type="dxa"/>
            </w:tcMar>
            <w:tcW w:w="8846" w:type="dxa"/>
            <w:vAlign w:val="top"/>
          </w:tcPr>
          <w:p>
            <w:pPr>
              <w:pStyle w:val="1296"/>
              <w:pBdr/>
              <w:spacing/>
              <w:ind/>
              <w:rPr/>
            </w:pPr>
            <w:r>
              <w:t xml:space="preserve">Marginal: weak contribution or serious feasibility/redundancy limitation.</w:t>
            </w:r>
            <w:r/>
          </w:p>
        </w:tc>
      </w:tr>
      <w:tr>
        <w:trPr>
          <w:cantSplit/>
        </w:trPr>
        <w:tc>
          <w:tcPr>
            <w:tcBorders/>
            <w:tcMar>
              <w:left w:w="70" w:type="dxa"/>
              <w:top w:w="60" w:type="dxa"/>
              <w:right w:w="70" w:type="dxa"/>
              <w:bottom w:w="60" w:type="dxa"/>
            </w:tcMar>
            <w:tcW w:w="1160" w:type="dxa"/>
            <w:vAlign w:val="top"/>
          </w:tcPr>
          <w:p>
            <w:pPr>
              <w:pStyle w:val="1296"/>
              <w:pBdr/>
              <w:spacing/>
              <w:ind/>
              <w:rPr/>
            </w:pPr>
            <w:r>
              <w:t xml:space="preserve">2</w:t>
            </w:r>
            <w:r/>
          </w:p>
        </w:tc>
        <w:tc>
          <w:tcPr>
            <w:tcBorders/>
            <w:tcMar>
              <w:left w:w="70" w:type="dxa"/>
              <w:top w:w="60" w:type="dxa"/>
              <w:right w:w="70" w:type="dxa"/>
              <w:bottom w:w="60" w:type="dxa"/>
            </w:tcMar>
            <w:tcW w:w="8846" w:type="dxa"/>
            <w:vAlign w:val="top"/>
          </w:tcPr>
          <w:p>
            <w:pPr>
              <w:pStyle w:val="1296"/>
              <w:pBdr/>
              <w:spacing/>
              <w:ind/>
              <w:rPr/>
            </w:pPr>
            <w:r>
              <w:t xml:space="preserve">Limited: some value, but insufficient for a strong publication role on this criterion.</w:t>
            </w:r>
            <w:r/>
          </w:p>
        </w:tc>
      </w:tr>
      <w:tr>
        <w:trPr>
          <w:cantSplit/>
        </w:trPr>
        <w:tc>
          <w:tcPr>
            <w:shd w:val="clear" w:color="auto" w:fill="f7f9fa"/>
            <w:tcBorders/>
            <w:tcMar>
              <w:left w:w="70" w:type="dxa"/>
              <w:top w:w="60" w:type="dxa"/>
              <w:right w:w="70" w:type="dxa"/>
              <w:bottom w:w="60" w:type="dxa"/>
            </w:tcMar>
            <w:tcW w:w="1160" w:type="dxa"/>
            <w:vAlign w:val="top"/>
          </w:tcPr>
          <w:p>
            <w:pPr>
              <w:pStyle w:val="1296"/>
              <w:pBdr/>
              <w:spacing/>
              <w:ind/>
              <w:rPr/>
            </w:pPr>
            <w:r>
              <w:t xml:space="preserve">3</w:t>
            </w:r>
            <w:r/>
          </w:p>
        </w:tc>
        <w:tc>
          <w:tcPr>
            <w:shd w:val="clear" w:color="auto" w:fill="f7f9fa"/>
            <w:tcBorders/>
            <w:tcMar>
              <w:left w:w="70" w:type="dxa"/>
              <w:top w:w="60" w:type="dxa"/>
              <w:right w:w="70" w:type="dxa"/>
              <w:bottom w:w="60" w:type="dxa"/>
            </w:tcMar>
            <w:tcW w:w="8846" w:type="dxa"/>
            <w:vAlign w:val="top"/>
          </w:tcPr>
          <w:p>
            <w:pPr>
              <w:pStyle w:val="1296"/>
              <w:pBdr/>
              <w:spacing/>
              <w:ind/>
              <w:rPr/>
            </w:pPr>
            <w:r>
              <w:t xml:space="preserve">Material: clear contribution with manageable limits.</w:t>
            </w:r>
            <w:r/>
          </w:p>
        </w:tc>
      </w:tr>
      <w:tr>
        <w:trPr>
          <w:cantSplit/>
        </w:trPr>
        <w:tc>
          <w:tcPr>
            <w:tcBorders/>
            <w:tcMar>
              <w:left w:w="70" w:type="dxa"/>
              <w:top w:w="60" w:type="dxa"/>
              <w:right w:w="70" w:type="dxa"/>
              <w:bottom w:w="60" w:type="dxa"/>
            </w:tcMar>
            <w:tcW w:w="1160" w:type="dxa"/>
            <w:vAlign w:val="top"/>
          </w:tcPr>
          <w:p>
            <w:pPr>
              <w:pStyle w:val="1296"/>
              <w:pBdr/>
              <w:spacing/>
              <w:ind/>
              <w:rPr/>
            </w:pPr>
            <w:r>
              <w:t xml:space="preserve">4</w:t>
            </w:r>
            <w:r/>
          </w:p>
        </w:tc>
        <w:tc>
          <w:tcPr>
            <w:tcBorders/>
            <w:tcMar>
              <w:left w:w="70" w:type="dxa"/>
              <w:top w:w="60" w:type="dxa"/>
              <w:right w:w="70" w:type="dxa"/>
              <w:bottom w:w="60" w:type="dxa"/>
            </w:tcMar>
            <w:tcW w:w="8846" w:type="dxa"/>
            <w:vAlign w:val="top"/>
          </w:tcPr>
          <w:p>
            <w:pPr>
              <w:pStyle w:val="1296"/>
              <w:pBdr/>
              <w:spacing/>
              <w:ind/>
              <w:rPr/>
            </w:pPr>
            <w:r>
              <w:t xml:space="preserve">Strong: substantial contribution to the adopted architecture or feasibility profile.</w:t>
            </w:r>
            <w:r/>
          </w:p>
        </w:tc>
      </w:tr>
      <w:tr>
        <w:trPr>
          <w:cantSplit/>
        </w:trPr>
        <w:tc>
          <w:tcPr>
            <w:shd w:val="clear" w:color="auto" w:fill="f7f9fa"/>
            <w:tcBorders/>
            <w:tcMar>
              <w:left w:w="70" w:type="dxa"/>
              <w:top w:w="60" w:type="dxa"/>
              <w:right w:w="70" w:type="dxa"/>
              <w:bottom w:w="60" w:type="dxa"/>
            </w:tcMar>
            <w:tcW w:w="1160" w:type="dxa"/>
            <w:vAlign w:val="top"/>
          </w:tcPr>
          <w:p>
            <w:pPr>
              <w:pStyle w:val="1296"/>
              <w:pBdr/>
              <w:spacing/>
              <w:ind/>
              <w:rPr/>
            </w:pPr>
            <w:r>
              <w:t xml:space="preserve">5</w:t>
            </w:r>
            <w:r/>
          </w:p>
        </w:tc>
        <w:tc>
          <w:tcPr>
            <w:shd w:val="clear" w:color="auto" w:fill="f7f9fa"/>
            <w:tcBorders/>
            <w:tcMar>
              <w:left w:w="70" w:type="dxa"/>
              <w:top w:w="60" w:type="dxa"/>
              <w:right w:w="70" w:type="dxa"/>
              <w:bottom w:w="60" w:type="dxa"/>
            </w:tcMar>
            <w:tcW w:w="8846" w:type="dxa"/>
            <w:vAlign w:val="top"/>
          </w:tcPr>
          <w:p>
            <w:pPr>
              <w:pStyle w:val="1296"/>
              <w:pBdr/>
              <w:spacing/>
              <w:ind/>
              <w:rPr/>
            </w:pPr>
            <w:r>
              <w:t xml:space="preserve">Decisive: architecture-changing leverage, exceptionally strong feasibility, or uniquely important debt/counterexample function.</w:t>
            </w:r>
            <w:r/>
          </w:p>
        </w:tc>
      </w:tr>
    </w:tbl>
    <w:p>
      <w:pPr>
        <w:pStyle w:val="1300"/>
        <w:pBdr/>
        <w:spacing/>
        <w:ind/>
        <w:rPr/>
      </w:pPr>
      <w:r/>
      <w:r/>
    </w:p>
    <w:p>
      <w:pPr>
        <w:pStyle w:val="1184"/>
        <w:keepNext w:val="true"/>
        <w:keepLines w:val="true"/>
        <w:pBdr/>
        <w:spacing/>
        <w:ind/>
        <w:rPr/>
      </w:pPr>
      <w:r/>
      <w:bookmarkStart w:id="223" w:name="pa_calibrated_role_criteria"/>
      <w:r>
        <w:t xml:space="preserve">Governing — Calibrated role criteria</w:t>
      </w:r>
      <w:bookmarkEnd w:id="223"/>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2900"/>
        <w:gridCol w:w="1160"/>
        <w:gridCol w:w="5945"/>
      </w:tblGrid>
      <w:tr>
        <w:trPr>
          <w:cantSplit/>
          <w:tblHeader/>
        </w:trPr>
        <w:tc>
          <w:tcPr>
            <w:shd w:val="clear" w:color="auto" w:fill="1f5a73"/>
            <w:tcBorders/>
            <w:tcMar>
              <w:left w:w="70" w:type="dxa"/>
              <w:top w:w="60" w:type="dxa"/>
              <w:right w:w="70" w:type="dxa"/>
              <w:bottom w:w="60" w:type="dxa"/>
            </w:tcMar>
            <w:tcW w:w="2900" w:type="dxa"/>
            <w:vAlign w:val="top"/>
          </w:tcPr>
          <w:p>
            <w:pPr>
              <w:pStyle w:val="1298"/>
              <w:pBdr/>
              <w:spacing/>
              <w:ind/>
              <w:rPr/>
            </w:pPr>
            <w:r>
              <w:t xml:space="preserve">Criterion</w:t>
            </w:r>
            <w:r/>
          </w:p>
        </w:tc>
        <w:tc>
          <w:tcPr>
            <w:shd w:val="clear" w:color="auto" w:fill="1f5a73"/>
            <w:tcBorders/>
            <w:tcMar>
              <w:left w:w="70" w:type="dxa"/>
              <w:top w:w="60" w:type="dxa"/>
              <w:right w:w="70" w:type="dxa"/>
              <w:bottom w:w="60" w:type="dxa"/>
            </w:tcMar>
            <w:tcW w:w="1160" w:type="dxa"/>
            <w:vAlign w:val="top"/>
          </w:tcPr>
          <w:p>
            <w:pPr>
              <w:pStyle w:val="1298"/>
              <w:pBdr/>
              <w:spacing/>
              <w:ind/>
              <w:rPr/>
            </w:pPr>
            <w:r>
              <w:t xml:space="preserve">Weight</w:t>
            </w:r>
            <w:r/>
          </w:p>
        </w:tc>
        <w:tc>
          <w:tcPr>
            <w:shd w:val="clear" w:color="auto" w:fill="1f5a73"/>
            <w:tcBorders/>
            <w:tcMar>
              <w:left w:w="70" w:type="dxa"/>
              <w:top w:w="60" w:type="dxa"/>
              <w:right w:w="70" w:type="dxa"/>
              <w:bottom w:w="60" w:type="dxa"/>
            </w:tcMar>
            <w:tcW w:w="5945" w:type="dxa"/>
            <w:vAlign w:val="top"/>
          </w:tcPr>
          <w:p>
            <w:pPr>
              <w:pStyle w:val="1298"/>
              <w:pBdr/>
              <w:spacing/>
              <w:ind/>
              <w:rPr/>
            </w:pPr>
            <w:r>
              <w:t xml:space="preserve">Rationale</w:t>
            </w:r>
            <w:r/>
          </w:p>
        </w:tc>
      </w:tr>
      <w:tr>
        <w:trPr>
          <w:cantSplit/>
        </w:trPr>
        <w:tc>
          <w:tcPr>
            <w:tcBorders/>
            <w:tcMar>
              <w:left w:w="70" w:type="dxa"/>
              <w:top w:w="60" w:type="dxa"/>
              <w:right w:w="70" w:type="dxa"/>
              <w:bottom w:w="60" w:type="dxa"/>
            </w:tcMar>
            <w:tcW w:w="2900" w:type="dxa"/>
            <w:vAlign w:val="top"/>
          </w:tcPr>
          <w:p>
            <w:pPr>
              <w:pStyle w:val="1296"/>
              <w:pBdr/>
              <w:spacing/>
              <w:ind/>
              <w:rPr/>
            </w:pPr>
            <w:r>
              <w:t xml:space="preserve">Conceptual distinctiveness (CD)</w:t>
            </w:r>
            <w:r/>
          </w:p>
        </w:tc>
        <w:tc>
          <w:tcPr>
            <w:tcBorders/>
            <w:tcMar>
              <w:left w:w="70" w:type="dxa"/>
              <w:top w:w="60" w:type="dxa"/>
              <w:right w:w="70" w:type="dxa"/>
              <w:bottom w:w="60" w:type="dxa"/>
            </w:tcMar>
            <w:tcW w:w="1160" w:type="dxa"/>
            <w:vAlign w:val="top"/>
          </w:tcPr>
          <w:p>
            <w:pPr>
              <w:pStyle w:val="1296"/>
              <w:pBdr/>
              <w:spacing/>
              <w:ind/>
              <w:rPr/>
            </w:pPr>
            <w:r>
              <w:t xml:space="preserve">20%</w:t>
            </w:r>
            <w:r/>
          </w:p>
        </w:tc>
        <w:tc>
          <w:tcPr>
            <w:tcBorders/>
            <w:tcMar>
              <w:left w:w="70" w:type="dxa"/>
              <w:top w:w="60" w:type="dxa"/>
              <w:right w:w="70" w:type="dxa"/>
              <w:bottom w:w="60" w:type="dxa"/>
            </w:tcMar>
            <w:tcW w:w="5945" w:type="dxa"/>
            <w:vAlign w:val="top"/>
          </w:tcPr>
          <w:p>
            <w:pPr>
              <w:pStyle w:val="1296"/>
              <w:pBdr/>
              <w:spacing/>
              <w:ind/>
              <w:rPr/>
            </w:pPr>
            <w:r>
              <w:t xml:space="preserve">Rewards materially different solution-spaces without treating novelty as truth.</w:t>
            </w:r>
            <w:r/>
          </w:p>
        </w:tc>
      </w:tr>
      <w:tr>
        <w:trPr>
          <w:cantSplit/>
        </w:trPr>
        <w:tc>
          <w:tcPr>
            <w:shd w:val="clear" w:color="auto" w:fill="f7f9fa"/>
            <w:tcBorders/>
            <w:tcMar>
              <w:left w:w="70" w:type="dxa"/>
              <w:top w:w="60" w:type="dxa"/>
              <w:right w:w="70" w:type="dxa"/>
              <w:bottom w:w="60" w:type="dxa"/>
            </w:tcMar>
            <w:tcW w:w="2900" w:type="dxa"/>
            <w:vAlign w:val="top"/>
          </w:tcPr>
          <w:p>
            <w:pPr>
              <w:pStyle w:val="1296"/>
              <w:pBdr/>
              <w:spacing/>
              <w:ind/>
              <w:rPr/>
            </w:pPr>
            <w:r>
              <w:t xml:space="preserve">Comparative leverage (CL)</w:t>
            </w:r>
            <w:r/>
          </w:p>
        </w:tc>
        <w:tc>
          <w:tcPr>
            <w:shd w:val="clear" w:color="auto" w:fill="f7f9fa"/>
            <w:tcBorders/>
            <w:tcMar>
              <w:left w:w="70" w:type="dxa"/>
              <w:top w:w="60" w:type="dxa"/>
              <w:right w:w="70" w:type="dxa"/>
              <w:bottom w:w="60" w:type="dxa"/>
            </w:tcMar>
            <w:tcW w:w="1160" w:type="dxa"/>
            <w:vAlign w:val="top"/>
          </w:tcPr>
          <w:p>
            <w:pPr>
              <w:pStyle w:val="1296"/>
              <w:pBdr/>
              <w:spacing/>
              <w:ind/>
              <w:rPr/>
            </w:pPr>
            <w:r>
              <w:t xml:space="preserve">20%</w:t>
            </w:r>
            <w:r/>
          </w:p>
        </w:tc>
        <w:tc>
          <w:tcPr>
            <w:shd w:val="clear" w:color="auto" w:fill="f7f9fa"/>
            <w:tcBorders/>
            <w:tcMar>
              <w:left w:w="70" w:type="dxa"/>
              <w:top w:w="60" w:type="dxa"/>
              <w:right w:w="70" w:type="dxa"/>
              <w:bottom w:w="60" w:type="dxa"/>
            </w:tcMar>
            <w:tcW w:w="5945" w:type="dxa"/>
            <w:vAlign w:val="top"/>
          </w:tcPr>
          <w:p>
            <w:pPr>
              <w:pStyle w:val="1296"/>
              <w:pBdr/>
              <w:spacing/>
              <w:ind/>
              <w:rPr/>
            </w:pPr>
            <w:r>
              <w:t xml:space="preserve">Prioritizes candidates that alter multiple chapters or fault lines.</w:t>
            </w:r>
            <w:r/>
          </w:p>
        </w:tc>
      </w:tr>
      <w:tr>
        <w:trPr>
          <w:cantSplit/>
        </w:trPr>
        <w:tc>
          <w:tcPr>
            <w:tcBorders/>
            <w:tcMar>
              <w:left w:w="70" w:type="dxa"/>
              <w:top w:w="60" w:type="dxa"/>
              <w:right w:w="70" w:type="dxa"/>
              <w:bottom w:w="60" w:type="dxa"/>
            </w:tcMar>
            <w:tcW w:w="2900" w:type="dxa"/>
            <w:vAlign w:val="top"/>
          </w:tcPr>
          <w:p>
            <w:pPr>
              <w:pStyle w:val="1296"/>
              <w:pBdr/>
              <w:spacing/>
              <w:ind/>
              <w:rPr/>
            </w:pPr>
            <w:r>
              <w:t xml:space="preserve">Counterexample/category leverage (CC)</w:t>
            </w:r>
            <w:r/>
          </w:p>
        </w:tc>
        <w:tc>
          <w:tcPr>
            <w:tcBorders/>
            <w:tcMar>
              <w:left w:w="70" w:type="dxa"/>
              <w:top w:w="60" w:type="dxa"/>
              <w:right w:w="70" w:type="dxa"/>
              <w:bottom w:w="60" w:type="dxa"/>
            </w:tcMar>
            <w:tcW w:w="1160" w:type="dxa"/>
            <w:vAlign w:val="top"/>
          </w:tcPr>
          <w:p>
            <w:pPr>
              <w:pStyle w:val="1296"/>
              <w:pBdr/>
              <w:spacing/>
              <w:ind/>
              <w:rPr/>
            </w:pPr>
            <w:r>
              <w:t xml:space="preserve">15%</w:t>
            </w:r>
            <w:r/>
          </w:p>
        </w:tc>
        <w:tc>
          <w:tcPr>
            <w:tcBorders/>
            <w:tcMar>
              <w:left w:w="70" w:type="dxa"/>
              <w:top w:w="60" w:type="dxa"/>
              <w:right w:w="70" w:type="dxa"/>
              <w:bottom w:w="60" w:type="dxa"/>
            </w:tcMar>
            <w:tcW w:w="5945" w:type="dxa"/>
            <w:vAlign w:val="top"/>
          </w:tcPr>
          <w:p>
            <w:pPr>
              <w:pStyle w:val="1296"/>
              <w:pBdr/>
              <w:spacing/>
              <w:ind/>
              <w:rPr/>
            </w:pPr>
            <w:r>
              <w:t xml:space="preserve">Rewards cases that falsify binaries or expose category failure.</w:t>
            </w:r>
            <w:r/>
          </w:p>
        </w:tc>
      </w:tr>
      <w:tr>
        <w:trPr>
          <w:cantSplit/>
        </w:trPr>
        <w:tc>
          <w:tcPr>
            <w:shd w:val="clear" w:color="auto" w:fill="f7f9fa"/>
            <w:tcBorders/>
            <w:tcMar>
              <w:left w:w="70" w:type="dxa"/>
              <w:top w:w="60" w:type="dxa"/>
              <w:right w:w="70" w:type="dxa"/>
              <w:bottom w:w="60" w:type="dxa"/>
            </w:tcMar>
            <w:tcW w:w="2900" w:type="dxa"/>
            <w:vAlign w:val="top"/>
          </w:tcPr>
          <w:p>
            <w:pPr>
              <w:pStyle w:val="1296"/>
              <w:pBdr/>
              <w:spacing/>
              <w:ind/>
              <w:rPr/>
            </w:pPr>
            <w:r>
              <w:t xml:space="preserve">Coverage-debt reduction (DR)</w:t>
            </w:r>
            <w:r/>
          </w:p>
        </w:tc>
        <w:tc>
          <w:tcPr>
            <w:shd w:val="clear" w:color="auto" w:fill="f7f9fa"/>
            <w:tcBorders/>
            <w:tcMar>
              <w:left w:w="70" w:type="dxa"/>
              <w:top w:w="60" w:type="dxa"/>
              <w:right w:w="70" w:type="dxa"/>
              <w:bottom w:w="60" w:type="dxa"/>
            </w:tcMar>
            <w:tcW w:w="1160" w:type="dxa"/>
            <w:vAlign w:val="top"/>
          </w:tcPr>
          <w:p>
            <w:pPr>
              <w:pStyle w:val="1296"/>
              <w:pBdr/>
              <w:spacing/>
              <w:ind/>
              <w:rPr/>
            </w:pPr>
            <w:r>
              <w:t xml:space="preserve">15%</w:t>
            </w:r>
            <w:r/>
          </w:p>
        </w:tc>
        <w:tc>
          <w:tcPr>
            <w:shd w:val="clear" w:color="auto" w:fill="f7f9fa"/>
            <w:tcBorders/>
            <w:tcMar>
              <w:left w:w="70" w:type="dxa"/>
              <w:top w:w="60" w:type="dxa"/>
              <w:right w:w="70" w:type="dxa"/>
              <w:bottom w:w="60" w:type="dxa"/>
            </w:tcMar>
            <w:tcW w:w="5945" w:type="dxa"/>
            <w:vAlign w:val="top"/>
          </w:tcPr>
          <w:p>
            <w:pPr>
              <w:pStyle w:val="1296"/>
              <w:pBdr/>
              <w:spacing/>
              <w:ind/>
              <w:rPr/>
            </w:pPr>
            <w:r>
              <w:t xml:space="preserve">Addresses material linguistic, regional, genre and solution-space debt without quota substitution.</w:t>
            </w:r>
            <w:r/>
          </w:p>
        </w:tc>
      </w:tr>
      <w:tr>
        <w:trPr>
          <w:cantSplit/>
        </w:trPr>
        <w:tc>
          <w:tcPr>
            <w:tcBorders/>
            <w:tcMar>
              <w:left w:w="70" w:type="dxa"/>
              <w:top w:w="60" w:type="dxa"/>
              <w:right w:w="70" w:type="dxa"/>
              <w:bottom w:w="60" w:type="dxa"/>
            </w:tcMar>
            <w:tcW w:w="2900" w:type="dxa"/>
            <w:vAlign w:val="top"/>
          </w:tcPr>
          <w:p>
            <w:pPr>
              <w:pStyle w:val="1296"/>
              <w:pBdr/>
              <w:spacing/>
              <w:ind/>
              <w:rPr/>
            </w:pPr>
            <w:r>
              <w:t xml:space="preserve">Low redundancy (LR)</w:t>
            </w:r>
            <w:r/>
          </w:p>
        </w:tc>
        <w:tc>
          <w:tcPr>
            <w:tcBorders/>
            <w:tcMar>
              <w:left w:w="70" w:type="dxa"/>
              <w:top w:w="60" w:type="dxa"/>
              <w:right w:w="70" w:type="dxa"/>
              <w:bottom w:w="60" w:type="dxa"/>
            </w:tcMar>
            <w:tcW w:w="1160" w:type="dxa"/>
            <w:vAlign w:val="top"/>
          </w:tcPr>
          <w:p>
            <w:pPr>
              <w:pStyle w:val="1296"/>
              <w:pBdr/>
              <w:spacing/>
              <w:ind/>
              <w:rPr/>
            </w:pPr>
            <w:r>
              <w:t xml:space="preserve">10%</w:t>
            </w:r>
            <w:r/>
          </w:p>
        </w:tc>
        <w:tc>
          <w:tcPr>
            <w:tcBorders/>
            <w:tcMar>
              <w:left w:w="70" w:type="dxa"/>
              <w:top w:w="60" w:type="dxa"/>
              <w:right w:w="70" w:type="dxa"/>
              <w:bottom w:w="60" w:type="dxa"/>
            </w:tcMar>
            <w:tcW w:w="5945" w:type="dxa"/>
            <w:vAlign w:val="top"/>
          </w:tcPr>
          <w:p>
            <w:pPr>
              <w:pStyle w:val="1296"/>
              <w:pBdr/>
              <w:spacing/>
              <w:ind/>
              <w:rPr/>
            </w:pPr>
            <w:r>
              <w:t xml:space="preserve">Penalizes candidates whose main function is already supplied by a stronger bounded record.</w:t>
            </w:r>
            <w:r/>
          </w:p>
        </w:tc>
      </w:tr>
      <w:tr>
        <w:trPr>
          <w:cantSplit/>
        </w:trPr>
        <w:tc>
          <w:tcPr>
            <w:shd w:val="clear" w:color="auto" w:fill="f7f9fa"/>
            <w:tcBorders/>
            <w:tcMar>
              <w:left w:w="70" w:type="dxa"/>
              <w:top w:w="60" w:type="dxa"/>
              <w:right w:w="70" w:type="dxa"/>
              <w:bottom w:w="60" w:type="dxa"/>
            </w:tcMar>
            <w:tcW w:w="2900" w:type="dxa"/>
            <w:vAlign w:val="top"/>
          </w:tcPr>
          <w:p>
            <w:pPr>
              <w:pStyle w:val="1296"/>
              <w:pBdr/>
              <w:spacing/>
              <w:ind/>
              <w:rPr/>
            </w:pPr>
            <w:r>
              <w:t xml:space="preserve">Source feasibility (SF)</w:t>
            </w:r>
            <w:r/>
          </w:p>
        </w:tc>
        <w:tc>
          <w:tcPr>
            <w:shd w:val="clear" w:color="auto" w:fill="f7f9fa"/>
            <w:tcBorders/>
            <w:tcMar>
              <w:left w:w="70" w:type="dxa"/>
              <w:top w:w="60" w:type="dxa"/>
              <w:right w:w="70" w:type="dxa"/>
              <w:bottom w:w="60" w:type="dxa"/>
            </w:tcMar>
            <w:tcW w:w="1160" w:type="dxa"/>
            <w:vAlign w:val="top"/>
          </w:tcPr>
          <w:p>
            <w:pPr>
              <w:pStyle w:val="1296"/>
              <w:pBdr/>
              <w:spacing/>
              <w:ind/>
              <w:rPr/>
            </w:pPr>
            <w:r>
              <w:t xml:space="preserve">10%</w:t>
            </w:r>
            <w:r/>
          </w:p>
        </w:tc>
        <w:tc>
          <w:tcPr>
            <w:shd w:val="clear" w:color="auto" w:fill="f7f9fa"/>
            <w:tcBorders/>
            <w:tcMar>
              <w:left w:w="70" w:type="dxa"/>
              <w:top w:w="60" w:type="dxa"/>
              <w:right w:w="70" w:type="dxa"/>
              <w:bottom w:w="60" w:type="dxa"/>
            </w:tcMar>
            <w:tcW w:w="5945" w:type="dxa"/>
            <w:vAlign w:val="top"/>
          </w:tcPr>
          <w:p>
            <w:pPr>
              <w:pStyle w:val="1296"/>
              <w:pBdr/>
              <w:spacing/>
              <w:ind/>
              <w:rPr/>
            </w:pPr>
            <w:r>
              <w:t xml:space="preserve">Assesses source-fit evidence availability after the hard documentation gate.</w:t>
            </w:r>
            <w:r/>
          </w:p>
        </w:tc>
      </w:tr>
      <w:tr>
        <w:trPr>
          <w:cantSplit/>
        </w:trPr>
        <w:tc>
          <w:tcPr>
            <w:tcBorders/>
            <w:tcMar>
              <w:left w:w="70" w:type="dxa"/>
              <w:top w:w="60" w:type="dxa"/>
              <w:right w:w="70" w:type="dxa"/>
              <w:bottom w:w="60" w:type="dxa"/>
            </w:tcMar>
            <w:tcW w:w="2900" w:type="dxa"/>
            <w:vAlign w:val="top"/>
          </w:tcPr>
          <w:p>
            <w:pPr>
              <w:pStyle w:val="1296"/>
              <w:pBdr/>
              <w:spacing/>
              <w:ind/>
              <w:rPr/>
            </w:pPr>
            <w:r>
              <w:t xml:space="preserve">Representation feasibility (RF)</w:t>
            </w:r>
            <w:r/>
          </w:p>
        </w:tc>
        <w:tc>
          <w:tcPr>
            <w:tcBorders/>
            <w:tcMar>
              <w:left w:w="70" w:type="dxa"/>
              <w:top w:w="60" w:type="dxa"/>
              <w:right w:w="70" w:type="dxa"/>
              <w:bottom w:w="60" w:type="dxa"/>
            </w:tcMar>
            <w:tcW w:w="1160" w:type="dxa"/>
            <w:vAlign w:val="top"/>
          </w:tcPr>
          <w:p>
            <w:pPr>
              <w:pStyle w:val="1296"/>
              <w:pBdr/>
              <w:spacing/>
              <w:ind/>
              <w:rPr/>
            </w:pPr>
            <w:r>
              <w:t xml:space="preserve">10%</w:t>
            </w:r>
            <w:r/>
          </w:p>
        </w:tc>
        <w:tc>
          <w:tcPr>
            <w:tcBorders/>
            <w:tcMar>
              <w:left w:w="70" w:type="dxa"/>
              <w:top w:w="60" w:type="dxa"/>
              <w:right w:w="70" w:type="dxa"/>
              <w:bottom w:w="60" w:type="dxa"/>
            </w:tcMar>
            <w:tcW w:w="5945" w:type="dxa"/>
            <w:vAlign w:val="top"/>
          </w:tcPr>
          <w:p>
            <w:pPr>
              <w:pStyle w:val="1296"/>
              <w:pBdr/>
              <w:spacing/>
              <w:ind/>
              <w:rPr/>
            </w:pPr>
            <w:r>
              <w:t xml:space="preserve">Assesses review, governance and rights burden after the hard ethical/rights gate.</w:t>
            </w:r>
            <w:r/>
          </w:p>
        </w:tc>
      </w:tr>
    </w:tbl>
    <w:p>
      <w:pPr>
        <w:pStyle w:val="1300"/>
        <w:pBdr/>
        <w:spacing/>
        <w:ind/>
        <w:rPr/>
      </w:pPr>
      <w:r/>
      <w:r/>
    </w:p>
    <w:p>
      <w:pPr>
        <w:pStyle w:val="1184"/>
        <w:keepNext w:val="true"/>
        <w:keepLines w:val="true"/>
        <w:pBdr/>
        <w:spacing/>
        <w:ind/>
        <w:rPr/>
      </w:pPr>
      <w:r>
        <w:t xml:space="preserve">Governing — Editorial role decision rules</w:t>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3045"/>
        <w:gridCol w:w="6961"/>
      </w:tblGrid>
      <w:tr>
        <w:trPr>
          <w:cantSplit/>
          <w:tblHeader/>
        </w:trPr>
        <w:tc>
          <w:tcPr>
            <w:shd w:val="clear" w:color="auto" w:fill="1f5a73"/>
            <w:tcBorders/>
            <w:tcMar>
              <w:left w:w="70" w:type="dxa"/>
              <w:top w:w="60" w:type="dxa"/>
              <w:right w:w="70" w:type="dxa"/>
              <w:bottom w:w="60" w:type="dxa"/>
            </w:tcMar>
            <w:tcW w:w="3045" w:type="dxa"/>
            <w:vAlign w:val="top"/>
          </w:tcPr>
          <w:p>
            <w:pPr>
              <w:pStyle w:val="1298"/>
              <w:pBdr/>
              <w:spacing/>
              <w:ind/>
              <w:rPr/>
            </w:pPr>
            <w:r>
              <w:t xml:space="preserve">Editorial role</w:t>
            </w:r>
            <w:r/>
          </w:p>
        </w:tc>
        <w:tc>
          <w:tcPr>
            <w:shd w:val="clear" w:color="auto" w:fill="1f5a73"/>
            <w:tcBorders/>
            <w:tcMar>
              <w:left w:w="70" w:type="dxa"/>
              <w:top w:w="60" w:type="dxa"/>
              <w:right w:w="70" w:type="dxa"/>
              <w:bottom w:w="60" w:type="dxa"/>
            </w:tcMar>
            <w:tcW w:w="6961" w:type="dxa"/>
            <w:vAlign w:val="top"/>
          </w:tcPr>
          <w:p>
            <w:pPr>
              <w:pStyle w:val="1298"/>
              <w:pBdr/>
              <w:spacing/>
              <w:ind/>
              <w:rPr/>
            </w:pPr>
            <w:r>
              <w:t xml:space="preserve">Decision rule</w:t>
            </w:r>
            <w:r/>
          </w:p>
        </w:tc>
      </w:tr>
      <w:tr>
        <w:trPr>
          <w:cantSplit/>
        </w:trPr>
        <w:tc>
          <w:tcPr>
            <w:tcBorders/>
            <w:tcMar>
              <w:left w:w="70" w:type="dxa"/>
              <w:top w:w="60" w:type="dxa"/>
              <w:right w:w="70" w:type="dxa"/>
              <w:bottom w:w="60" w:type="dxa"/>
            </w:tcMar>
            <w:tcW w:w="3045" w:type="dxa"/>
            <w:vAlign w:val="top"/>
          </w:tcPr>
          <w:p>
            <w:pPr>
              <w:pStyle w:val="1296"/>
              <w:pBdr/>
              <w:spacing/>
              <w:ind/>
              <w:rPr/>
            </w:pPr>
            <w:r>
              <w:t xml:space="preserve">CORE</w:t>
            </w:r>
            <w:r/>
          </w:p>
        </w:tc>
        <w:tc>
          <w:tcPr>
            <w:tcBorders/>
            <w:tcMar>
              <w:left w:w="70" w:type="dxa"/>
              <w:top w:w="60" w:type="dxa"/>
              <w:right w:w="70" w:type="dxa"/>
              <w:bottom w:w="60" w:type="dxa"/>
            </w:tcMar>
            <w:tcW w:w="6961" w:type="dxa"/>
            <w:vAlign w:val="top"/>
          </w:tcPr>
          <w:p>
            <w:pPr>
              <w:pStyle w:val="1296"/>
              <w:pBdr/>
              <w:spacing/>
              <w:ind/>
              <w:rPr/>
            </w:pPr>
            <w:r>
              <w:t xml:space="preserve">Hard-gate PASS; normally weighted score at or above 4.30; indispensable recurring function across the main argument. Explicit exceptions must state why architecture-level leverage outweighs a lower feasibility score without waiving dependencies.</w:t>
            </w:r>
            <w:r/>
          </w:p>
        </w:tc>
      </w:tr>
      <w:tr>
        <w:trPr>
          <w:cantSplit/>
        </w:trPr>
        <w:tc>
          <w:tcPr>
            <w:shd w:val="clear" w:color="auto" w:fill="f7f9fa"/>
            <w:tcBorders/>
            <w:tcMar>
              <w:left w:w="70" w:type="dxa"/>
              <w:top w:w="60" w:type="dxa"/>
              <w:right w:w="70" w:type="dxa"/>
              <w:bottom w:w="60" w:type="dxa"/>
            </w:tcMar>
            <w:tcW w:w="3045" w:type="dxa"/>
            <w:vAlign w:val="top"/>
          </w:tcPr>
          <w:p>
            <w:pPr>
              <w:pStyle w:val="1296"/>
              <w:pBdr/>
              <w:spacing/>
              <w:ind/>
              <w:rPr/>
            </w:pPr>
            <w:r>
              <w:t xml:space="preserve">MAJOR COMPARATOR</w:t>
            </w:r>
            <w:r/>
          </w:p>
        </w:tc>
        <w:tc>
          <w:tcPr>
            <w:shd w:val="clear" w:color="auto" w:fill="f7f9fa"/>
            <w:tcBorders/>
            <w:tcMar>
              <w:left w:w="70" w:type="dxa"/>
              <w:top w:w="60" w:type="dxa"/>
              <w:right w:w="70" w:type="dxa"/>
              <w:bottom w:w="60" w:type="dxa"/>
            </w:tcMar>
            <w:tcW w:w="6961" w:type="dxa"/>
            <w:vAlign w:val="top"/>
          </w:tcPr>
          <w:p>
            <w:pPr>
              <w:pStyle w:val="1296"/>
              <w:pBdr/>
              <w:spacing/>
              <w:ind/>
              <w:rPr/>
            </w:pPr>
            <w:r>
              <w:t xml:space="preserve">Hard-gate PASS; normally weighted score at or above 3.80 or a decisive local comparison/genealogy function; not required as a recurring core orientation.</w:t>
            </w:r>
            <w:r/>
          </w:p>
        </w:tc>
      </w:tr>
      <w:tr>
        <w:trPr>
          <w:cantSplit/>
        </w:trPr>
        <w:tc>
          <w:tcPr>
            <w:tcBorders/>
            <w:tcMar>
              <w:left w:w="70" w:type="dxa"/>
              <w:top w:w="60" w:type="dxa"/>
              <w:right w:w="70" w:type="dxa"/>
              <w:bottom w:w="60" w:type="dxa"/>
            </w:tcMar>
            <w:tcW w:w="3045" w:type="dxa"/>
            <w:vAlign w:val="top"/>
          </w:tcPr>
          <w:p>
            <w:pPr>
              <w:pStyle w:val="1296"/>
              <w:pBdr/>
              <w:spacing/>
              <w:ind/>
              <w:rPr/>
            </w:pPr>
            <w:r>
              <w:t xml:space="preserve">COUNTEREXAMPLE-STRESS</w:t>
            </w:r>
            <w:r/>
          </w:p>
        </w:tc>
        <w:tc>
          <w:tcPr>
            <w:tcBorders/>
            <w:tcMar>
              <w:left w:w="70" w:type="dxa"/>
              <w:top w:w="60" w:type="dxa"/>
              <w:right w:w="70" w:type="dxa"/>
              <w:bottom w:w="60" w:type="dxa"/>
            </w:tcMar>
            <w:tcW w:w="6961" w:type="dxa"/>
            <w:vAlign w:val="top"/>
          </w:tcPr>
          <w:p>
            <w:pPr>
              <w:pStyle w:val="1296"/>
              <w:pBdr/>
              <w:spacing/>
              <w:ind/>
              <w:rPr/>
            </w:pPr>
            <w:r>
              <w:t xml:space="preserve">Hard-gate PASS; high counterexample/category leverage targeted to a specific binary or assumption. Weighted total is a decision aid, not the role definition.</w:t>
            </w:r>
            <w:r/>
          </w:p>
        </w:tc>
      </w:tr>
      <w:tr>
        <w:trPr>
          <w:cantSplit/>
        </w:trPr>
        <w:tc>
          <w:tcPr>
            <w:shd w:val="clear" w:color="auto" w:fill="f7f9fa"/>
            <w:tcBorders/>
            <w:tcMar>
              <w:left w:w="70" w:type="dxa"/>
              <w:top w:w="60" w:type="dxa"/>
              <w:right w:w="70" w:type="dxa"/>
              <w:bottom w:w="60" w:type="dxa"/>
            </w:tcMar>
            <w:tcW w:w="3045" w:type="dxa"/>
            <w:vAlign w:val="top"/>
          </w:tcPr>
          <w:p>
            <w:pPr>
              <w:pStyle w:val="1296"/>
              <w:pBdr/>
              <w:spacing/>
              <w:ind/>
              <w:rPr/>
            </w:pPr>
            <w:r>
              <w:t xml:space="preserve">DIGITAL-REFERENCE</w:t>
            </w:r>
            <w:r/>
          </w:p>
        </w:tc>
        <w:tc>
          <w:tcPr>
            <w:shd w:val="clear" w:color="auto" w:fill="f7f9fa"/>
            <w:tcBorders/>
            <w:tcMar>
              <w:left w:w="70" w:type="dxa"/>
              <w:top w:w="60" w:type="dxa"/>
              <w:right w:w="70" w:type="dxa"/>
              <w:bottom w:w="60" w:type="dxa"/>
            </w:tcMar>
            <w:tcW w:w="6961" w:type="dxa"/>
            <w:vAlign w:val="top"/>
          </w:tcPr>
          <w:p>
            <w:pPr>
              <w:pStyle w:val="1296"/>
              <w:pBdr/>
              <w:spacing/>
              <w:ind/>
              <w:rPr/>
            </w:pPr>
            <w:r>
              <w:t xml:space="preserve">Hard-gate PASS; useful for reference, audit or future comparison but limited by print leverage, redundancy or current chapter need.</w:t>
            </w:r>
            <w:r/>
          </w:p>
        </w:tc>
      </w:tr>
      <w:tr>
        <w:trPr>
          <w:cantSplit/>
        </w:trPr>
        <w:tc>
          <w:tcPr>
            <w:tcBorders/>
            <w:tcMar>
              <w:left w:w="70" w:type="dxa"/>
              <w:top w:w="60" w:type="dxa"/>
              <w:right w:w="70" w:type="dxa"/>
              <w:bottom w:w="60" w:type="dxa"/>
            </w:tcMar>
            <w:tcW w:w="3045" w:type="dxa"/>
            <w:vAlign w:val="top"/>
          </w:tcPr>
          <w:p>
            <w:pPr>
              <w:pStyle w:val="1296"/>
              <w:pBdr/>
              <w:spacing/>
              <w:ind/>
              <w:rPr/>
            </w:pPr>
            <w:r>
              <w:t xml:space="preserve">HOLD-FUTURE</w:t>
            </w:r>
            <w:r/>
          </w:p>
        </w:tc>
        <w:tc>
          <w:tcPr>
            <w:tcBorders/>
            <w:tcMar>
              <w:left w:w="70" w:type="dxa"/>
              <w:top w:w="60" w:type="dxa"/>
              <w:right w:w="70" w:type="dxa"/>
              <w:bottom w:w="60" w:type="dxa"/>
            </w:tcMar>
            <w:tcW w:w="6961" w:type="dxa"/>
            <w:vAlign w:val="top"/>
          </w:tcPr>
          <w:p>
            <w:pPr>
              <w:pStyle w:val="1296"/>
              <w:pBdr/>
              <w:spacing/>
              <w:ind/>
              <w:rPr/>
            </w:pPr>
            <w:r>
              <w:t xml:space="preserve">Candidate-universe PASS for restricted research scope, but current source, philological, community-governance or rights feasibility does not support release promotion.</w:t>
            </w:r>
            <w:r/>
          </w:p>
        </w:tc>
      </w:tr>
    </w:tbl>
    <w:p>
      <w:pPr>
        <w:pStyle w:val="1300"/>
        <w:pBdr/>
        <w:spacing/>
        <w:ind/>
        <w:rPr/>
      </w:pPr>
      <w:r/>
      <w:r/>
    </w:p>
    <w:p>
      <w:pPr>
        <w:pStyle w:val="1184"/>
        <w:keepNext w:val="true"/>
        <w:keepLines w:val="true"/>
        <w:pBdr/>
        <w:spacing/>
        <w:ind/>
        <w:rPr/>
      </w:pPr>
      <w:r>
        <w:t xml:space="preserve">Historical snapshot — Role sensitivity as of 28 July 2026</w:t>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2755"/>
        <w:gridCol w:w="3045"/>
        <w:gridCol w:w="4205"/>
      </w:tblGrid>
      <w:tr>
        <w:trPr>
          <w:cantSplit/>
          <w:tblHeader/>
        </w:trPr>
        <w:tc>
          <w:tcPr>
            <w:shd w:val="clear" w:color="auto" w:fill="1f5a73"/>
            <w:tcBorders/>
            <w:tcMar>
              <w:left w:w="70" w:type="dxa"/>
              <w:top w:w="60" w:type="dxa"/>
              <w:right w:w="70" w:type="dxa"/>
              <w:bottom w:w="60" w:type="dxa"/>
            </w:tcMar>
            <w:tcW w:w="2755" w:type="dxa"/>
            <w:vAlign w:val="top"/>
          </w:tcPr>
          <w:p>
            <w:pPr>
              <w:pStyle w:val="1298"/>
              <w:pBdr/>
              <w:spacing/>
              <w:ind/>
              <w:rPr/>
            </w:pPr>
            <w:r>
              <w:t xml:space="preserve">Scenario</w:t>
            </w:r>
            <w:r/>
          </w:p>
        </w:tc>
        <w:tc>
          <w:tcPr>
            <w:shd w:val="clear" w:color="auto" w:fill="1f5a73"/>
            <w:tcBorders/>
            <w:tcMar>
              <w:left w:w="70" w:type="dxa"/>
              <w:top w:w="60" w:type="dxa"/>
              <w:right w:w="70" w:type="dxa"/>
              <w:bottom w:w="60" w:type="dxa"/>
            </w:tcMar>
            <w:tcW w:w="3045" w:type="dxa"/>
            <w:vAlign w:val="top"/>
          </w:tcPr>
          <w:p>
            <w:pPr>
              <w:pStyle w:val="1298"/>
              <w:pBdr/>
              <w:spacing/>
              <w:ind/>
              <w:rPr/>
            </w:pPr>
            <w:r>
              <w:t xml:space="preserve">Weight or constraint change</w:t>
            </w:r>
            <w:r/>
          </w:p>
        </w:tc>
        <w:tc>
          <w:tcPr>
            <w:shd w:val="clear" w:color="auto" w:fill="1f5a73"/>
            <w:tcBorders/>
            <w:tcMar>
              <w:left w:w="70" w:type="dxa"/>
              <w:top w:w="60" w:type="dxa"/>
              <w:right w:w="70" w:type="dxa"/>
              <w:bottom w:w="60" w:type="dxa"/>
            </w:tcMar>
            <w:tcW w:w="4205" w:type="dxa"/>
            <w:vAlign w:val="top"/>
          </w:tcPr>
          <w:p>
            <w:pPr>
              <w:pStyle w:val="1298"/>
              <w:pBdr/>
              <w:spacing/>
              <w:ind/>
              <w:rPr/>
            </w:pPr>
            <w:r>
              <w:t xml:space="preserve">Result</w:t>
            </w:r>
            <w:r/>
          </w:p>
        </w:tc>
      </w:tr>
      <w:tr>
        <w:trPr>
          <w:cantSplit/>
        </w:trPr>
        <w:tc>
          <w:tcPr>
            <w:tcBorders/>
            <w:tcMar>
              <w:left w:w="70" w:type="dxa"/>
              <w:top w:w="60" w:type="dxa"/>
              <w:right w:w="70" w:type="dxa"/>
              <w:bottom w:w="60" w:type="dxa"/>
            </w:tcMar>
            <w:tcW w:w="2755" w:type="dxa"/>
            <w:vAlign w:val="top"/>
          </w:tcPr>
          <w:p>
            <w:pPr>
              <w:pStyle w:val="1296"/>
              <w:pBdr/>
              <w:spacing/>
              <w:ind/>
              <w:rPr/>
            </w:pPr>
            <w:r>
              <w:t xml:space="preserve">Base</w:t>
            </w:r>
            <w:r/>
          </w:p>
        </w:tc>
        <w:tc>
          <w:tcPr>
            <w:tcBorders/>
            <w:tcMar>
              <w:left w:w="70" w:type="dxa"/>
              <w:top w:w="60" w:type="dxa"/>
              <w:right w:w="70" w:type="dxa"/>
              <w:bottom w:w="60" w:type="dxa"/>
            </w:tcMar>
            <w:tcW w:w="3045" w:type="dxa"/>
            <w:vAlign w:val="top"/>
          </w:tcPr>
          <w:p>
            <w:pPr>
              <w:pStyle w:val="1296"/>
              <w:pBdr/>
              <w:spacing/>
              <w:ind/>
              <w:rPr/>
            </w:pPr>
            <w:r>
              <w:t xml:space="preserve">Weights in </w:t>
            </w:r>
            <w:hyperlink w:tooltip="#pa_calibrated_role_criteria" w:anchor="pa_calibrated_role_criteria" w:history="1">
              <w:r>
                <w:t xml:space="preserve">Annex A §A1, Calibrated role criteria</w:t>
              </w:r>
            </w:hyperlink>
            <w:r>
              <w:t xml:space="preserve">; hard gates enforced first.</w:t>
            </w:r>
            <w:r/>
          </w:p>
        </w:tc>
        <w:tc>
          <w:tcPr>
            <w:tcBorders/>
            <w:tcMar>
              <w:left w:w="70" w:type="dxa"/>
              <w:top w:w="60" w:type="dxa"/>
              <w:right w:w="70" w:type="dxa"/>
              <w:bottom w:w="60" w:type="dxa"/>
            </w:tcMar>
            <w:tcW w:w="4205" w:type="dxa"/>
            <w:vAlign w:val="top"/>
          </w:tcPr>
          <w:p>
            <w:pPr>
              <w:pStyle w:val="1296"/>
              <w:pBdr/>
              <w:spacing/>
              <w:ind/>
              <w:rPr/>
            </w:pPr>
            <w:r>
              <w:t xml:space="preserve">Adopted counts: 18 CORE, 11 MAJOR COMPARATOR, 3 COUNTEREXAMPLE-STRESS, 5 DIGITAL-REFERENCE, 3 HOLD-FUTURE.</w:t>
            </w:r>
            <w:r/>
          </w:p>
        </w:tc>
      </w:tr>
      <w:tr>
        <w:trPr>
          <w:cantSplit/>
        </w:trPr>
        <w:tc>
          <w:tcPr>
            <w:shd w:val="clear" w:color="auto" w:fill="f7f9fa"/>
            <w:tcBorders/>
            <w:tcMar>
              <w:left w:w="70" w:type="dxa"/>
              <w:top w:w="60" w:type="dxa"/>
              <w:right w:w="70" w:type="dxa"/>
              <w:bottom w:w="60" w:type="dxa"/>
            </w:tcMar>
            <w:tcW w:w="2755" w:type="dxa"/>
            <w:vAlign w:val="top"/>
          </w:tcPr>
          <w:p>
            <w:pPr>
              <w:pStyle w:val="1296"/>
              <w:pBdr/>
              <w:spacing/>
              <w:ind/>
              <w:rPr/>
            </w:pPr>
            <w:r>
              <w:t xml:space="preserve">Feasibility-heavy</w:t>
            </w:r>
            <w:r/>
          </w:p>
        </w:tc>
        <w:tc>
          <w:tcPr>
            <w:shd w:val="clear" w:color="auto" w:fill="f7f9fa"/>
            <w:tcBorders/>
            <w:tcMar>
              <w:left w:w="70" w:type="dxa"/>
              <w:top w:w="60" w:type="dxa"/>
              <w:right w:w="70" w:type="dxa"/>
              <w:bottom w:w="60" w:type="dxa"/>
            </w:tcMar>
            <w:tcW w:w="3045" w:type="dxa"/>
            <w:vAlign w:val="top"/>
          </w:tcPr>
          <w:p>
            <w:pPr>
              <w:pStyle w:val="1296"/>
              <w:pBdr/>
              <w:spacing/>
              <w:ind/>
              <w:rPr/>
            </w:pPr>
            <w:r>
              <w:t xml:space="preserve">SF and RF rise to 20% each; CD and CL 15% each; CC, DR and LR 10% each.</w:t>
            </w:r>
            <w:r/>
          </w:p>
        </w:tc>
        <w:tc>
          <w:tcPr>
            <w:shd w:val="clear" w:color="auto" w:fill="f7f9fa"/>
            <w:tcBorders/>
            <w:tcMar>
              <w:left w:w="70" w:type="dxa"/>
              <w:top w:w="60" w:type="dxa"/>
              <w:right w:w="70" w:type="dxa"/>
              <w:bottom w:w="60" w:type="dxa"/>
            </w:tcMar>
            <w:tcW w:w="4205" w:type="dxa"/>
            <w:vAlign w:val="top"/>
          </w:tcPr>
          <w:p>
            <w:pPr>
              <w:pStyle w:val="1296"/>
              <w:pBdr/>
              <w:spacing/>
              <w:ind/>
              <w:rPr/>
            </w:pPr>
            <w:r>
              <w:t xml:space="preserve">Numerical order changes, especially for Ifá and held local candidates, but no role changes: hard release constraints keep HOLD-FUTURE cases held, and Ifá remains CORE by explicit architecture-level exception with dependencies unchanged.</w:t>
            </w:r>
            <w:r/>
          </w:p>
        </w:tc>
      </w:tr>
      <w:tr>
        <w:trPr>
          <w:cantSplit/>
        </w:trPr>
        <w:tc>
          <w:tcPr>
            <w:tcBorders/>
            <w:tcMar>
              <w:left w:w="70" w:type="dxa"/>
              <w:top w:w="60" w:type="dxa"/>
              <w:right w:w="70" w:type="dxa"/>
              <w:bottom w:w="60" w:type="dxa"/>
            </w:tcMar>
            <w:tcW w:w="2755" w:type="dxa"/>
            <w:vAlign w:val="top"/>
          </w:tcPr>
          <w:p>
            <w:pPr>
              <w:pStyle w:val="1296"/>
              <w:pBdr/>
              <w:spacing/>
              <w:ind/>
              <w:rPr/>
            </w:pPr>
            <w:r>
              <w:t xml:space="preserve">Comparative-leverage-heavy</w:t>
            </w:r>
            <w:r/>
          </w:p>
        </w:tc>
        <w:tc>
          <w:tcPr>
            <w:tcBorders/>
            <w:tcMar>
              <w:left w:w="70" w:type="dxa"/>
              <w:top w:w="60" w:type="dxa"/>
              <w:right w:w="70" w:type="dxa"/>
              <w:bottom w:w="60" w:type="dxa"/>
            </w:tcMar>
            <w:tcW w:w="3045" w:type="dxa"/>
            <w:vAlign w:val="top"/>
          </w:tcPr>
          <w:p>
            <w:pPr>
              <w:pStyle w:val="1296"/>
              <w:pBdr/>
              <w:spacing/>
              <w:ind/>
              <w:rPr/>
            </w:pPr>
            <w:r>
              <w:t xml:space="preserve">CL 25%; CD and CC 20% each; DR 15%; LR 10%; SF and RF 5% each.</w:t>
            </w:r>
            <w:r/>
          </w:p>
        </w:tc>
        <w:tc>
          <w:tcPr>
            <w:tcBorders/>
            <w:tcMar>
              <w:left w:w="70" w:type="dxa"/>
              <w:top w:w="60" w:type="dxa"/>
              <w:right w:w="70" w:type="dxa"/>
              <w:bottom w:w="60" w:type="dxa"/>
            </w:tcMar>
            <w:tcW w:w="4205" w:type="dxa"/>
            <w:vAlign w:val="top"/>
          </w:tcPr>
          <w:p>
            <w:pPr>
              <w:pStyle w:val="1296"/>
              <w:pBdr/>
              <w:spacing/>
              <w:ind/>
              <w:rPr/>
            </w:pPr>
            <w:r>
              <w:t xml:space="preserve">Conceptually distinctive and category-challenging candidates rise, but no HOLD-FUTURE case is promoted because hard source/governance constraints remain non-compensatory.</w:t>
            </w:r>
            <w:r/>
          </w:p>
        </w:tc>
      </w:tr>
      <w:tr>
        <w:trPr>
          <w:cantSplit/>
        </w:trPr>
        <w:tc>
          <w:tcPr>
            <w:shd w:val="clear" w:color="auto" w:fill="f7f9fa"/>
            <w:tcBorders/>
            <w:tcMar>
              <w:left w:w="70" w:type="dxa"/>
              <w:top w:w="60" w:type="dxa"/>
              <w:right w:w="70" w:type="dxa"/>
              <w:bottom w:w="60" w:type="dxa"/>
            </w:tcMar>
            <w:tcW w:w="2755" w:type="dxa"/>
            <w:vAlign w:val="top"/>
          </w:tcPr>
          <w:p>
            <w:pPr>
              <w:pStyle w:val="1296"/>
              <w:pBdr/>
              <w:spacing/>
              <w:ind/>
              <w:rPr/>
            </w:pPr>
            <w:r>
              <w:t xml:space="preserve">Grouped related candidates</w:t>
            </w:r>
            <w:r/>
          </w:p>
        </w:tc>
        <w:tc>
          <w:tcPr>
            <w:shd w:val="clear" w:color="auto" w:fill="f7f9fa"/>
            <w:tcBorders/>
            <w:tcMar>
              <w:left w:w="70" w:type="dxa"/>
              <w:top w:w="60" w:type="dxa"/>
              <w:right w:w="70" w:type="dxa"/>
              <w:bottom w:w="60" w:type="dxa"/>
            </w:tcMar>
            <w:tcW w:w="3045" w:type="dxa"/>
            <w:vAlign w:val="top"/>
          </w:tcPr>
          <w:p>
            <w:pPr>
              <w:pStyle w:val="1296"/>
              <w:pBdr/>
              <w:spacing/>
              <w:ind/>
              <w:rPr/>
            </w:pPr>
            <w:r>
              <w:t xml:space="preserve">Base weights plus a one-point LR stress reduction for secondary members of already identified Confucian, fundamental-consciousness, Christian/Islamic and naturalist clusters.</w:t>
            </w:r>
            <w:r/>
          </w:p>
        </w:tc>
        <w:tc>
          <w:tcPr>
            <w:shd w:val="clear" w:color="auto" w:fill="f7f9fa"/>
            <w:tcBorders/>
            <w:tcMar>
              <w:left w:w="70" w:type="dxa"/>
              <w:top w:w="60" w:type="dxa"/>
              <w:right w:w="70" w:type="dxa"/>
              <w:bottom w:w="60" w:type="dxa"/>
            </w:tcMar>
            <w:tcW w:w="4205" w:type="dxa"/>
            <w:vAlign w:val="top"/>
          </w:tcPr>
          <w:p>
            <w:pPr>
              <w:pStyle w:val="1296"/>
              <w:pBdr/>
              <w:spacing/>
              <w:ind/>
              <w:rPr/>
            </w:pPr>
            <w:r>
              <w:t xml:space="preserve">Core architecture and all five role counts remain stable; redundancy changes ordering within MAJOR COMPARATOR and DIGITAL-REFERENCE groups but not the adopted role of any candidate.</w:t>
            </w:r>
            <w:r/>
          </w:p>
        </w:tc>
      </w:tr>
    </w:tbl>
    <w:p>
      <w:pPr>
        <w:pStyle w:val="1300"/>
        <w:pBdr/>
        <w:spacing/>
        <w:ind/>
        <w:rPr/>
      </w:pPr>
      <w:r/>
      <w:r/>
    </w:p>
    <w:p>
      <w:pPr>
        <w:pBdr/>
        <w:spacing/>
        <w:ind/>
        <w:rPr/>
        <w:sectPr>
          <w:headerReference w:type="default" r:id="rId14"/>
          <w:footerReference w:type="default" r:id="rId25"/>
          <w:footnotePr/>
          <w:endnotePr/>
          <w:type w:val="nextPage"/>
          <w:pgSz w:h="16838" w:orient="portrait" w:w="11906"/>
          <w:pgMar w:top="979" w:right="950" w:bottom="893" w:left="950" w:header="403" w:footer="403" w:gutter="0"/>
          <w:cols w:num="1" w:sep="0" w:space="720" w:equalWidth="1"/>
        </w:sectPr>
      </w:pPr>
      <w:r/>
      <w:r/>
    </w:p>
    <w:p>
      <w:pPr>
        <w:pStyle w:val="1136"/>
        <w:keepNext w:val="true"/>
        <w:keepLines w:val="true"/>
        <w:pBdr/>
        <w:spacing/>
        <w:ind/>
        <w:rPr/>
      </w:pPr>
      <w:r/>
      <w:bookmarkStart w:id="183" w:name="A2"/>
      <w:r>
        <w:t xml:space="preserve">A2. Candidate identity, evidence and solution-space view</w:t>
      </w:r>
      <w:bookmarkEnd w:id="183"/>
      <w:r/>
      <w:r/>
    </w:p>
    <w:p>
      <w:pPr>
        <w:pStyle w:val="1184"/>
        <w:keepNext w:val="true"/>
        <w:keepLines w:val="true"/>
        <w:pBdr/>
        <w:spacing/>
        <w:ind/>
        <w:rPr/>
      </w:pPr>
      <w:r/>
      <w:bookmarkStart w:id="184" w:name="T_CANDIDATE_IDENTITY"/>
      <w:r>
        <w:t xml:space="preserve">Historical snapshot — Candidate identity, evidence and solution-space view as of 28 July 2026</w:t>
      </w:r>
      <w:bookmarkEnd w:id="184"/>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1068"/>
        <w:gridCol w:w="3051"/>
        <w:gridCol w:w="3661"/>
        <w:gridCol w:w="3509"/>
        <w:gridCol w:w="3966"/>
      </w:tblGrid>
      <w:tr>
        <w:trPr>
          <w:cantSplit/>
          <w:tblHeader/>
        </w:trPr>
        <w:tc>
          <w:tcPr>
            <w:shd w:val="clear" w:color="auto" w:fill="1f5a73"/>
            <w:tcBorders/>
            <w:tcMar>
              <w:left w:w="70" w:type="dxa"/>
              <w:top w:w="60" w:type="dxa"/>
              <w:right w:w="70" w:type="dxa"/>
              <w:bottom w:w="60" w:type="dxa"/>
            </w:tcMar>
            <w:tcW w:w="1068" w:type="dxa"/>
            <w:vAlign w:val="top"/>
          </w:tcPr>
          <w:p>
            <w:pPr>
              <w:pStyle w:val="1299"/>
              <w:pBdr/>
              <w:spacing/>
              <w:ind/>
              <w:rPr/>
            </w:pPr>
            <w:r>
              <w:t xml:space="preserve">Candidate</w:t>
            </w:r>
            <w:r/>
          </w:p>
        </w:tc>
        <w:tc>
          <w:tcPr>
            <w:shd w:val="clear" w:color="auto" w:fill="1f5a73"/>
            <w:tcBorders/>
            <w:tcMar>
              <w:left w:w="70" w:type="dxa"/>
              <w:top w:w="60" w:type="dxa"/>
              <w:right w:w="70" w:type="dxa"/>
              <w:bottom w:w="60" w:type="dxa"/>
            </w:tcMar>
            <w:tcW w:w="3051" w:type="dxa"/>
            <w:vAlign w:val="top"/>
          </w:tcPr>
          <w:p>
            <w:pPr>
              <w:pStyle w:val="1299"/>
              <w:pBdr/>
              <w:spacing/>
              <w:ind/>
              <w:rPr/>
            </w:pPr>
            <w:r>
              <w:t xml:space="preserve">Position</w:t>
            </w:r>
            <w:r/>
          </w:p>
        </w:tc>
        <w:tc>
          <w:tcPr>
            <w:shd w:val="clear" w:color="auto" w:fill="1f5a73"/>
            <w:tcBorders/>
            <w:tcMar>
              <w:left w:w="70" w:type="dxa"/>
              <w:top w:w="60" w:type="dxa"/>
              <w:right w:w="70" w:type="dxa"/>
              <w:bottom w:w="60" w:type="dxa"/>
            </w:tcMar>
            <w:tcW w:w="3661" w:type="dxa"/>
            <w:vAlign w:val="top"/>
          </w:tcPr>
          <w:p>
            <w:pPr>
              <w:pStyle w:val="1299"/>
              <w:pBdr/>
              <w:spacing/>
              <w:ind/>
              <w:rPr/>
            </w:pPr>
            <w:r>
              <w:t xml:space="preserve">Period, geography, language and context</w:t>
            </w:r>
            <w:r/>
          </w:p>
        </w:tc>
        <w:tc>
          <w:tcPr>
            <w:shd w:val="clear" w:color="auto" w:fill="1f5a73"/>
            <w:tcBorders/>
            <w:tcMar>
              <w:left w:w="70" w:type="dxa"/>
              <w:top w:w="60" w:type="dxa"/>
              <w:right w:w="70" w:type="dxa"/>
              <w:bottom w:w="60" w:type="dxa"/>
            </w:tcMar>
            <w:tcW w:w="3509" w:type="dxa"/>
            <w:vAlign w:val="top"/>
          </w:tcPr>
          <w:p>
            <w:pPr>
              <w:pStyle w:val="1299"/>
              <w:pBdr/>
              <w:spacing/>
              <w:ind/>
              <w:rPr/>
            </w:pPr>
            <w:r>
              <w:t xml:space="preserve">Evidence mode and principal anchors</w:t>
            </w:r>
            <w:r/>
          </w:p>
        </w:tc>
        <w:tc>
          <w:tcPr>
            <w:shd w:val="clear" w:color="auto" w:fill="1f5a73"/>
            <w:tcBorders/>
            <w:tcMar>
              <w:left w:w="70" w:type="dxa"/>
              <w:top w:w="60" w:type="dxa"/>
              <w:right w:w="70" w:type="dxa"/>
              <w:bottom w:w="60" w:type="dxa"/>
            </w:tcMar>
            <w:tcW w:w="3966" w:type="dxa"/>
            <w:vAlign w:val="top"/>
          </w:tcPr>
          <w:p>
            <w:pPr>
              <w:pStyle w:val="1299"/>
              <w:pBdr/>
              <w:spacing/>
              <w:ind/>
              <w:rPr/>
            </w:pPr>
            <w:r>
              <w:t xml:space="preserve">Solution-space and strong domains</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1</w:t>
            </w:r>
            <w:r/>
          </w:p>
        </w:tc>
        <w:tc>
          <w:tcPr>
            <w:tcBorders/>
            <w:tcMar>
              <w:left w:w="70" w:type="dxa"/>
              <w:top w:w="60" w:type="dxa"/>
              <w:right w:w="70" w:type="dxa"/>
              <w:bottom w:w="60" w:type="dxa"/>
            </w:tcMar>
            <w:tcW w:w="3051" w:type="dxa"/>
            <w:vAlign w:val="top"/>
          </w:tcPr>
          <w:p>
            <w:pPr>
              <w:pStyle w:val="1297"/>
              <w:pBdr/>
              <w:spacing/>
              <w:ind/>
              <w:rPr/>
            </w:pPr>
            <w:r>
              <w:t xml:space="preserve">Apocryphon of John, long-recension position</w:t>
            </w:r>
            <w:r/>
          </w:p>
        </w:tc>
        <w:tc>
          <w:tcPr>
            <w:tcBorders/>
            <w:tcMar>
              <w:left w:w="70" w:type="dxa"/>
              <w:top w:w="60" w:type="dxa"/>
              <w:right w:w="70" w:type="dxa"/>
              <w:bottom w:w="60" w:type="dxa"/>
            </w:tcMar>
            <w:tcW w:w="3661" w:type="dxa"/>
            <w:vAlign w:val="top"/>
          </w:tcPr>
          <w:p>
            <w:pPr>
              <w:pStyle w:val="1297"/>
              <w:pBdr/>
              <w:spacing/>
              <w:ind/>
              <w:rPr/>
            </w:pPr>
            <w:r>
              <w:t xml:space="preserve">2nd–4th c. CE witnesses; Eastern Mediterranean; Coptic/Greek antecedents; Sethian/early Christian context</w:t>
            </w:r>
            <w:r/>
          </w:p>
        </w:tc>
        <w:tc>
          <w:tcPr>
            <w:tcBorders/>
            <w:tcMar>
              <w:left w:w="70" w:type="dxa"/>
              <w:top w:w="60" w:type="dxa"/>
              <w:right w:w="70" w:type="dxa"/>
              <w:bottom w:w="60" w:type="dxa"/>
            </w:tcMar>
            <w:tcW w:w="3509" w:type="dxa"/>
            <w:vAlign w:val="top"/>
          </w:tcPr>
          <w:p>
            <w:pPr>
              <w:pStyle w:val="1297"/>
              <w:pBdr/>
              <w:spacing/>
              <w:ind/>
              <w:rPr/>
            </w:pPr>
            <w:r>
              <w:t xml:space="preserve">Textual; NHC II,1 &amp; IV,1; Waldstein–Wisse; current specialist work</w:t>
            </w:r>
            <w:r/>
          </w:p>
        </w:tc>
        <w:tc>
          <w:tcPr>
            <w:tcBorders/>
            <w:tcMar>
              <w:left w:w="70" w:type="dxa"/>
              <w:top w:w="60" w:type="dxa"/>
              <w:right w:w="70" w:type="dxa"/>
              <w:bottom w:w="60" w:type="dxa"/>
            </w:tcMar>
            <w:tcW w:w="3966" w:type="dxa"/>
            <w:vAlign w:val="top"/>
          </w:tcPr>
          <w:p>
            <w:pPr>
              <w:pStyle w:val="1297"/>
              <w:pBdr/>
              <w:spacing/>
              <w:ind/>
              <w:rPr/>
            </w:pPr>
            <w:r>
              <w:t xml:space="preserve">Transcendent source + deficient lower creator; revelatory return Strong domains: D1 D2 D4 D9 D13–15</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2</w:t>
            </w:r>
            <w:r/>
          </w:p>
        </w:tc>
        <w:tc>
          <w:tcPr>
            <w:shd w:val="clear" w:color="auto" w:fill="f7f9fa"/>
            <w:tcBorders/>
            <w:tcMar>
              <w:left w:w="70" w:type="dxa"/>
              <w:top w:w="60" w:type="dxa"/>
              <w:right w:w="70" w:type="dxa"/>
              <w:bottom w:w="60" w:type="dxa"/>
            </w:tcMar>
            <w:tcW w:w="3051" w:type="dxa"/>
            <w:vAlign w:val="top"/>
          </w:tcPr>
          <w:p>
            <w:pPr>
              <w:pStyle w:val="1297"/>
              <w:pBdr/>
              <w:spacing/>
              <w:ind/>
              <w:rPr/>
            </w:pPr>
            <w:r>
              <w:t xml:space="preserve">Gregory of Nyssa, mature anthropology/eschatology</w:t>
            </w:r>
            <w:r/>
          </w:p>
        </w:tc>
        <w:tc>
          <w:tcPr>
            <w:shd w:val="clear" w:color="auto" w:fill="f7f9fa"/>
            <w:tcBorders/>
            <w:tcMar>
              <w:left w:w="70" w:type="dxa"/>
              <w:top w:w="60" w:type="dxa"/>
              <w:right w:w="70" w:type="dxa"/>
              <w:bottom w:w="60" w:type="dxa"/>
            </w:tcMar>
            <w:tcW w:w="3661" w:type="dxa"/>
            <w:vAlign w:val="top"/>
          </w:tcPr>
          <w:p>
            <w:pPr>
              <w:pStyle w:val="1297"/>
              <w:pBdr/>
              <w:spacing/>
              <w:ind/>
              <w:rPr/>
            </w:pPr>
            <w:r>
              <w:t xml:space="preserve">4th c. CE; Cappadocia; Greek; Nicene Christian</w:t>
            </w:r>
            <w:r/>
          </w:p>
        </w:tc>
        <w:tc>
          <w:tcPr>
            <w:shd w:val="clear" w:color="auto" w:fill="f7f9fa"/>
            <w:tcBorders/>
            <w:tcMar>
              <w:left w:w="70" w:type="dxa"/>
              <w:top w:w="60" w:type="dxa"/>
              <w:right w:w="70" w:type="dxa"/>
              <w:bottom w:w="60" w:type="dxa"/>
            </w:tcMar>
            <w:tcW w:w="3509" w:type="dxa"/>
            <w:vAlign w:val="top"/>
          </w:tcPr>
          <w:p>
            <w:pPr>
              <w:pStyle w:val="1297"/>
              <w:pBdr/>
              <w:spacing/>
              <w:ind/>
              <w:rPr/>
            </w:pPr>
            <w:r>
              <w:t xml:space="preserve">Textual; De hominis opificio; De anima et resurrectione; specialist scholarship</w:t>
            </w:r>
            <w:r/>
          </w:p>
        </w:tc>
        <w:tc>
          <w:tcPr>
            <w:shd w:val="clear" w:color="auto" w:fill="f7f9fa"/>
            <w:tcBorders/>
            <w:tcMar>
              <w:left w:w="70" w:type="dxa"/>
              <w:top w:w="60" w:type="dxa"/>
              <w:right w:w="70" w:type="dxa"/>
              <w:bottom w:w="60" w:type="dxa"/>
            </w:tcMar>
            <w:tcW w:w="3966" w:type="dxa"/>
            <w:vAlign w:val="top"/>
          </w:tcPr>
          <w:p>
            <w:pPr>
              <w:pStyle w:val="1297"/>
              <w:pBdr/>
              <w:spacing/>
              <w:ind/>
              <w:rPr/>
            </w:pPr>
            <w:r>
              <w:t xml:space="preserve">Created-good world, psychosomatic unity, resurrection, theosis/epektasis Strong domains: D4 D6 D8 D11–15</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3</w:t>
            </w:r>
            <w:r/>
          </w:p>
        </w:tc>
        <w:tc>
          <w:tcPr>
            <w:tcBorders/>
            <w:tcMar>
              <w:left w:w="70" w:type="dxa"/>
              <w:top w:w="60" w:type="dxa"/>
              <w:right w:w="70" w:type="dxa"/>
              <w:bottom w:w="60" w:type="dxa"/>
            </w:tcMar>
            <w:tcW w:w="3051" w:type="dxa"/>
            <w:vAlign w:val="top"/>
          </w:tcPr>
          <w:p>
            <w:pPr>
              <w:pStyle w:val="1297"/>
              <w:pBdr/>
              <w:spacing/>
              <w:ind/>
              <w:rPr/>
            </w:pPr>
            <w:r>
              <w:t xml:space="preserve">Śaṅkara, securely attributed Advaita position</w:t>
            </w:r>
            <w:r/>
          </w:p>
        </w:tc>
        <w:tc>
          <w:tcPr>
            <w:tcBorders/>
            <w:tcMar>
              <w:left w:w="70" w:type="dxa"/>
              <w:top w:w="60" w:type="dxa"/>
              <w:right w:w="70" w:type="dxa"/>
              <w:bottom w:w="60" w:type="dxa"/>
            </w:tcMar>
            <w:tcW w:w="3661" w:type="dxa"/>
            <w:vAlign w:val="top"/>
          </w:tcPr>
          <w:p>
            <w:pPr>
              <w:pStyle w:val="1297"/>
              <w:pBdr/>
              <w:spacing/>
              <w:ind/>
              <w:rPr/>
            </w:pPr>
            <w:r>
              <w:t xml:space="preserve">8th c. CE; South Asia; Sanskrit; Advaita Vedānta</w:t>
            </w:r>
            <w:r/>
          </w:p>
        </w:tc>
        <w:tc>
          <w:tcPr>
            <w:tcBorders/>
            <w:tcMar>
              <w:left w:w="70" w:type="dxa"/>
              <w:top w:w="60" w:type="dxa"/>
              <w:right w:w="70" w:type="dxa"/>
              <w:bottom w:w="60" w:type="dxa"/>
            </w:tcMar>
            <w:tcW w:w="3509" w:type="dxa"/>
            <w:vAlign w:val="top"/>
          </w:tcPr>
          <w:p>
            <w:pPr>
              <w:pStyle w:val="1297"/>
              <w:pBdr/>
              <w:spacing/>
              <w:ind/>
              <w:rPr/>
            </w:pPr>
            <w:r>
              <w:t xml:space="preserve">Textual; Upadeśasāhasrī; Brahmasūtrabhāṣya where attribution controlled; specialist scholarship</w:t>
            </w:r>
            <w:r/>
          </w:p>
        </w:tc>
        <w:tc>
          <w:tcPr>
            <w:tcBorders/>
            <w:tcMar>
              <w:left w:w="70" w:type="dxa"/>
              <w:top w:w="60" w:type="dxa"/>
              <w:right w:w="70" w:type="dxa"/>
              <w:bottom w:w="60" w:type="dxa"/>
            </w:tcMar>
            <w:tcW w:w="3966" w:type="dxa"/>
            <w:vAlign w:val="top"/>
          </w:tcPr>
          <w:p>
            <w:pPr>
              <w:pStyle w:val="1297"/>
              <w:pBdr/>
              <w:spacing/>
              <w:ind/>
              <w:rPr/>
            </w:pPr>
            <w:r>
              <w:t xml:space="preserve">Nondual Brahman; ātman-Brahman identity; liberation through knowledge Strong domains: D1 D5 D6 D9 D12 D14</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4</w:t>
            </w:r>
            <w:r/>
          </w:p>
        </w:tc>
        <w:tc>
          <w:tcPr>
            <w:shd w:val="clear" w:color="auto" w:fill="f7f9fa"/>
            <w:tcBorders/>
            <w:tcMar>
              <w:left w:w="70" w:type="dxa"/>
              <w:top w:w="60" w:type="dxa"/>
              <w:right w:w="70" w:type="dxa"/>
              <w:bottom w:w="60" w:type="dxa"/>
            </w:tcMar>
            <w:tcW w:w="3051" w:type="dxa"/>
            <w:vAlign w:val="top"/>
          </w:tcPr>
          <w:p>
            <w:pPr>
              <w:pStyle w:val="1297"/>
              <w:pBdr/>
              <w:spacing/>
              <w:ind/>
              <w:rPr/>
            </w:pPr>
            <w:r>
              <w:t xml:space="preserve">Nāgārjuna, Mūlamadhyamakakārikā position</w:t>
            </w:r>
            <w:r/>
          </w:p>
        </w:tc>
        <w:tc>
          <w:tcPr>
            <w:shd w:val="clear" w:color="auto" w:fill="f7f9fa"/>
            <w:tcBorders/>
            <w:tcMar>
              <w:left w:w="70" w:type="dxa"/>
              <w:top w:w="60" w:type="dxa"/>
              <w:right w:w="70" w:type="dxa"/>
              <w:bottom w:w="60" w:type="dxa"/>
            </w:tcMar>
            <w:tcW w:w="3661" w:type="dxa"/>
            <w:vAlign w:val="top"/>
          </w:tcPr>
          <w:p>
            <w:pPr>
              <w:pStyle w:val="1297"/>
              <w:pBdr/>
              <w:spacing/>
              <w:ind/>
              <w:rPr/>
            </w:pPr>
            <w:r>
              <w:t xml:space="preserve">c. 2nd–3rd c. CE; South Asia; Sanskrit; Madhyamaka Buddhist</w:t>
            </w:r>
            <w:r/>
          </w:p>
        </w:tc>
        <w:tc>
          <w:tcPr>
            <w:shd w:val="clear" w:color="auto" w:fill="f7f9fa"/>
            <w:tcBorders/>
            <w:tcMar>
              <w:left w:w="70" w:type="dxa"/>
              <w:top w:w="60" w:type="dxa"/>
              <w:right w:w="70" w:type="dxa"/>
              <w:bottom w:w="60" w:type="dxa"/>
            </w:tcMar>
            <w:tcW w:w="3509" w:type="dxa"/>
            <w:vAlign w:val="top"/>
          </w:tcPr>
          <w:p>
            <w:pPr>
              <w:pStyle w:val="1297"/>
              <w:pBdr/>
              <w:spacing/>
              <w:ind/>
              <w:rPr/>
            </w:pPr>
            <w:r>
              <w:t xml:space="preserve">Textual; MMK; Siderits–Katsura; Westerhoff and specialist scholarship</w:t>
            </w:r>
            <w:r/>
          </w:p>
        </w:tc>
        <w:tc>
          <w:tcPr>
            <w:shd w:val="clear" w:color="auto" w:fill="f7f9fa"/>
            <w:tcBorders/>
            <w:tcMar>
              <w:left w:w="70" w:type="dxa"/>
              <w:top w:w="60" w:type="dxa"/>
              <w:right w:w="70" w:type="dxa"/>
              <w:bottom w:w="60" w:type="dxa"/>
            </w:tcMar>
            <w:tcW w:w="3966" w:type="dxa"/>
            <w:vAlign w:val="top"/>
          </w:tcPr>
          <w:p>
            <w:pPr>
              <w:pStyle w:val="1297"/>
              <w:pBdr/>
              <w:spacing/>
              <w:ind/>
              <w:rPr/>
            </w:pPr>
            <w:r>
              <w:t xml:space="preserve">Emptiness/dependent arising; refusal of svabhāva and reified ultimacy Strong domains: D1 D2 D6 D9 D10 D14</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5</w:t>
            </w:r>
            <w:r/>
          </w:p>
        </w:tc>
        <w:tc>
          <w:tcPr>
            <w:tcBorders/>
            <w:tcMar>
              <w:left w:w="70" w:type="dxa"/>
              <w:top w:w="60" w:type="dxa"/>
              <w:right w:w="70" w:type="dxa"/>
              <w:bottom w:w="60" w:type="dxa"/>
            </w:tcMar>
            <w:tcW w:w="3051" w:type="dxa"/>
            <w:vAlign w:val="top"/>
          </w:tcPr>
          <w:p>
            <w:pPr>
              <w:pStyle w:val="1297"/>
              <w:pBdr/>
              <w:spacing/>
              <w:ind/>
              <w:rPr/>
            </w:pPr>
            <w:r>
              <w:t xml:space="preserve">Zhuangzi Inner-Chapter position</w:t>
            </w:r>
            <w:r/>
          </w:p>
        </w:tc>
        <w:tc>
          <w:tcPr>
            <w:tcBorders/>
            <w:tcMar>
              <w:left w:w="70" w:type="dxa"/>
              <w:top w:w="60" w:type="dxa"/>
              <w:right w:w="70" w:type="dxa"/>
              <w:bottom w:w="60" w:type="dxa"/>
            </w:tcMar>
            <w:tcW w:w="3661" w:type="dxa"/>
            <w:vAlign w:val="top"/>
          </w:tcPr>
          <w:p>
            <w:pPr>
              <w:pStyle w:val="1297"/>
              <w:pBdr/>
              <w:spacing/>
              <w:ind/>
              <w:rPr/>
            </w:pPr>
            <w:r>
              <w:t xml:space="preserve">4th–3rd c. BCE textual stratum; China; Classical Chinese; Early Daoist context</w:t>
            </w:r>
            <w:r/>
          </w:p>
        </w:tc>
        <w:tc>
          <w:tcPr>
            <w:tcBorders/>
            <w:tcMar>
              <w:left w:w="70" w:type="dxa"/>
              <w:top w:w="60" w:type="dxa"/>
              <w:right w:w="70" w:type="dxa"/>
              <w:bottom w:w="60" w:type="dxa"/>
            </w:tcMar>
            <w:tcW w:w="3509" w:type="dxa"/>
            <w:vAlign w:val="top"/>
          </w:tcPr>
          <w:p>
            <w:pPr>
              <w:pStyle w:val="1297"/>
              <w:pBdr/>
              <w:spacing/>
              <w:ind/>
              <w:rPr/>
            </w:pPr>
            <w:r>
              <w:t xml:space="preserve">Textual; Inner Chapters; critical translations and scholarship</w:t>
            </w:r>
            <w:r/>
          </w:p>
        </w:tc>
        <w:tc>
          <w:tcPr>
            <w:tcBorders/>
            <w:tcMar>
              <w:left w:w="70" w:type="dxa"/>
              <w:top w:w="60" w:type="dxa"/>
              <w:right w:w="70" w:type="dxa"/>
              <w:bottom w:w="60" w:type="dxa"/>
            </w:tcMar>
            <w:tcW w:w="3966" w:type="dxa"/>
            <w:vAlign w:val="top"/>
          </w:tcPr>
          <w:p>
            <w:pPr>
              <w:pStyle w:val="1297"/>
              <w:pBdr/>
              <w:spacing/>
              <w:ind/>
              <w:rPr/>
            </w:pPr>
            <w:r>
              <w:t xml:space="preserve">Transformation, perspectival limits, spontaneous responsiveness Strong domains: D3 D6 D7 D11 D15</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6</w:t>
            </w:r>
            <w:r/>
          </w:p>
        </w:tc>
        <w:tc>
          <w:tcPr>
            <w:shd w:val="clear" w:color="auto" w:fill="f7f9fa"/>
            <w:tcBorders/>
            <w:tcMar>
              <w:left w:w="70" w:type="dxa"/>
              <w:top w:w="60" w:type="dxa"/>
              <w:right w:w="70" w:type="dxa"/>
              <w:bottom w:w="60" w:type="dxa"/>
            </w:tcMar>
            <w:tcW w:w="3051" w:type="dxa"/>
            <w:vAlign w:val="top"/>
          </w:tcPr>
          <w:p>
            <w:pPr>
              <w:pStyle w:val="1297"/>
              <w:pBdr/>
              <w:spacing/>
              <w:ind/>
              <w:rPr/>
            </w:pPr>
            <w:r>
              <w:t xml:space="preserve">Zhu Xi, mature Neo-Confucian synthesis</w:t>
            </w:r>
            <w:r/>
          </w:p>
        </w:tc>
        <w:tc>
          <w:tcPr>
            <w:shd w:val="clear" w:color="auto" w:fill="f7f9fa"/>
            <w:tcBorders/>
            <w:tcMar>
              <w:left w:w="70" w:type="dxa"/>
              <w:top w:w="60" w:type="dxa"/>
              <w:right w:w="70" w:type="dxa"/>
              <w:bottom w:w="60" w:type="dxa"/>
            </w:tcMar>
            <w:tcW w:w="3661" w:type="dxa"/>
            <w:vAlign w:val="top"/>
          </w:tcPr>
          <w:p>
            <w:pPr>
              <w:pStyle w:val="1297"/>
              <w:pBdr/>
              <w:spacing/>
              <w:ind/>
              <w:rPr/>
            </w:pPr>
            <w:r>
              <w:t xml:space="preserve">12th c.; China; Classical Chinese; Song Neo-Confucian</w:t>
            </w:r>
            <w:r/>
          </w:p>
        </w:tc>
        <w:tc>
          <w:tcPr>
            <w:shd w:val="clear" w:color="auto" w:fill="f7f9fa"/>
            <w:tcBorders/>
            <w:tcMar>
              <w:left w:w="70" w:type="dxa"/>
              <w:top w:w="60" w:type="dxa"/>
              <w:right w:w="70" w:type="dxa"/>
              <w:bottom w:w="60" w:type="dxa"/>
            </w:tcMar>
            <w:tcW w:w="3509" w:type="dxa"/>
            <w:vAlign w:val="top"/>
          </w:tcPr>
          <w:p>
            <w:pPr>
              <w:pStyle w:val="1297"/>
              <w:pBdr/>
              <w:spacing/>
              <w:ind/>
              <w:rPr/>
            </w:pPr>
            <w:r>
              <w:t xml:space="preserve">Textual; commentaries/Recorded Sayings; specialist scholarship</w:t>
            </w:r>
            <w:r/>
          </w:p>
        </w:tc>
        <w:tc>
          <w:tcPr>
            <w:shd w:val="clear" w:color="auto" w:fill="f7f9fa"/>
            <w:tcBorders/>
            <w:tcMar>
              <w:left w:w="70" w:type="dxa"/>
              <w:top w:w="60" w:type="dxa"/>
              <w:right w:w="70" w:type="dxa"/>
              <w:bottom w:w="60" w:type="dxa"/>
            </w:tcMar>
            <w:tcW w:w="3966" w:type="dxa"/>
            <w:vAlign w:val="top"/>
          </w:tcPr>
          <w:p>
            <w:pPr>
              <w:pStyle w:val="1297"/>
              <w:pBdr/>
              <w:spacing/>
              <w:ind/>
              <w:rPr/>
            </w:pPr>
            <w:r>
              <w:t xml:space="preserve">lǐ/qì patterned world; moral cultivation and investigation Strong domains: D1 D3 D7 D8 D12 D14 D15</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7</w:t>
            </w:r>
            <w:r/>
          </w:p>
        </w:tc>
        <w:tc>
          <w:tcPr>
            <w:tcBorders/>
            <w:tcMar>
              <w:left w:w="70" w:type="dxa"/>
              <w:top w:w="60" w:type="dxa"/>
              <w:right w:w="70" w:type="dxa"/>
              <w:bottom w:w="60" w:type="dxa"/>
            </w:tcMar>
            <w:tcW w:w="3051" w:type="dxa"/>
            <w:vAlign w:val="top"/>
          </w:tcPr>
          <w:p>
            <w:pPr>
              <w:pStyle w:val="1297"/>
              <w:pBdr/>
              <w:spacing/>
              <w:ind/>
              <w:rPr/>
            </w:pPr>
            <w:r>
              <w:t xml:space="preserve">Ibn ʿArabī on divine self-disclosure</w:t>
            </w:r>
            <w:r/>
          </w:p>
        </w:tc>
        <w:tc>
          <w:tcPr>
            <w:tcBorders/>
            <w:tcMar>
              <w:left w:w="70" w:type="dxa"/>
              <w:top w:w="60" w:type="dxa"/>
              <w:right w:w="70" w:type="dxa"/>
              <w:bottom w:w="60" w:type="dxa"/>
            </w:tcMar>
            <w:tcW w:w="3661" w:type="dxa"/>
            <w:vAlign w:val="top"/>
          </w:tcPr>
          <w:p>
            <w:pPr>
              <w:pStyle w:val="1297"/>
              <w:pBdr/>
              <w:spacing/>
              <w:ind/>
              <w:rPr/>
            </w:pPr>
            <w:r>
              <w:t xml:space="preserve">12th–13th c.; Andalusia/Middle East; Arabic; Sufi/Islamic philosophical-mystical</w:t>
            </w:r>
            <w:r/>
          </w:p>
        </w:tc>
        <w:tc>
          <w:tcPr>
            <w:tcBorders/>
            <w:tcMar>
              <w:left w:w="70" w:type="dxa"/>
              <w:top w:w="60" w:type="dxa"/>
              <w:right w:w="70" w:type="dxa"/>
              <w:bottom w:w="60" w:type="dxa"/>
            </w:tcMar>
            <w:tcW w:w="3509" w:type="dxa"/>
            <w:vAlign w:val="top"/>
          </w:tcPr>
          <w:p>
            <w:pPr>
              <w:pStyle w:val="1297"/>
              <w:pBdr/>
              <w:spacing/>
              <w:ind/>
              <w:rPr/>
            </w:pPr>
            <w:r>
              <w:t xml:space="preserve">Textual; Fuṣūṣ, Futūḥāt; Chittick and specialist scholarship</w:t>
            </w:r>
            <w:r/>
          </w:p>
        </w:tc>
        <w:tc>
          <w:tcPr>
            <w:tcBorders/>
            <w:tcMar>
              <w:left w:w="70" w:type="dxa"/>
              <w:top w:w="60" w:type="dxa"/>
              <w:right w:w="70" w:type="dxa"/>
              <w:bottom w:w="60" w:type="dxa"/>
            </w:tcMar>
            <w:tcW w:w="3966" w:type="dxa"/>
            <w:vAlign w:val="top"/>
          </w:tcPr>
          <w:p>
            <w:pPr>
              <w:pStyle w:val="1297"/>
              <w:pBdr/>
              <w:spacing/>
              <w:ind/>
              <w:rPr/>
            </w:pPr>
            <w:r>
              <w:t xml:space="preserve">Divine self-disclosure, imaginal differentiation, realization Strong domains: D1 D2 D5 D7 D12 D14 D15</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8</w:t>
            </w:r>
            <w:r/>
          </w:p>
        </w:tc>
        <w:tc>
          <w:tcPr>
            <w:shd w:val="clear" w:color="auto" w:fill="f7f9fa"/>
            <w:tcBorders/>
            <w:tcMar>
              <w:left w:w="70" w:type="dxa"/>
              <w:top w:w="60" w:type="dxa"/>
              <w:right w:w="70" w:type="dxa"/>
              <w:bottom w:w="60" w:type="dxa"/>
            </w:tcMar>
            <w:tcW w:w="3051" w:type="dxa"/>
            <w:vAlign w:val="top"/>
          </w:tcPr>
          <w:p>
            <w:pPr>
              <w:pStyle w:val="1297"/>
              <w:pBdr/>
              <w:spacing/>
              <w:ind/>
              <w:rPr/>
            </w:pPr>
            <w:r>
              <w:t xml:space="preserve">Source-bounded Ifá position</w:t>
            </w:r>
            <w:r/>
          </w:p>
        </w:tc>
        <w:tc>
          <w:tcPr>
            <w:shd w:val="clear" w:color="auto" w:fill="f7f9fa"/>
            <w:tcBorders/>
            <w:tcMar>
              <w:left w:w="70" w:type="dxa"/>
              <w:top w:w="60" w:type="dxa"/>
              <w:right w:w="70" w:type="dxa"/>
              <w:bottom w:w="60" w:type="dxa"/>
            </w:tcMar>
            <w:tcW w:w="3661" w:type="dxa"/>
            <w:vAlign w:val="top"/>
          </w:tcPr>
          <w:p>
            <w:pPr>
              <w:pStyle w:val="1297"/>
              <w:pBdr/>
              <w:spacing/>
              <w:ind/>
              <w:rPr/>
            </w:pPr>
            <w:r>
              <w:t xml:space="preserve">20th c. documentation of older living corpus; Yorùbá regions; Yorùbá; Ifá divinatory/religious-philosophical complex</w:t>
            </w:r>
            <w:r/>
          </w:p>
        </w:tc>
        <w:tc>
          <w:tcPr>
            <w:shd w:val="clear" w:color="auto" w:fill="f7f9fa"/>
            <w:tcBorders/>
            <w:tcMar>
              <w:left w:w="70" w:type="dxa"/>
              <w:top w:w="60" w:type="dxa"/>
              <w:right w:w="70" w:type="dxa"/>
              <w:bottom w:w="60" w:type="dxa"/>
            </w:tcMar>
            <w:tcW w:w="3509" w:type="dxa"/>
            <w:vAlign w:val="top"/>
          </w:tcPr>
          <w:p>
            <w:pPr>
              <w:pStyle w:val="1297"/>
              <w:pBdr/>
              <w:spacing/>
              <w:ind/>
              <w:rPr/>
            </w:pPr>
            <w:r>
              <w:t xml:space="preserve">Source-community scholarship + UNESCO + oral/performance evidence; Abímbọ́lá anchors</w:t>
            </w:r>
            <w:r/>
          </w:p>
        </w:tc>
        <w:tc>
          <w:tcPr>
            <w:shd w:val="clear" w:color="auto" w:fill="f7f9fa"/>
            <w:tcBorders/>
            <w:tcMar>
              <w:left w:w="70" w:type="dxa"/>
              <w:top w:w="60" w:type="dxa"/>
              <w:right w:w="70" w:type="dxa"/>
              <w:bottom w:w="60" w:type="dxa"/>
            </w:tcMar>
            <w:tcW w:w="3966" w:type="dxa"/>
            <w:vAlign w:val="top"/>
          </w:tcPr>
          <w:p>
            <w:pPr>
              <w:pStyle w:val="1297"/>
              <w:pBdr/>
              <w:spacing/>
              <w:ind/>
              <w:rPr/>
            </w:pPr>
            <w:r>
              <w:t xml:space="preserve">Performed/divinatory epistemology; destiny, agency, ritual adjustment Strong domains: D2 D7 D10–12 D15</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9</w:t>
            </w:r>
            <w:r/>
          </w:p>
        </w:tc>
        <w:tc>
          <w:tcPr>
            <w:tcBorders/>
            <w:tcMar>
              <w:left w:w="70" w:type="dxa"/>
              <w:top w:w="60" w:type="dxa"/>
              <w:right w:w="70" w:type="dxa"/>
              <w:bottom w:w="60" w:type="dxa"/>
            </w:tcMar>
            <w:tcW w:w="3051" w:type="dxa"/>
            <w:vAlign w:val="top"/>
          </w:tcPr>
          <w:p>
            <w:pPr>
              <w:pStyle w:val="1297"/>
              <w:pBdr/>
              <w:spacing/>
              <w:ind/>
              <w:rPr/>
            </w:pPr>
            <w:r>
              <w:t xml:space="preserve">Achuar relational ontology as Descola reconstruction</w:t>
            </w:r>
            <w:r/>
          </w:p>
        </w:tc>
        <w:tc>
          <w:tcPr>
            <w:tcBorders/>
            <w:tcMar>
              <w:left w:w="70" w:type="dxa"/>
              <w:top w:w="60" w:type="dxa"/>
              <w:right w:w="70" w:type="dxa"/>
              <w:bottom w:w="60" w:type="dxa"/>
            </w:tcMar>
            <w:tcW w:w="3661" w:type="dxa"/>
            <w:vAlign w:val="top"/>
          </w:tcPr>
          <w:p>
            <w:pPr>
              <w:pStyle w:val="1297"/>
              <w:pBdr/>
              <w:spacing/>
              <w:ind/>
              <w:rPr/>
            </w:pPr>
            <w:r>
              <w:t xml:space="preserve">late 20th c. ethnographic reconstruction; Amazonia; Achuar/Jivaroan languages + French ethnography; Ethnographic/local ontology</w:t>
            </w:r>
            <w:r/>
          </w:p>
        </w:tc>
        <w:tc>
          <w:tcPr>
            <w:tcBorders/>
            <w:tcMar>
              <w:left w:w="70" w:type="dxa"/>
              <w:top w:w="60" w:type="dxa"/>
              <w:right w:w="70" w:type="dxa"/>
              <w:bottom w:w="60" w:type="dxa"/>
            </w:tcMar>
            <w:tcW w:w="3509" w:type="dxa"/>
            <w:vAlign w:val="top"/>
          </w:tcPr>
          <w:p>
            <w:pPr>
              <w:pStyle w:val="1297"/>
              <w:pBdr/>
              <w:spacing/>
              <w:ind/>
              <w:rPr/>
            </w:pPr>
            <w:r>
              <w:t xml:space="preserve">Ethnographic; Descola; requires direct/community supplementation</w:t>
            </w:r>
            <w:r/>
          </w:p>
        </w:tc>
        <w:tc>
          <w:tcPr>
            <w:tcBorders/>
            <w:tcMar>
              <w:left w:w="70" w:type="dxa"/>
              <w:top w:w="60" w:type="dxa"/>
              <w:right w:w="70" w:type="dxa"/>
              <w:bottom w:w="60" w:type="dxa"/>
            </w:tcMar>
            <w:tcW w:w="3966" w:type="dxa"/>
            <w:vAlign w:val="top"/>
          </w:tcPr>
          <w:p>
            <w:pPr>
              <w:pStyle w:val="1297"/>
              <w:pBdr/>
              <w:spacing/>
              <w:ind/>
              <w:rPr/>
            </w:pPr>
            <w:r>
              <w:t xml:space="preserve">Distributed interiority/personhood and relational world partitioning Strong domains: D3 D6 D11 D15</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10</w:t>
            </w:r>
            <w:r/>
          </w:p>
        </w:tc>
        <w:tc>
          <w:tcPr>
            <w:shd w:val="clear" w:color="auto" w:fill="f7f9fa"/>
            <w:tcBorders/>
            <w:tcMar>
              <w:left w:w="70" w:type="dxa"/>
              <w:top w:w="60" w:type="dxa"/>
              <w:right w:w="70" w:type="dxa"/>
              <w:bottom w:w="60" w:type="dxa"/>
            </w:tcMar>
            <w:tcW w:w="3051" w:type="dxa"/>
            <w:vAlign w:val="top"/>
          </w:tcPr>
          <w:p>
            <w:pPr>
              <w:pStyle w:val="1297"/>
              <w:pBdr/>
              <w:spacing/>
              <w:ind/>
              <w:rPr/>
            </w:pPr>
            <w:r>
              <w:t xml:space="preserve">Sartrean existentialism, Being and Nothingness-centered</w:t>
            </w:r>
            <w:r/>
          </w:p>
        </w:tc>
        <w:tc>
          <w:tcPr>
            <w:shd w:val="clear" w:color="auto" w:fill="f7f9fa"/>
            <w:tcBorders/>
            <w:tcMar>
              <w:left w:w="70" w:type="dxa"/>
              <w:top w:w="60" w:type="dxa"/>
              <w:right w:w="70" w:type="dxa"/>
              <w:bottom w:w="60" w:type="dxa"/>
            </w:tcMar>
            <w:tcW w:w="3661" w:type="dxa"/>
            <w:vAlign w:val="top"/>
          </w:tcPr>
          <w:p>
            <w:pPr>
              <w:pStyle w:val="1297"/>
              <w:pBdr/>
              <w:spacing/>
              <w:ind/>
              <w:rPr/>
            </w:pPr>
            <w:r>
              <w:t xml:space="preserve">20th c.; France; French; Existential phenomenology</w:t>
            </w:r>
            <w:r/>
          </w:p>
        </w:tc>
        <w:tc>
          <w:tcPr>
            <w:shd w:val="clear" w:color="auto" w:fill="f7f9fa"/>
            <w:tcBorders/>
            <w:tcMar>
              <w:left w:w="70" w:type="dxa"/>
              <w:top w:w="60" w:type="dxa"/>
              <w:right w:w="70" w:type="dxa"/>
              <w:bottom w:w="60" w:type="dxa"/>
            </w:tcMar>
            <w:tcW w:w="3509" w:type="dxa"/>
            <w:vAlign w:val="top"/>
          </w:tcPr>
          <w:p>
            <w:pPr>
              <w:pStyle w:val="1297"/>
              <w:pBdr/>
              <w:spacing/>
              <w:ind/>
              <w:rPr/>
            </w:pPr>
            <w:r>
              <w:t xml:space="preserve">Textual; L’Être et le néant; specialist scholarship</w:t>
            </w:r>
            <w:r/>
          </w:p>
        </w:tc>
        <w:tc>
          <w:tcPr>
            <w:shd w:val="clear" w:color="auto" w:fill="f7f9fa"/>
            <w:tcBorders/>
            <w:tcMar>
              <w:left w:w="70" w:type="dxa"/>
              <w:top w:w="60" w:type="dxa"/>
              <w:right w:w="70" w:type="dxa"/>
              <w:bottom w:w="60" w:type="dxa"/>
            </w:tcMar>
            <w:tcW w:w="3966" w:type="dxa"/>
            <w:vAlign w:val="top"/>
          </w:tcPr>
          <w:p>
            <w:pPr>
              <w:pStyle w:val="1297"/>
              <w:pBdr/>
              <w:spacing/>
              <w:ind/>
              <w:rPr/>
            </w:pPr>
            <w:r>
              <w:t xml:space="preserve">Consciousness as nothingness; radical freedom; bad faith; no given telos Strong domains: D5 D6 D9 D11 D14 D15</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11</w:t>
            </w:r>
            <w:r/>
          </w:p>
        </w:tc>
        <w:tc>
          <w:tcPr>
            <w:tcBorders/>
            <w:tcMar>
              <w:left w:w="70" w:type="dxa"/>
              <w:top w:w="60" w:type="dxa"/>
              <w:right w:w="70" w:type="dxa"/>
              <w:bottom w:w="60" w:type="dxa"/>
            </w:tcMar>
            <w:tcW w:w="3051" w:type="dxa"/>
            <w:vAlign w:val="top"/>
          </w:tcPr>
          <w:p>
            <w:pPr>
              <w:pStyle w:val="1297"/>
              <w:pBdr/>
              <w:spacing/>
              <w:ind/>
              <w:rPr/>
            </w:pPr>
            <w:r>
              <w:t xml:space="preserve">Papineau-style contemporary physicalism</w:t>
            </w:r>
            <w:r/>
          </w:p>
        </w:tc>
        <w:tc>
          <w:tcPr>
            <w:tcBorders/>
            <w:tcMar>
              <w:left w:w="70" w:type="dxa"/>
              <w:top w:w="60" w:type="dxa"/>
              <w:right w:w="70" w:type="dxa"/>
              <w:bottom w:w="60" w:type="dxa"/>
            </w:tcMar>
            <w:tcW w:w="3661" w:type="dxa"/>
            <w:vAlign w:val="top"/>
          </w:tcPr>
          <w:p>
            <w:pPr>
              <w:pStyle w:val="1297"/>
              <w:pBdr/>
              <w:spacing/>
              <w:ind/>
              <w:rPr/>
            </w:pPr>
            <w:r>
              <w:t xml:space="preserve">late 20th–21st c.; Anglophone; English; Analytic metaphysics/philosophy of mind</w:t>
            </w:r>
            <w:r/>
          </w:p>
        </w:tc>
        <w:tc>
          <w:tcPr>
            <w:tcBorders/>
            <w:tcMar>
              <w:left w:w="70" w:type="dxa"/>
              <w:top w:w="60" w:type="dxa"/>
              <w:right w:w="70" w:type="dxa"/>
              <w:bottom w:w="60" w:type="dxa"/>
            </w:tcMar>
            <w:tcW w:w="3509" w:type="dxa"/>
            <w:vAlign w:val="top"/>
          </w:tcPr>
          <w:p>
            <w:pPr>
              <w:pStyle w:val="1297"/>
              <w:pBdr/>
              <w:spacing/>
              <w:ind/>
              <w:rPr/>
            </w:pPr>
            <w:r>
              <w:t xml:space="preserve">Textual analytic; Papineau + physicalism literature [E36]</w:t>
            </w:r>
            <w:r/>
          </w:p>
        </w:tc>
        <w:tc>
          <w:tcPr>
            <w:tcBorders/>
            <w:tcMar>
              <w:left w:w="70" w:type="dxa"/>
              <w:top w:w="60" w:type="dxa"/>
              <w:right w:w="70" w:type="dxa"/>
              <w:bottom w:w="60" w:type="dxa"/>
            </w:tcMar>
            <w:tcW w:w="3966" w:type="dxa"/>
            <w:vAlign w:val="top"/>
          </w:tcPr>
          <w:p>
            <w:pPr>
              <w:pStyle w:val="1297"/>
              <w:pBdr/>
              <w:spacing/>
              <w:ind/>
              <w:rPr/>
            </w:pPr>
            <w:r>
              <w:t xml:space="preserve">Physical causal closure; consciousness physically realized/identified; many domains left open Strong domains: D1 D5 D10</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12</w:t>
            </w:r>
            <w:r/>
          </w:p>
        </w:tc>
        <w:tc>
          <w:tcPr>
            <w:shd w:val="clear" w:color="auto" w:fill="f7f9fa"/>
            <w:tcBorders/>
            <w:tcMar>
              <w:left w:w="70" w:type="dxa"/>
              <w:top w:w="60" w:type="dxa"/>
              <w:right w:w="70" w:type="dxa"/>
              <w:bottom w:w="60" w:type="dxa"/>
            </w:tcMar>
            <w:tcW w:w="3051" w:type="dxa"/>
            <w:vAlign w:val="top"/>
          </w:tcPr>
          <w:p>
            <w:pPr>
              <w:pStyle w:val="1297"/>
              <w:pBdr/>
              <w:spacing/>
              <w:ind/>
              <w:rPr/>
            </w:pPr>
            <w:r>
              <w:t xml:space="preserve">Constitutive micropsychism</w:t>
            </w:r>
            <w:r/>
          </w:p>
        </w:tc>
        <w:tc>
          <w:tcPr>
            <w:shd w:val="clear" w:color="auto" w:fill="f7f9fa"/>
            <w:tcBorders/>
            <w:tcMar>
              <w:left w:w="70" w:type="dxa"/>
              <w:top w:w="60" w:type="dxa"/>
              <w:right w:w="70" w:type="dxa"/>
              <w:bottom w:w="60" w:type="dxa"/>
            </w:tcMar>
            <w:tcW w:w="3661" w:type="dxa"/>
            <w:vAlign w:val="top"/>
          </w:tcPr>
          <w:p>
            <w:pPr>
              <w:pStyle w:val="1297"/>
              <w:pBdr/>
              <w:spacing/>
              <w:ind/>
              <w:rPr/>
            </w:pPr>
            <w:r>
              <w:t xml:space="preserve">21st c.; Anglophone/international; English; Analytic panpsychism</w:t>
            </w:r>
            <w:r/>
          </w:p>
        </w:tc>
        <w:tc>
          <w:tcPr>
            <w:shd w:val="clear" w:color="auto" w:fill="f7f9fa"/>
            <w:tcBorders/>
            <w:tcMar>
              <w:left w:w="70" w:type="dxa"/>
              <w:top w:w="60" w:type="dxa"/>
              <w:right w:w="70" w:type="dxa"/>
              <w:bottom w:w="60" w:type="dxa"/>
            </w:tcMar>
            <w:tcW w:w="3509" w:type="dxa"/>
            <w:vAlign w:val="top"/>
          </w:tcPr>
          <w:p>
            <w:pPr>
              <w:pStyle w:val="1297"/>
              <w:pBdr/>
              <w:spacing/>
              <w:ind/>
              <w:rPr/>
            </w:pPr>
            <w:r>
              <w:t xml:space="preserve">Textual analytic; panpsychism literature [E37]</w:t>
            </w:r>
            <w:r/>
          </w:p>
        </w:tc>
        <w:tc>
          <w:tcPr>
            <w:shd w:val="clear" w:color="auto" w:fill="f7f9fa"/>
            <w:tcBorders/>
            <w:tcMar>
              <w:left w:w="70" w:type="dxa"/>
              <w:top w:w="60" w:type="dxa"/>
              <w:right w:w="70" w:type="dxa"/>
              <w:bottom w:w="60" w:type="dxa"/>
            </w:tcMar>
            <w:tcW w:w="3966" w:type="dxa"/>
            <w:vAlign w:val="top"/>
          </w:tcPr>
          <w:p>
            <w:pPr>
              <w:pStyle w:val="1297"/>
              <w:pBdr/>
              <w:spacing/>
              <w:ind/>
              <w:rPr/>
            </w:pPr>
            <w:r>
              <w:t xml:space="preserve">Fundamental microphenomenal properties constitute macroconsciousness Strong domains: D1 D5 D10</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13</w:t>
            </w:r>
            <w:r/>
          </w:p>
        </w:tc>
        <w:tc>
          <w:tcPr>
            <w:tcBorders/>
            <w:tcMar>
              <w:left w:w="70" w:type="dxa"/>
              <w:top w:w="60" w:type="dxa"/>
              <w:right w:w="70" w:type="dxa"/>
              <w:bottom w:w="60" w:type="dxa"/>
            </w:tcMar>
            <w:tcW w:w="3051" w:type="dxa"/>
            <w:vAlign w:val="top"/>
          </w:tcPr>
          <w:p>
            <w:pPr>
              <w:pStyle w:val="1297"/>
              <w:pBdr/>
              <w:spacing/>
              <w:ind/>
              <w:rPr/>
            </w:pPr>
            <w:r>
              <w:t xml:space="preserve">Īśvarakṛṣṇa, Sāṃkhyakārikā classical Sāṃkhya</w:t>
            </w:r>
            <w:r/>
          </w:p>
        </w:tc>
        <w:tc>
          <w:tcPr>
            <w:tcBorders/>
            <w:tcMar>
              <w:left w:w="70" w:type="dxa"/>
              <w:top w:w="60" w:type="dxa"/>
              <w:right w:w="70" w:type="dxa"/>
              <w:bottom w:w="60" w:type="dxa"/>
            </w:tcMar>
            <w:tcW w:w="3661" w:type="dxa"/>
            <w:vAlign w:val="top"/>
          </w:tcPr>
          <w:p>
            <w:pPr>
              <w:pStyle w:val="1297"/>
              <w:pBdr/>
              <w:spacing/>
              <w:ind/>
              <w:rPr/>
            </w:pPr>
            <w:r>
              <w:t xml:space="preserve">c. 4th c. CE; South Asia; Sanskrit; Classical Sāṃkhya</w:t>
            </w:r>
            <w:r/>
          </w:p>
        </w:tc>
        <w:tc>
          <w:tcPr>
            <w:tcBorders/>
            <w:tcMar>
              <w:left w:w="70" w:type="dxa"/>
              <w:top w:w="60" w:type="dxa"/>
              <w:right w:w="70" w:type="dxa"/>
              <w:bottom w:w="60" w:type="dxa"/>
            </w:tcMar>
            <w:tcW w:w="3509" w:type="dxa"/>
            <w:vAlign w:val="top"/>
          </w:tcPr>
          <w:p>
            <w:pPr>
              <w:pStyle w:val="1297"/>
              <w:pBdr/>
              <w:spacing/>
              <w:ind/>
              <w:rPr/>
            </w:pPr>
            <w:r>
              <w:t xml:space="preserve">Textual; Sāṃkhyakārikā + commentarial/specialist evidence [E24]</w:t>
            </w:r>
            <w:r/>
          </w:p>
        </w:tc>
        <w:tc>
          <w:tcPr>
            <w:tcBorders/>
            <w:tcMar>
              <w:left w:w="70" w:type="dxa"/>
              <w:top w:w="60" w:type="dxa"/>
              <w:right w:w="70" w:type="dxa"/>
              <w:bottom w:w="60" w:type="dxa"/>
            </w:tcMar>
            <w:tcW w:w="3966" w:type="dxa"/>
            <w:vAlign w:val="top"/>
          </w:tcPr>
          <w:p>
            <w:pPr>
              <w:pStyle w:val="1297"/>
              <w:pBdr/>
              <w:spacing/>
              <w:ind/>
              <w:rPr/>
            </w:pPr>
            <w:r>
              <w:t xml:space="preserve">Dual principles: prakṛti and plural puruṣas; liberation through discriminative knowledge Strong domains: D1 D4–6 D9 D10 D12 D14</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14</w:t>
            </w:r>
            <w:r/>
          </w:p>
        </w:tc>
        <w:tc>
          <w:tcPr>
            <w:shd w:val="clear" w:color="auto" w:fill="f7f9fa"/>
            <w:tcBorders/>
            <w:tcMar>
              <w:left w:w="70" w:type="dxa"/>
              <w:top w:w="60" w:type="dxa"/>
              <w:right w:w="70" w:type="dxa"/>
              <w:bottom w:w="60" w:type="dxa"/>
            </w:tcMar>
            <w:tcW w:w="3051" w:type="dxa"/>
            <w:vAlign w:val="top"/>
          </w:tcPr>
          <w:p>
            <w:pPr>
              <w:pStyle w:val="1297"/>
              <w:pBdr/>
              <w:spacing/>
              <w:ind/>
              <w:rPr/>
            </w:pPr>
            <w:r>
              <w:t xml:space="preserve">Tattvārthasūtra-centered Jaina synthesis</w:t>
            </w:r>
            <w:r/>
          </w:p>
        </w:tc>
        <w:tc>
          <w:tcPr>
            <w:shd w:val="clear" w:color="auto" w:fill="f7f9fa"/>
            <w:tcBorders/>
            <w:tcMar>
              <w:left w:w="70" w:type="dxa"/>
              <w:top w:w="60" w:type="dxa"/>
              <w:right w:w="70" w:type="dxa"/>
              <w:bottom w:w="60" w:type="dxa"/>
            </w:tcMar>
            <w:tcW w:w="3661" w:type="dxa"/>
            <w:vAlign w:val="top"/>
          </w:tcPr>
          <w:p>
            <w:pPr>
              <w:pStyle w:val="1297"/>
              <w:pBdr/>
              <w:spacing/>
              <w:ind/>
              <w:rPr/>
            </w:pPr>
            <w:r>
              <w:t xml:space="preserve">c. 2nd–5th c. CE, bounded textual synthesis; South Asia; Sanskrit/Prakrit contexts; Jaina philosophy</w:t>
            </w:r>
            <w:r/>
          </w:p>
        </w:tc>
        <w:tc>
          <w:tcPr>
            <w:shd w:val="clear" w:color="auto" w:fill="f7f9fa"/>
            <w:tcBorders/>
            <w:tcMar>
              <w:left w:w="70" w:type="dxa"/>
              <w:top w:w="60" w:type="dxa"/>
              <w:right w:w="70" w:type="dxa"/>
              <w:bottom w:w="60" w:type="dxa"/>
            </w:tcMar>
            <w:tcW w:w="3509" w:type="dxa"/>
            <w:vAlign w:val="top"/>
          </w:tcPr>
          <w:p>
            <w:pPr>
              <w:pStyle w:val="1297"/>
              <w:pBdr/>
              <w:spacing/>
              <w:ind/>
              <w:rPr/>
            </w:pPr>
            <w:r>
              <w:t xml:space="preserve">Textual; Tattvārthasūtra + specialist scholarship [E22]</w:t>
            </w:r>
            <w:r/>
          </w:p>
        </w:tc>
        <w:tc>
          <w:tcPr>
            <w:shd w:val="clear" w:color="auto" w:fill="f7f9fa"/>
            <w:tcBorders/>
            <w:tcMar>
              <w:left w:w="70" w:type="dxa"/>
              <w:top w:w="60" w:type="dxa"/>
              <w:right w:w="70" w:type="dxa"/>
              <w:bottom w:w="60" w:type="dxa"/>
            </w:tcMar>
            <w:tcW w:w="3966" w:type="dxa"/>
            <w:vAlign w:val="top"/>
          </w:tcPr>
          <w:p>
            <w:pPr>
              <w:pStyle w:val="1297"/>
              <w:pBdr/>
              <w:spacing/>
              <w:ind/>
              <w:rPr/>
            </w:pPr>
            <w:r>
              <w:t xml:space="preserve">Plural jīvas, karmic materiality, many-sided epistemology, liberation Strong domains: D1 D3–7 D9–14</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15</w:t>
            </w:r>
            <w:r/>
          </w:p>
        </w:tc>
        <w:tc>
          <w:tcPr>
            <w:tcBorders/>
            <w:tcMar>
              <w:left w:w="70" w:type="dxa"/>
              <w:top w:w="60" w:type="dxa"/>
              <w:right w:w="70" w:type="dxa"/>
              <w:bottom w:w="60" w:type="dxa"/>
            </w:tcMar>
            <w:tcW w:w="3051" w:type="dxa"/>
            <w:vAlign w:val="top"/>
          </w:tcPr>
          <w:p>
            <w:pPr>
              <w:pStyle w:val="1297"/>
              <w:pBdr/>
              <w:spacing/>
              <w:ind/>
              <w:rPr/>
            </w:pPr>
            <w:r>
              <w:t xml:space="preserve">Vasubandhu, Viṃśikā/Triṃśikā Yogācāra position</w:t>
            </w:r>
            <w:r/>
          </w:p>
        </w:tc>
        <w:tc>
          <w:tcPr>
            <w:tcBorders/>
            <w:tcMar>
              <w:left w:w="70" w:type="dxa"/>
              <w:top w:w="60" w:type="dxa"/>
              <w:right w:w="70" w:type="dxa"/>
              <w:bottom w:w="60" w:type="dxa"/>
            </w:tcMar>
            <w:tcW w:w="3661" w:type="dxa"/>
            <w:vAlign w:val="top"/>
          </w:tcPr>
          <w:p>
            <w:pPr>
              <w:pStyle w:val="1297"/>
              <w:pBdr/>
              <w:spacing/>
              <w:ind/>
              <w:rPr/>
            </w:pPr>
            <w:r>
              <w:t xml:space="preserve">4th–5th c. CE; South Asia; Sanskrit; Yogācāra Buddhist</w:t>
            </w:r>
            <w:r/>
          </w:p>
        </w:tc>
        <w:tc>
          <w:tcPr>
            <w:tcBorders/>
            <w:tcMar>
              <w:left w:w="70" w:type="dxa"/>
              <w:top w:w="60" w:type="dxa"/>
              <w:right w:w="70" w:type="dxa"/>
              <w:bottom w:w="60" w:type="dxa"/>
            </w:tcMar>
            <w:tcW w:w="3509" w:type="dxa"/>
            <w:vAlign w:val="top"/>
          </w:tcPr>
          <w:p>
            <w:pPr>
              <w:pStyle w:val="1297"/>
              <w:pBdr/>
              <w:spacing/>
              <w:ind/>
              <w:rPr/>
            </w:pPr>
            <w:r>
              <w:t xml:space="preserve">Textual; Twenty/Thirty Verses + specialist scholarship [E23]</w:t>
            </w:r>
            <w:r/>
          </w:p>
        </w:tc>
        <w:tc>
          <w:tcPr>
            <w:tcBorders/>
            <w:tcMar>
              <w:left w:w="70" w:type="dxa"/>
              <w:top w:w="60" w:type="dxa"/>
              <w:right w:w="70" w:type="dxa"/>
              <w:bottom w:w="60" w:type="dxa"/>
            </w:tcMar>
            <w:tcW w:w="3966" w:type="dxa"/>
            <w:vAlign w:val="top"/>
          </w:tcPr>
          <w:p>
            <w:pPr>
              <w:pStyle w:val="1297"/>
              <w:pBdr/>
              <w:spacing/>
              <w:ind/>
              <w:rPr/>
            </w:pPr>
            <w:r>
              <w:t xml:space="preserve">Experience/consciousness construction without permanent self; transformative cognition Strong domains: D5–7 D9 D12 D14</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16</w:t>
            </w:r>
            <w:r/>
          </w:p>
        </w:tc>
        <w:tc>
          <w:tcPr>
            <w:shd w:val="clear" w:color="auto" w:fill="f7f9fa"/>
            <w:tcBorders/>
            <w:tcMar>
              <w:left w:w="70" w:type="dxa"/>
              <w:top w:w="60" w:type="dxa"/>
              <w:right w:w="70" w:type="dxa"/>
              <w:bottom w:w="60" w:type="dxa"/>
            </w:tcMar>
            <w:tcW w:w="3051" w:type="dxa"/>
            <w:vAlign w:val="top"/>
          </w:tcPr>
          <w:p>
            <w:pPr>
              <w:pStyle w:val="1297"/>
              <w:pBdr/>
              <w:spacing/>
              <w:ind/>
              <w:rPr/>
            </w:pPr>
            <w:r>
              <w:t xml:space="preserve">Guru Nanak / early gurmat position</w:t>
            </w:r>
            <w:r/>
          </w:p>
        </w:tc>
        <w:tc>
          <w:tcPr>
            <w:shd w:val="clear" w:color="auto" w:fill="f7f9fa"/>
            <w:tcBorders/>
            <w:tcMar>
              <w:left w:w="70" w:type="dxa"/>
              <w:top w:w="60" w:type="dxa"/>
              <w:right w:w="70" w:type="dxa"/>
              <w:bottom w:w="60" w:type="dxa"/>
            </w:tcMar>
            <w:tcW w:w="3661" w:type="dxa"/>
            <w:vAlign w:val="top"/>
          </w:tcPr>
          <w:p>
            <w:pPr>
              <w:pStyle w:val="1297"/>
              <w:pBdr/>
              <w:spacing/>
              <w:ind/>
              <w:rPr/>
            </w:pPr>
            <w:r>
              <w:t xml:space="preserve">15th–16th c.; Punjab; early Punjabi/Sant-bhāṣā registers; Early Sikh/gurmat</w:t>
            </w:r>
            <w:r/>
          </w:p>
        </w:tc>
        <w:tc>
          <w:tcPr>
            <w:shd w:val="clear" w:color="auto" w:fill="f7f9fa"/>
            <w:tcBorders/>
            <w:tcMar>
              <w:left w:w="70" w:type="dxa"/>
              <w:top w:w="60" w:type="dxa"/>
              <w:right w:w="70" w:type="dxa"/>
              <w:bottom w:w="60" w:type="dxa"/>
            </w:tcMar>
            <w:tcW w:w="3509" w:type="dxa"/>
            <w:vAlign w:val="top"/>
          </w:tcPr>
          <w:p>
            <w:pPr>
              <w:pStyle w:val="1297"/>
              <w:pBdr/>
              <w:spacing/>
              <w:ind/>
              <w:rPr/>
            </w:pPr>
            <w:r>
              <w:t xml:space="preserve">Textual + sung/scriptural tradition; Guru Granth Sahib compositions; current specialist work [E21]</w:t>
            </w:r>
            <w:r/>
          </w:p>
        </w:tc>
        <w:tc>
          <w:tcPr>
            <w:shd w:val="clear" w:color="auto" w:fill="f7f9fa"/>
            <w:tcBorders/>
            <w:tcMar>
              <w:left w:w="70" w:type="dxa"/>
              <w:top w:w="60" w:type="dxa"/>
              <w:right w:w="70" w:type="dxa"/>
              <w:bottom w:w="60" w:type="dxa"/>
            </w:tcMar>
            <w:tcW w:w="3966" w:type="dxa"/>
            <w:vAlign w:val="top"/>
          </w:tcPr>
          <w:p>
            <w:pPr>
              <w:pStyle w:val="1297"/>
              <w:pBdr/>
              <w:spacing/>
              <w:ind/>
              <w:rPr/>
            </w:pPr>
            <w:r>
              <w:t xml:space="preserve">Ik Oankar, hukam, nām, embodied household life, liberation-in-relation Strong domains: D1 D7–9 D10–12 D14–15</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17</w:t>
            </w:r>
            <w:r/>
          </w:p>
        </w:tc>
        <w:tc>
          <w:tcPr>
            <w:tcBorders/>
            <w:tcMar>
              <w:left w:w="70" w:type="dxa"/>
              <w:top w:w="60" w:type="dxa"/>
              <w:right w:w="70" w:type="dxa"/>
              <w:bottom w:w="60" w:type="dxa"/>
            </w:tcMar>
            <w:tcW w:w="3051" w:type="dxa"/>
            <w:vAlign w:val="top"/>
          </w:tcPr>
          <w:p>
            <w:pPr>
              <w:pStyle w:val="1297"/>
              <w:pBdr/>
              <w:spacing/>
              <w:ind/>
              <w:rPr/>
            </w:pPr>
            <w:r>
              <w:t xml:space="preserve">Avicenna, mature metaphysical psychology</w:t>
            </w:r>
            <w:r/>
          </w:p>
        </w:tc>
        <w:tc>
          <w:tcPr>
            <w:tcBorders/>
            <w:tcMar>
              <w:left w:w="70" w:type="dxa"/>
              <w:top w:w="60" w:type="dxa"/>
              <w:right w:w="70" w:type="dxa"/>
              <w:bottom w:w="60" w:type="dxa"/>
            </w:tcMar>
            <w:tcW w:w="3661" w:type="dxa"/>
            <w:vAlign w:val="top"/>
          </w:tcPr>
          <w:p>
            <w:pPr>
              <w:pStyle w:val="1297"/>
              <w:pBdr/>
              <w:spacing/>
              <w:ind/>
              <w:rPr/>
            </w:pPr>
            <w:r>
              <w:t xml:space="preserve">10th–11th c.; Persianate/Islamic world; Arabic; Peripatetic Islamic philosophy</w:t>
            </w:r>
            <w:r/>
          </w:p>
        </w:tc>
        <w:tc>
          <w:tcPr>
            <w:tcBorders/>
            <w:tcMar>
              <w:left w:w="70" w:type="dxa"/>
              <w:top w:w="60" w:type="dxa"/>
              <w:right w:w="70" w:type="dxa"/>
              <w:bottom w:w="60" w:type="dxa"/>
            </w:tcMar>
            <w:tcW w:w="3509" w:type="dxa"/>
            <w:vAlign w:val="top"/>
          </w:tcPr>
          <w:p>
            <w:pPr>
              <w:pStyle w:val="1297"/>
              <w:pBdr/>
              <w:spacing/>
              <w:ind/>
              <w:rPr/>
            </w:pPr>
            <w:r>
              <w:t xml:space="preserve">Textual; al-Shifāʾ/Ilāhiyyāt, al-Najāt; specialist scholarship [E25]</w:t>
            </w:r>
            <w:r/>
          </w:p>
        </w:tc>
        <w:tc>
          <w:tcPr>
            <w:tcBorders/>
            <w:tcMar>
              <w:left w:w="70" w:type="dxa"/>
              <w:top w:w="60" w:type="dxa"/>
              <w:right w:w="70" w:type="dxa"/>
              <w:bottom w:w="60" w:type="dxa"/>
            </w:tcMar>
            <w:tcW w:w="3966" w:type="dxa"/>
            <w:vAlign w:val="top"/>
          </w:tcPr>
          <w:p>
            <w:pPr>
              <w:pStyle w:val="1297"/>
              <w:pBdr/>
              <w:spacing/>
              <w:ind/>
              <w:rPr/>
            </w:pPr>
            <w:r>
              <w:t xml:space="preserve">Necessary Existent, emanative causality, immaterial rational soul Strong domains: D1 D2 D4–7 D10 D13</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18</w:t>
            </w:r>
            <w:r/>
          </w:p>
        </w:tc>
        <w:tc>
          <w:tcPr>
            <w:shd w:val="clear" w:color="auto" w:fill="f7f9fa"/>
            <w:tcBorders/>
            <w:tcMar>
              <w:left w:w="70" w:type="dxa"/>
              <w:top w:w="60" w:type="dxa"/>
              <w:right w:w="70" w:type="dxa"/>
              <w:bottom w:w="60" w:type="dxa"/>
            </w:tcMar>
            <w:tcW w:w="3051" w:type="dxa"/>
            <w:vAlign w:val="top"/>
          </w:tcPr>
          <w:p>
            <w:pPr>
              <w:pStyle w:val="1297"/>
              <w:pBdr/>
              <w:spacing/>
              <w:ind/>
              <w:rPr/>
            </w:pPr>
            <w:r>
              <w:t xml:space="preserve">Maimonides, Guide-centered negative theology</w:t>
            </w:r>
            <w:r/>
          </w:p>
        </w:tc>
        <w:tc>
          <w:tcPr>
            <w:shd w:val="clear" w:color="auto" w:fill="f7f9fa"/>
            <w:tcBorders/>
            <w:tcMar>
              <w:left w:w="70" w:type="dxa"/>
              <w:top w:w="60" w:type="dxa"/>
              <w:right w:w="70" w:type="dxa"/>
              <w:bottom w:w="60" w:type="dxa"/>
            </w:tcMar>
            <w:tcW w:w="3661" w:type="dxa"/>
            <w:vAlign w:val="top"/>
          </w:tcPr>
          <w:p>
            <w:pPr>
              <w:pStyle w:val="1297"/>
              <w:pBdr/>
              <w:spacing/>
              <w:ind/>
              <w:rPr/>
            </w:pPr>
            <w:r>
              <w:t xml:space="preserve">12th c.; Egypt/Mediterranean Jewish world; Judeo-Arabic/Hebrew reception; Jewish philosophical theology</w:t>
            </w:r>
            <w:r/>
          </w:p>
        </w:tc>
        <w:tc>
          <w:tcPr>
            <w:shd w:val="clear" w:color="auto" w:fill="f7f9fa"/>
            <w:tcBorders/>
            <w:tcMar>
              <w:left w:w="70" w:type="dxa"/>
              <w:top w:w="60" w:type="dxa"/>
              <w:right w:w="70" w:type="dxa"/>
              <w:bottom w:w="60" w:type="dxa"/>
            </w:tcMar>
            <w:tcW w:w="3509" w:type="dxa"/>
            <w:vAlign w:val="top"/>
          </w:tcPr>
          <w:p>
            <w:pPr>
              <w:pStyle w:val="1297"/>
              <w:pBdr/>
              <w:spacing/>
              <w:ind/>
              <w:rPr/>
            </w:pPr>
            <w:r>
              <w:t xml:space="preserve">Textual; Guide of the Perplexed; specialist scholarship [E26]</w:t>
            </w:r>
            <w:r/>
          </w:p>
        </w:tc>
        <w:tc>
          <w:tcPr>
            <w:shd w:val="clear" w:color="auto" w:fill="f7f9fa"/>
            <w:tcBorders/>
            <w:tcMar>
              <w:left w:w="70" w:type="dxa"/>
              <w:top w:w="60" w:type="dxa"/>
              <w:right w:w="70" w:type="dxa"/>
              <w:bottom w:w="60" w:type="dxa"/>
            </w:tcMar>
            <w:tcW w:w="3966" w:type="dxa"/>
            <w:vAlign w:val="top"/>
          </w:tcPr>
          <w:p>
            <w:pPr>
              <w:pStyle w:val="1297"/>
              <w:pBdr/>
              <w:spacing/>
              <w:ind/>
              <w:rPr/>
            </w:pPr>
            <w:r>
              <w:t xml:space="preserve">Divine incorporeality/negative predication; law/intellect; creation question bounded carefully Strong domains: D1 D2 D7 D8 D10 D12 D14</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19</w:t>
            </w:r>
            <w:r/>
          </w:p>
        </w:tc>
        <w:tc>
          <w:tcPr>
            <w:tcBorders/>
            <w:tcMar>
              <w:left w:w="70" w:type="dxa"/>
              <w:top w:w="60" w:type="dxa"/>
              <w:right w:w="70" w:type="dxa"/>
              <w:bottom w:w="60" w:type="dxa"/>
            </w:tcMar>
            <w:tcW w:w="3051" w:type="dxa"/>
            <w:vAlign w:val="top"/>
          </w:tcPr>
          <w:p>
            <w:pPr>
              <w:pStyle w:val="1297"/>
              <w:pBdr/>
              <w:spacing/>
              <w:ind/>
              <w:rPr/>
            </w:pPr>
            <w:r>
              <w:t xml:space="preserve">Spinoza, Ethics-centered position</w:t>
            </w:r>
            <w:r/>
          </w:p>
        </w:tc>
        <w:tc>
          <w:tcPr>
            <w:tcBorders/>
            <w:tcMar>
              <w:left w:w="70" w:type="dxa"/>
              <w:top w:w="60" w:type="dxa"/>
              <w:right w:w="70" w:type="dxa"/>
              <w:bottom w:w="60" w:type="dxa"/>
            </w:tcMar>
            <w:tcW w:w="3661" w:type="dxa"/>
            <w:vAlign w:val="top"/>
          </w:tcPr>
          <w:p>
            <w:pPr>
              <w:pStyle w:val="1297"/>
              <w:pBdr/>
              <w:spacing/>
              <w:ind/>
              <w:rPr/>
            </w:pPr>
            <w:r>
              <w:t xml:space="preserve">17th c.; Dutch Republic; Latin; Early modern rationalism</w:t>
            </w:r>
            <w:r/>
          </w:p>
        </w:tc>
        <w:tc>
          <w:tcPr>
            <w:tcBorders/>
            <w:tcMar>
              <w:left w:w="70" w:type="dxa"/>
              <w:top w:w="60" w:type="dxa"/>
              <w:right w:w="70" w:type="dxa"/>
              <w:bottom w:w="60" w:type="dxa"/>
            </w:tcMar>
            <w:tcW w:w="3509" w:type="dxa"/>
            <w:vAlign w:val="top"/>
          </w:tcPr>
          <w:p>
            <w:pPr>
              <w:pStyle w:val="1297"/>
              <w:pBdr/>
              <w:spacing/>
              <w:ind/>
              <w:rPr/>
            </w:pPr>
            <w:r>
              <w:t xml:space="preserve">Textual; Ethics; specialist scholarship [E27]</w:t>
            </w:r>
            <w:r/>
          </w:p>
        </w:tc>
        <w:tc>
          <w:tcPr>
            <w:tcBorders/>
            <w:tcMar>
              <w:left w:w="70" w:type="dxa"/>
              <w:top w:w="60" w:type="dxa"/>
              <w:right w:w="70" w:type="dxa"/>
              <w:bottom w:w="60" w:type="dxa"/>
            </w:tcMar>
            <w:tcW w:w="3966" w:type="dxa"/>
            <w:vAlign w:val="top"/>
          </w:tcPr>
          <w:p>
            <w:pPr>
              <w:pStyle w:val="1297"/>
              <w:pBdr/>
              <w:spacing/>
              <w:ind/>
              <w:rPr/>
            </w:pPr>
            <w:r>
              <w:t xml:space="preserve">One substance, attributes/modes, necessitarianism, freedom as understanding Strong domains: D1 D5 D8 D10–12 D14–15</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20</w:t>
            </w:r>
            <w:r/>
          </w:p>
        </w:tc>
        <w:tc>
          <w:tcPr>
            <w:shd w:val="clear" w:color="auto" w:fill="f7f9fa"/>
            <w:tcBorders/>
            <w:tcMar>
              <w:left w:w="70" w:type="dxa"/>
              <w:top w:w="60" w:type="dxa"/>
              <w:right w:w="70" w:type="dxa"/>
              <w:bottom w:w="60" w:type="dxa"/>
            </w:tcMar>
            <w:tcW w:w="3051" w:type="dxa"/>
            <w:vAlign w:val="top"/>
          </w:tcPr>
          <w:p>
            <w:pPr>
              <w:pStyle w:val="1297"/>
              <w:pBdr/>
              <w:spacing/>
              <w:ind/>
              <w:rPr/>
            </w:pPr>
            <w:r>
              <w:t xml:space="preserve">Plotinus, Enneads-centered metaphysics</w:t>
            </w:r>
            <w:r/>
          </w:p>
        </w:tc>
        <w:tc>
          <w:tcPr>
            <w:shd w:val="clear" w:color="auto" w:fill="f7f9fa"/>
            <w:tcBorders/>
            <w:tcMar>
              <w:left w:w="70" w:type="dxa"/>
              <w:top w:w="60" w:type="dxa"/>
              <w:right w:w="70" w:type="dxa"/>
              <w:bottom w:w="60" w:type="dxa"/>
            </w:tcMar>
            <w:tcW w:w="3661" w:type="dxa"/>
            <w:vAlign w:val="top"/>
          </w:tcPr>
          <w:p>
            <w:pPr>
              <w:pStyle w:val="1297"/>
              <w:pBdr/>
              <w:spacing/>
              <w:ind/>
              <w:rPr/>
            </w:pPr>
            <w:r>
              <w:t xml:space="preserve">3rd c. CE; Roman Mediterranean; Greek; Neoplatonism</w:t>
            </w:r>
            <w:r/>
          </w:p>
        </w:tc>
        <w:tc>
          <w:tcPr>
            <w:shd w:val="clear" w:color="auto" w:fill="f7f9fa"/>
            <w:tcBorders/>
            <w:tcMar>
              <w:left w:w="70" w:type="dxa"/>
              <w:top w:w="60" w:type="dxa"/>
              <w:right w:w="70" w:type="dxa"/>
              <w:bottom w:w="60" w:type="dxa"/>
            </w:tcMar>
            <w:tcW w:w="3509" w:type="dxa"/>
            <w:vAlign w:val="top"/>
          </w:tcPr>
          <w:p>
            <w:pPr>
              <w:pStyle w:val="1297"/>
              <w:pBdr/>
              <w:spacing/>
              <w:ind/>
              <w:rPr/>
            </w:pPr>
            <w:r>
              <w:t xml:space="preserve">Textual; Enneads; critical translations/scholarship</w:t>
            </w:r>
            <w:r/>
          </w:p>
        </w:tc>
        <w:tc>
          <w:tcPr>
            <w:shd w:val="clear" w:color="auto" w:fill="f7f9fa"/>
            <w:tcBorders/>
            <w:tcMar>
              <w:left w:w="70" w:type="dxa"/>
              <w:top w:w="60" w:type="dxa"/>
              <w:right w:w="70" w:type="dxa"/>
              <w:bottom w:w="60" w:type="dxa"/>
            </w:tcMar>
            <w:tcW w:w="3966" w:type="dxa"/>
            <w:vAlign w:val="top"/>
          </w:tcPr>
          <w:p>
            <w:pPr>
              <w:pStyle w:val="1297"/>
              <w:pBdr/>
              <w:spacing/>
              <w:ind/>
              <w:rPr/>
            </w:pPr>
            <w:r>
              <w:t xml:space="preserve">The One, Intellect, Soul; procession and return Strong domains: D1 D2 D5 D12 D14</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21</w:t>
            </w:r>
            <w:r/>
          </w:p>
        </w:tc>
        <w:tc>
          <w:tcPr>
            <w:tcBorders/>
            <w:tcMar>
              <w:left w:w="70" w:type="dxa"/>
              <w:top w:w="60" w:type="dxa"/>
              <w:right w:w="70" w:type="dxa"/>
              <w:bottom w:w="60" w:type="dxa"/>
            </w:tcMar>
            <w:tcW w:w="3051" w:type="dxa"/>
            <w:vAlign w:val="top"/>
          </w:tcPr>
          <w:p>
            <w:pPr>
              <w:pStyle w:val="1297"/>
              <w:pBdr/>
              <w:spacing/>
              <w:ind/>
              <w:rPr/>
            </w:pPr>
            <w:r>
              <w:t xml:space="preserve">Descartes, Meditations/Passions mind-body position</w:t>
            </w:r>
            <w:r/>
          </w:p>
        </w:tc>
        <w:tc>
          <w:tcPr>
            <w:tcBorders/>
            <w:tcMar>
              <w:left w:w="70" w:type="dxa"/>
              <w:top w:w="60" w:type="dxa"/>
              <w:right w:w="70" w:type="dxa"/>
              <w:bottom w:w="60" w:type="dxa"/>
            </w:tcMar>
            <w:tcW w:w="3661" w:type="dxa"/>
            <w:vAlign w:val="top"/>
          </w:tcPr>
          <w:p>
            <w:pPr>
              <w:pStyle w:val="1297"/>
              <w:pBdr/>
              <w:spacing/>
              <w:ind/>
              <w:rPr/>
            </w:pPr>
            <w:r>
              <w:t xml:space="preserve">17th c.; France/Netherlands; Latin/French; Early modern philosophy</w:t>
            </w:r>
            <w:r/>
          </w:p>
        </w:tc>
        <w:tc>
          <w:tcPr>
            <w:tcBorders/>
            <w:tcMar>
              <w:left w:w="70" w:type="dxa"/>
              <w:top w:w="60" w:type="dxa"/>
              <w:right w:w="70" w:type="dxa"/>
              <w:bottom w:w="60" w:type="dxa"/>
            </w:tcMar>
            <w:tcW w:w="3509" w:type="dxa"/>
            <w:vAlign w:val="top"/>
          </w:tcPr>
          <w:p>
            <w:pPr>
              <w:pStyle w:val="1297"/>
              <w:pBdr/>
              <w:spacing/>
              <w:ind/>
              <w:rPr/>
            </w:pPr>
            <w:r>
              <w:t xml:space="preserve">Textual; Meditations, Passions; current dualism scholarship [E28]</w:t>
            </w:r>
            <w:r/>
          </w:p>
        </w:tc>
        <w:tc>
          <w:tcPr>
            <w:tcBorders/>
            <w:tcMar>
              <w:left w:w="70" w:type="dxa"/>
              <w:top w:w="60" w:type="dxa"/>
              <w:right w:w="70" w:type="dxa"/>
              <w:bottom w:w="60" w:type="dxa"/>
            </w:tcMar>
            <w:tcW w:w="3966" w:type="dxa"/>
            <w:vAlign w:val="top"/>
          </w:tcPr>
          <w:p>
            <w:pPr>
              <w:pStyle w:val="1297"/>
              <w:pBdr/>
              <w:spacing/>
              <w:ind/>
              <w:rPr/>
            </w:pPr>
            <w:r>
              <w:t xml:space="preserve">Thinking substance and extended substance; personal subject Strong domains: D4–6 D7 D10</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22</w:t>
            </w:r>
            <w:r/>
          </w:p>
        </w:tc>
        <w:tc>
          <w:tcPr>
            <w:shd w:val="clear" w:color="auto" w:fill="f7f9fa"/>
            <w:tcBorders/>
            <w:tcMar>
              <w:left w:w="70" w:type="dxa"/>
              <w:top w:w="60" w:type="dxa"/>
              <w:right w:w="70" w:type="dxa"/>
              <w:bottom w:w="60" w:type="dxa"/>
            </w:tcMar>
            <w:tcW w:w="3051" w:type="dxa"/>
            <w:vAlign w:val="top"/>
          </w:tcPr>
          <w:p>
            <w:pPr>
              <w:pStyle w:val="1297"/>
              <w:pBdr/>
              <w:spacing/>
              <w:ind/>
              <w:rPr/>
            </w:pPr>
            <w:r>
              <w:t xml:space="preserve">Leibniz, mature monadology</w:t>
            </w:r>
            <w:r/>
          </w:p>
        </w:tc>
        <w:tc>
          <w:tcPr>
            <w:shd w:val="clear" w:color="auto" w:fill="f7f9fa"/>
            <w:tcBorders/>
            <w:tcMar>
              <w:left w:w="70" w:type="dxa"/>
              <w:top w:w="60" w:type="dxa"/>
              <w:right w:w="70" w:type="dxa"/>
              <w:bottom w:w="60" w:type="dxa"/>
            </w:tcMar>
            <w:tcW w:w="3661" w:type="dxa"/>
            <w:vAlign w:val="top"/>
          </w:tcPr>
          <w:p>
            <w:pPr>
              <w:pStyle w:val="1297"/>
              <w:pBdr/>
              <w:spacing/>
              <w:ind/>
              <w:rPr/>
            </w:pPr>
            <w:r>
              <w:t xml:space="preserve">17th–18th c.; German/European; French/Latin/German; Early modern rationalism</w:t>
            </w:r>
            <w:r/>
          </w:p>
        </w:tc>
        <w:tc>
          <w:tcPr>
            <w:shd w:val="clear" w:color="auto" w:fill="f7f9fa"/>
            <w:tcBorders/>
            <w:tcMar>
              <w:left w:w="70" w:type="dxa"/>
              <w:top w:w="60" w:type="dxa"/>
              <w:right w:w="70" w:type="dxa"/>
              <w:bottom w:w="60" w:type="dxa"/>
            </w:tcMar>
            <w:tcW w:w="3509" w:type="dxa"/>
            <w:vAlign w:val="top"/>
          </w:tcPr>
          <w:p>
            <w:pPr>
              <w:pStyle w:val="1297"/>
              <w:pBdr/>
              <w:spacing/>
              <w:ind/>
              <w:rPr/>
            </w:pPr>
            <w:r>
              <w:t xml:space="preserve">Textual; Monadology, correspondence; specialist work [E29]</w:t>
            </w:r>
            <w:r/>
          </w:p>
        </w:tc>
        <w:tc>
          <w:tcPr>
            <w:shd w:val="clear" w:color="auto" w:fill="f7f9fa"/>
            <w:tcBorders/>
            <w:tcMar>
              <w:left w:w="70" w:type="dxa"/>
              <w:top w:w="60" w:type="dxa"/>
              <w:right w:w="70" w:type="dxa"/>
              <w:bottom w:w="60" w:type="dxa"/>
            </w:tcMar>
            <w:tcW w:w="3966" w:type="dxa"/>
            <w:vAlign w:val="top"/>
          </w:tcPr>
          <w:p>
            <w:pPr>
              <w:pStyle w:val="1297"/>
              <w:pBdr/>
              <w:spacing/>
              <w:ind/>
              <w:rPr/>
            </w:pPr>
            <w:r>
              <w:t xml:space="preserve">Plural immaterial monads, perception, pre-established harmony Strong domains: D1 D5 D6 D10</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23</w:t>
            </w:r>
            <w:r/>
          </w:p>
        </w:tc>
        <w:tc>
          <w:tcPr>
            <w:tcBorders/>
            <w:tcMar>
              <w:left w:w="70" w:type="dxa"/>
              <w:top w:w="60" w:type="dxa"/>
              <w:right w:w="70" w:type="dxa"/>
              <w:bottom w:w="60" w:type="dxa"/>
            </w:tcMar>
            <w:tcW w:w="3051" w:type="dxa"/>
            <w:vAlign w:val="top"/>
          </w:tcPr>
          <w:p>
            <w:pPr>
              <w:pStyle w:val="1297"/>
              <w:pBdr/>
              <w:spacing/>
              <w:ind/>
              <w:rPr/>
            </w:pPr>
            <w:r>
              <w:t xml:space="preserve">Whitehead, Process and Reality position</w:t>
            </w:r>
            <w:r/>
          </w:p>
        </w:tc>
        <w:tc>
          <w:tcPr>
            <w:tcBorders/>
            <w:tcMar>
              <w:left w:w="70" w:type="dxa"/>
              <w:top w:w="60" w:type="dxa"/>
              <w:right w:w="70" w:type="dxa"/>
              <w:bottom w:w="60" w:type="dxa"/>
            </w:tcMar>
            <w:tcW w:w="3661" w:type="dxa"/>
            <w:vAlign w:val="top"/>
          </w:tcPr>
          <w:p>
            <w:pPr>
              <w:pStyle w:val="1297"/>
              <w:pBdr/>
              <w:spacing/>
              <w:ind/>
              <w:rPr/>
            </w:pPr>
            <w:r>
              <w:t xml:space="preserve">20th c.; UK/US; English; Process philosophy</w:t>
            </w:r>
            <w:r/>
          </w:p>
        </w:tc>
        <w:tc>
          <w:tcPr>
            <w:tcBorders/>
            <w:tcMar>
              <w:left w:w="70" w:type="dxa"/>
              <w:top w:w="60" w:type="dxa"/>
              <w:right w:w="70" w:type="dxa"/>
              <w:bottom w:w="60" w:type="dxa"/>
            </w:tcMar>
            <w:tcW w:w="3509" w:type="dxa"/>
            <w:vAlign w:val="top"/>
          </w:tcPr>
          <w:p>
            <w:pPr>
              <w:pStyle w:val="1297"/>
              <w:pBdr/>
              <w:spacing/>
              <w:ind/>
              <w:rPr/>
            </w:pPr>
            <w:r>
              <w:t xml:space="preserve">Textual; Process and Reality; scholarship [E30]</w:t>
            </w:r>
            <w:r/>
          </w:p>
        </w:tc>
        <w:tc>
          <w:tcPr>
            <w:tcBorders/>
            <w:tcMar>
              <w:left w:w="70" w:type="dxa"/>
              <w:top w:w="60" w:type="dxa"/>
              <w:right w:w="70" w:type="dxa"/>
              <w:bottom w:w="60" w:type="dxa"/>
            </w:tcMar>
            <w:tcW w:w="3966" w:type="dxa"/>
            <w:vAlign w:val="top"/>
          </w:tcPr>
          <w:p>
            <w:pPr>
              <w:pStyle w:val="1297"/>
              <w:pBdr/>
              <w:spacing/>
              <w:ind/>
              <w:rPr/>
            </w:pPr>
            <w:r>
              <w:t xml:space="preserve">Process/events, prehension, creativity; panexperiential dimensions Strong domains: D1 D2 D5 D10 D15</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24</w:t>
            </w:r>
            <w:r/>
          </w:p>
        </w:tc>
        <w:tc>
          <w:tcPr>
            <w:shd w:val="clear" w:color="auto" w:fill="f7f9fa"/>
            <w:tcBorders/>
            <w:tcMar>
              <w:left w:w="70" w:type="dxa"/>
              <w:top w:w="60" w:type="dxa"/>
              <w:right w:w="70" w:type="dxa"/>
              <w:bottom w:w="60" w:type="dxa"/>
            </w:tcMar>
            <w:tcW w:w="3051" w:type="dxa"/>
            <w:vAlign w:val="top"/>
          </w:tcPr>
          <w:p>
            <w:pPr>
              <w:pStyle w:val="1297"/>
              <w:pBdr/>
              <w:spacing/>
              <w:ind/>
              <w:rPr/>
            </w:pPr>
            <w:r>
              <w:t xml:space="preserve">Epicurean atomism, Lucretius/Epicurus bounded synthesis</w:t>
            </w:r>
            <w:r/>
          </w:p>
        </w:tc>
        <w:tc>
          <w:tcPr>
            <w:shd w:val="clear" w:color="auto" w:fill="f7f9fa"/>
            <w:tcBorders/>
            <w:tcMar>
              <w:left w:w="70" w:type="dxa"/>
              <w:top w:w="60" w:type="dxa"/>
              <w:right w:w="70" w:type="dxa"/>
              <w:bottom w:w="60" w:type="dxa"/>
            </w:tcMar>
            <w:tcW w:w="3661" w:type="dxa"/>
            <w:vAlign w:val="top"/>
          </w:tcPr>
          <w:p>
            <w:pPr>
              <w:pStyle w:val="1297"/>
              <w:pBdr/>
              <w:spacing/>
              <w:ind/>
              <w:rPr/>
            </w:pPr>
            <w:r>
              <w:t xml:space="preserve">3rd–1st c. BCE; Greek/Roman; Greek/Latin; Hellenistic philosophy</w:t>
            </w:r>
            <w:r/>
          </w:p>
        </w:tc>
        <w:tc>
          <w:tcPr>
            <w:shd w:val="clear" w:color="auto" w:fill="f7f9fa"/>
            <w:tcBorders/>
            <w:tcMar>
              <w:left w:w="70" w:type="dxa"/>
              <w:top w:w="60" w:type="dxa"/>
              <w:right w:w="70" w:type="dxa"/>
              <w:bottom w:w="60" w:type="dxa"/>
            </w:tcMar>
            <w:tcW w:w="3509" w:type="dxa"/>
            <w:vAlign w:val="top"/>
          </w:tcPr>
          <w:p>
            <w:pPr>
              <w:pStyle w:val="1297"/>
              <w:pBdr/>
              <w:spacing/>
              <w:ind/>
              <w:rPr/>
            </w:pPr>
            <w:r>
              <w:t xml:space="preserve">Textual; Letter to Herodotus/Menoeceus, Lucretius; scholarship [E32]</w:t>
            </w:r>
            <w:r/>
          </w:p>
        </w:tc>
        <w:tc>
          <w:tcPr>
            <w:shd w:val="clear" w:color="auto" w:fill="f7f9fa"/>
            <w:tcBorders/>
            <w:tcMar>
              <w:left w:w="70" w:type="dxa"/>
              <w:top w:w="60" w:type="dxa"/>
              <w:right w:w="70" w:type="dxa"/>
              <w:bottom w:w="60" w:type="dxa"/>
            </w:tcMar>
            <w:tcW w:w="3966" w:type="dxa"/>
            <w:vAlign w:val="top"/>
          </w:tcPr>
          <w:p>
            <w:pPr>
              <w:pStyle w:val="1297"/>
              <w:pBdr/>
              <w:spacing/>
              <w:ind/>
              <w:rPr/>
            </w:pPr>
            <w:r>
              <w:t xml:space="preserve">Atomist naturalism; mortal soul; therapy of fear; no providential cosmos Strong domains: D1 D2 D4 D8–10 D12–14</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25</w:t>
            </w:r>
            <w:r/>
          </w:p>
        </w:tc>
        <w:tc>
          <w:tcPr>
            <w:tcBorders/>
            <w:tcMar>
              <w:left w:w="70" w:type="dxa"/>
              <w:top w:w="60" w:type="dxa"/>
              <w:right w:w="70" w:type="dxa"/>
              <w:bottom w:w="60" w:type="dxa"/>
            </w:tcMar>
            <w:tcW w:w="3051" w:type="dxa"/>
            <w:vAlign w:val="top"/>
          </w:tcPr>
          <w:p>
            <w:pPr>
              <w:pStyle w:val="1297"/>
              <w:pBdr/>
              <w:spacing/>
              <w:ind/>
              <w:rPr/>
            </w:pPr>
            <w:r>
              <w:t xml:space="preserve">Chrysippan Stoic causal/agency synthesis</w:t>
            </w:r>
            <w:r/>
          </w:p>
        </w:tc>
        <w:tc>
          <w:tcPr>
            <w:tcBorders/>
            <w:tcMar>
              <w:left w:w="70" w:type="dxa"/>
              <w:top w:w="60" w:type="dxa"/>
              <w:right w:w="70" w:type="dxa"/>
              <w:bottom w:w="60" w:type="dxa"/>
            </w:tcMar>
            <w:tcW w:w="3661" w:type="dxa"/>
            <w:vAlign w:val="top"/>
          </w:tcPr>
          <w:p>
            <w:pPr>
              <w:pStyle w:val="1297"/>
              <w:pBdr/>
              <w:spacing/>
              <w:ind/>
              <w:rPr/>
            </w:pPr>
            <w:r>
              <w:t xml:space="preserve">3rd c. BCE reconstructed; Greek/Roman; Greek fragments; Stoicism</w:t>
            </w:r>
            <w:r/>
          </w:p>
        </w:tc>
        <w:tc>
          <w:tcPr>
            <w:tcBorders/>
            <w:tcMar>
              <w:left w:w="70" w:type="dxa"/>
              <w:top w:w="60" w:type="dxa"/>
              <w:right w:w="70" w:type="dxa"/>
              <w:bottom w:w="60" w:type="dxa"/>
            </w:tcMar>
            <w:tcW w:w="3509" w:type="dxa"/>
            <w:vAlign w:val="top"/>
          </w:tcPr>
          <w:p>
            <w:pPr>
              <w:pStyle w:val="1297"/>
              <w:pBdr/>
              <w:spacing/>
              <w:ind/>
              <w:rPr/>
            </w:pPr>
            <w:r>
              <w:t xml:space="preserve">Fragmentary textual + doxographic reconstruction; scholarship [E31]</w:t>
            </w:r>
            <w:r/>
          </w:p>
        </w:tc>
        <w:tc>
          <w:tcPr>
            <w:tcBorders/>
            <w:tcMar>
              <w:left w:w="70" w:type="dxa"/>
              <w:top w:w="60" w:type="dxa"/>
              <w:right w:w="70" w:type="dxa"/>
              <w:bottom w:w="60" w:type="dxa"/>
            </w:tcMar>
            <w:tcW w:w="3966" w:type="dxa"/>
            <w:vAlign w:val="top"/>
          </w:tcPr>
          <w:p>
            <w:pPr>
              <w:pStyle w:val="1297"/>
              <w:pBdr/>
              <w:spacing/>
              <w:ind/>
              <w:rPr/>
            </w:pPr>
            <w:r>
              <w:t xml:space="preserve">Providential causal order, compatibilist agency, virtue in accordance with nature Strong domains: D8 D10–12 D14–15</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26</w:t>
            </w:r>
            <w:r/>
          </w:p>
        </w:tc>
        <w:tc>
          <w:tcPr>
            <w:shd w:val="clear" w:color="auto" w:fill="f7f9fa"/>
            <w:tcBorders/>
            <w:tcMar>
              <w:left w:w="70" w:type="dxa"/>
              <w:top w:w="60" w:type="dxa"/>
              <w:right w:w="70" w:type="dxa"/>
              <w:bottom w:w="60" w:type="dxa"/>
            </w:tcMar>
            <w:tcW w:w="3051" w:type="dxa"/>
            <w:vAlign w:val="top"/>
          </w:tcPr>
          <w:p>
            <w:pPr>
              <w:pStyle w:val="1297"/>
              <w:pBdr/>
              <w:spacing/>
              <w:ind/>
              <w:rPr/>
            </w:pPr>
            <w:r>
              <w:t xml:space="preserve">al-Ghazālī, Tahāfut causal critique</w:t>
            </w:r>
            <w:r/>
          </w:p>
        </w:tc>
        <w:tc>
          <w:tcPr>
            <w:shd w:val="clear" w:color="auto" w:fill="f7f9fa"/>
            <w:tcBorders/>
            <w:tcMar>
              <w:left w:w="70" w:type="dxa"/>
              <w:top w:w="60" w:type="dxa"/>
              <w:right w:w="70" w:type="dxa"/>
              <w:bottom w:w="60" w:type="dxa"/>
            </w:tcMar>
            <w:tcW w:w="3661" w:type="dxa"/>
            <w:vAlign w:val="top"/>
          </w:tcPr>
          <w:p>
            <w:pPr>
              <w:pStyle w:val="1297"/>
              <w:pBdr/>
              <w:spacing/>
              <w:ind/>
              <w:rPr/>
            </w:pPr>
            <w:r>
              <w:t xml:space="preserve">11th–12th c.; Islamic world; Arabic; Islamic theology/philosophy</w:t>
            </w:r>
            <w:r/>
          </w:p>
        </w:tc>
        <w:tc>
          <w:tcPr>
            <w:shd w:val="clear" w:color="auto" w:fill="f7f9fa"/>
            <w:tcBorders/>
            <w:tcMar>
              <w:left w:w="70" w:type="dxa"/>
              <w:top w:w="60" w:type="dxa"/>
              <w:right w:w="70" w:type="dxa"/>
              <w:bottom w:w="60" w:type="dxa"/>
            </w:tcMar>
            <w:tcW w:w="3509" w:type="dxa"/>
            <w:vAlign w:val="top"/>
          </w:tcPr>
          <w:p>
            <w:pPr>
              <w:pStyle w:val="1297"/>
              <w:pBdr/>
              <w:spacing/>
              <w:ind/>
              <w:rPr/>
            </w:pPr>
            <w:r>
              <w:t xml:space="preserve">Textual; Tahāfut; specialist scholarship [E39]</w:t>
            </w:r>
            <w:r/>
          </w:p>
        </w:tc>
        <w:tc>
          <w:tcPr>
            <w:shd w:val="clear" w:color="auto" w:fill="f7f9fa"/>
            <w:tcBorders/>
            <w:tcMar>
              <w:left w:w="70" w:type="dxa"/>
              <w:top w:w="60" w:type="dxa"/>
              <w:right w:w="70" w:type="dxa"/>
              <w:bottom w:w="60" w:type="dxa"/>
            </w:tcMar>
            <w:tcW w:w="3966" w:type="dxa"/>
            <w:vAlign w:val="top"/>
          </w:tcPr>
          <w:p>
            <w:pPr>
              <w:pStyle w:val="1297"/>
              <w:pBdr/>
              <w:spacing/>
              <w:ind/>
              <w:rPr/>
            </w:pPr>
            <w:r>
              <w:t xml:space="preserve">Critique of necessary causal connection; divine agency; epistemic limits Strong domains: D7 D10 D11</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27</w:t>
            </w:r>
            <w:r/>
          </w:p>
        </w:tc>
        <w:tc>
          <w:tcPr>
            <w:tcBorders/>
            <w:tcMar>
              <w:left w:w="70" w:type="dxa"/>
              <w:top w:w="60" w:type="dxa"/>
              <w:right w:w="70" w:type="dxa"/>
              <w:bottom w:w="60" w:type="dxa"/>
            </w:tcMar>
            <w:tcW w:w="3051" w:type="dxa"/>
            <w:vAlign w:val="top"/>
          </w:tcPr>
          <w:p>
            <w:pPr>
              <w:pStyle w:val="1297"/>
              <w:pBdr/>
              <w:spacing/>
              <w:ind/>
              <w:rPr/>
            </w:pPr>
            <w:r>
              <w:t xml:space="preserve">Utpaladeva, Īśvarapratyabhijñā position</w:t>
            </w:r>
            <w:r/>
          </w:p>
        </w:tc>
        <w:tc>
          <w:tcPr>
            <w:tcBorders/>
            <w:tcMar>
              <w:left w:w="70" w:type="dxa"/>
              <w:top w:w="60" w:type="dxa"/>
              <w:right w:w="70" w:type="dxa"/>
              <w:bottom w:w="60" w:type="dxa"/>
            </w:tcMar>
            <w:tcW w:w="3661" w:type="dxa"/>
            <w:vAlign w:val="top"/>
          </w:tcPr>
          <w:p>
            <w:pPr>
              <w:pStyle w:val="1297"/>
              <w:pBdr/>
              <w:spacing/>
              <w:ind/>
              <w:rPr/>
            </w:pPr>
            <w:r>
              <w:t xml:space="preserve">10th c.; Kashmir; Sanskrit; Pratyabhijñā Śaivism</w:t>
            </w:r>
            <w:r/>
          </w:p>
        </w:tc>
        <w:tc>
          <w:tcPr>
            <w:tcBorders/>
            <w:tcMar>
              <w:left w:w="70" w:type="dxa"/>
              <w:top w:w="60" w:type="dxa"/>
              <w:right w:w="70" w:type="dxa"/>
              <w:bottom w:w="60" w:type="dxa"/>
            </w:tcMar>
            <w:tcW w:w="3509" w:type="dxa"/>
            <w:vAlign w:val="top"/>
          </w:tcPr>
          <w:p>
            <w:pPr>
              <w:pStyle w:val="1297"/>
              <w:pBdr/>
              <w:spacing/>
              <w:ind/>
              <w:rPr/>
            </w:pPr>
            <w:r>
              <w:t xml:space="preserve">Textual; Īśvarapratyabhijñā + specialist scholarship [E40]</w:t>
            </w:r>
            <w:r/>
          </w:p>
        </w:tc>
        <w:tc>
          <w:tcPr>
            <w:tcBorders/>
            <w:tcMar>
              <w:left w:w="70" w:type="dxa"/>
              <w:top w:w="60" w:type="dxa"/>
              <w:right w:w="70" w:type="dxa"/>
              <w:bottom w:w="60" w:type="dxa"/>
            </w:tcMar>
            <w:tcW w:w="3966" w:type="dxa"/>
            <w:vAlign w:val="top"/>
          </w:tcPr>
          <w:p>
            <w:pPr>
              <w:pStyle w:val="1297"/>
              <w:pBdr/>
              <w:spacing/>
              <w:ind/>
              <w:rPr/>
            </w:pPr>
            <w:r>
              <w:t xml:space="preserve">Universal consciousness/recognition; manifestation through agency Strong domains: D1 D5 D6 D11–12 D14–15</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28</w:t>
            </w:r>
            <w:r/>
          </w:p>
        </w:tc>
        <w:tc>
          <w:tcPr>
            <w:shd w:val="clear" w:color="auto" w:fill="f7f9fa"/>
            <w:tcBorders/>
            <w:tcMar>
              <w:left w:w="70" w:type="dxa"/>
              <w:top w:w="60" w:type="dxa"/>
              <w:right w:w="70" w:type="dxa"/>
              <w:bottom w:w="60" w:type="dxa"/>
            </w:tcMar>
            <w:tcW w:w="3051" w:type="dxa"/>
            <w:vAlign w:val="top"/>
          </w:tcPr>
          <w:p>
            <w:pPr>
              <w:pStyle w:val="1297"/>
              <w:pBdr/>
              <w:spacing/>
              <w:ind/>
              <w:rPr/>
            </w:pPr>
            <w:r>
              <w:t xml:space="preserve">Mencius, Mengzi moral-personhood position</w:t>
            </w:r>
            <w:r/>
          </w:p>
        </w:tc>
        <w:tc>
          <w:tcPr>
            <w:shd w:val="clear" w:color="auto" w:fill="f7f9fa"/>
            <w:tcBorders/>
            <w:tcMar>
              <w:left w:w="70" w:type="dxa"/>
              <w:top w:w="60" w:type="dxa"/>
              <w:right w:w="70" w:type="dxa"/>
              <w:bottom w:w="60" w:type="dxa"/>
            </w:tcMar>
            <w:tcW w:w="3661" w:type="dxa"/>
            <w:vAlign w:val="top"/>
          </w:tcPr>
          <w:p>
            <w:pPr>
              <w:pStyle w:val="1297"/>
              <w:pBdr/>
              <w:spacing/>
              <w:ind/>
              <w:rPr/>
            </w:pPr>
            <w:r>
              <w:t xml:space="preserve">4th–3rd c. BCE; China; Classical Chinese; Early Confucian</w:t>
            </w:r>
            <w:r/>
          </w:p>
        </w:tc>
        <w:tc>
          <w:tcPr>
            <w:shd w:val="clear" w:color="auto" w:fill="f7f9fa"/>
            <w:tcBorders/>
            <w:tcMar>
              <w:left w:w="70" w:type="dxa"/>
              <w:top w:w="60" w:type="dxa"/>
              <w:right w:w="70" w:type="dxa"/>
              <w:bottom w:w="60" w:type="dxa"/>
            </w:tcMar>
            <w:tcW w:w="3509" w:type="dxa"/>
            <w:vAlign w:val="top"/>
          </w:tcPr>
          <w:p>
            <w:pPr>
              <w:pStyle w:val="1297"/>
              <w:pBdr/>
              <w:spacing/>
              <w:ind/>
              <w:rPr/>
            </w:pPr>
            <w:r>
              <w:t xml:space="preserve">Textual; Mengzi + scholarship [E38]</w:t>
            </w:r>
            <w:r/>
          </w:p>
        </w:tc>
        <w:tc>
          <w:tcPr>
            <w:shd w:val="clear" w:color="auto" w:fill="f7f9fa"/>
            <w:tcBorders/>
            <w:tcMar>
              <w:left w:w="70" w:type="dxa"/>
              <w:top w:w="60" w:type="dxa"/>
              <w:right w:w="70" w:type="dxa"/>
              <w:bottom w:w="60" w:type="dxa"/>
            </w:tcMar>
            <w:tcW w:w="3966" w:type="dxa"/>
            <w:vAlign w:val="top"/>
          </w:tcPr>
          <w:p>
            <w:pPr>
              <w:pStyle w:val="1297"/>
              <w:pBdr/>
              <w:spacing/>
              <w:ind/>
              <w:rPr/>
            </w:pPr>
            <w:r>
              <w:t xml:space="preserve">Moral sprouts, cultivated heart-mind, relational ethical personhood Strong domains: D6–9 D11–12 D15</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29</w:t>
            </w:r>
            <w:r/>
          </w:p>
        </w:tc>
        <w:tc>
          <w:tcPr>
            <w:tcBorders/>
            <w:tcMar>
              <w:left w:w="70" w:type="dxa"/>
              <w:top w:w="60" w:type="dxa"/>
              <w:right w:w="70" w:type="dxa"/>
              <w:bottom w:w="60" w:type="dxa"/>
            </w:tcMar>
            <w:tcW w:w="3051" w:type="dxa"/>
            <w:vAlign w:val="top"/>
          </w:tcPr>
          <w:p>
            <w:pPr>
              <w:pStyle w:val="1297"/>
              <w:pBdr/>
              <w:spacing/>
              <w:ind/>
              <w:rPr/>
            </w:pPr>
            <w:r>
              <w:t xml:space="preserve">Wiredu–Gyekye debate on Akan personhood, explicitly bounded modern philosophical reconstruction</w:t>
            </w:r>
            <w:r/>
          </w:p>
        </w:tc>
        <w:tc>
          <w:tcPr>
            <w:tcBorders/>
            <w:tcMar>
              <w:left w:w="70" w:type="dxa"/>
              <w:top w:w="60" w:type="dxa"/>
              <w:right w:w="70" w:type="dxa"/>
              <w:bottom w:w="60" w:type="dxa"/>
            </w:tcMar>
            <w:tcW w:w="3661" w:type="dxa"/>
            <w:vAlign w:val="top"/>
          </w:tcPr>
          <w:p>
            <w:pPr>
              <w:pStyle w:val="1297"/>
              <w:pBdr/>
              <w:spacing/>
              <w:ind/>
              <w:rPr/>
            </w:pPr>
            <w:r>
              <w:t xml:space="preserve">20th c.; Ghana; English + Akan concepts; Modern African philosophy/Akan conceptual analysis</w:t>
            </w:r>
            <w:r/>
          </w:p>
        </w:tc>
        <w:tc>
          <w:tcPr>
            <w:tcBorders/>
            <w:tcMar>
              <w:left w:w="70" w:type="dxa"/>
              <w:top w:w="60" w:type="dxa"/>
              <w:right w:w="70" w:type="dxa"/>
              <w:bottom w:w="60" w:type="dxa"/>
            </w:tcMar>
            <w:tcW w:w="3509" w:type="dxa"/>
            <w:vAlign w:val="top"/>
          </w:tcPr>
          <w:p>
            <w:pPr>
              <w:pStyle w:val="1297"/>
              <w:pBdr/>
              <w:spacing/>
              <w:ind/>
              <w:rPr/>
            </w:pPr>
            <w:r>
              <w:t xml:space="preserve">Philosophical + linguistic/ethnographic synthesis; specialist source [E33]</w:t>
            </w:r>
            <w:r/>
          </w:p>
        </w:tc>
        <w:tc>
          <w:tcPr>
            <w:tcBorders/>
            <w:tcMar>
              <w:left w:w="70" w:type="dxa"/>
              <w:top w:w="60" w:type="dxa"/>
              <w:right w:w="70" w:type="dxa"/>
              <w:bottom w:w="60" w:type="dxa"/>
            </w:tcMar>
            <w:tcW w:w="3966" w:type="dxa"/>
            <w:vAlign w:val="top"/>
          </w:tcPr>
          <w:p>
            <w:pPr>
              <w:pStyle w:val="1297"/>
              <w:pBdr/>
              <w:spacing/>
              <w:ind/>
              <w:rPr/>
            </w:pPr>
            <w:r>
              <w:t xml:space="preserve">Personhood, mind/soul/body, social-normative status; contested reconstruction Strong domains: D4 D6 D8 D15</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30</w:t>
            </w:r>
            <w:r/>
          </w:p>
        </w:tc>
        <w:tc>
          <w:tcPr>
            <w:shd w:val="clear" w:color="auto" w:fill="f7f9fa"/>
            <w:tcBorders/>
            <w:tcMar>
              <w:left w:w="70" w:type="dxa"/>
              <w:top w:w="60" w:type="dxa"/>
              <w:right w:w="70" w:type="dxa"/>
              <w:bottom w:w="60" w:type="dxa"/>
            </w:tcMar>
            <w:tcW w:w="3051" w:type="dxa"/>
            <w:vAlign w:val="top"/>
          </w:tcPr>
          <w:p>
            <w:pPr>
              <w:pStyle w:val="1297"/>
              <w:pBdr/>
              <w:spacing/>
              <w:ind/>
              <w:rPr/>
            </w:pPr>
            <w:r>
              <w:t xml:space="preserve">Hume, Treatise/Enquiry self-and-causation position</w:t>
            </w:r>
            <w:r/>
          </w:p>
        </w:tc>
        <w:tc>
          <w:tcPr>
            <w:shd w:val="clear" w:color="auto" w:fill="f7f9fa"/>
            <w:tcBorders/>
            <w:tcMar>
              <w:left w:w="70" w:type="dxa"/>
              <w:top w:w="60" w:type="dxa"/>
              <w:right w:w="70" w:type="dxa"/>
              <w:bottom w:w="60" w:type="dxa"/>
            </w:tcMar>
            <w:tcW w:w="3661" w:type="dxa"/>
            <w:vAlign w:val="top"/>
          </w:tcPr>
          <w:p>
            <w:pPr>
              <w:pStyle w:val="1297"/>
              <w:pBdr/>
              <w:spacing/>
              <w:ind/>
              <w:rPr/>
            </w:pPr>
            <w:r>
              <w:t xml:space="preserve">18th c.; Scotland; English; Early modern empiricism</w:t>
            </w:r>
            <w:r/>
          </w:p>
        </w:tc>
        <w:tc>
          <w:tcPr>
            <w:shd w:val="clear" w:color="auto" w:fill="f7f9fa"/>
            <w:tcBorders/>
            <w:tcMar>
              <w:left w:w="70" w:type="dxa"/>
              <w:top w:w="60" w:type="dxa"/>
              <w:right w:w="70" w:type="dxa"/>
              <w:bottom w:w="60" w:type="dxa"/>
            </w:tcMar>
            <w:tcW w:w="3509" w:type="dxa"/>
            <w:vAlign w:val="top"/>
          </w:tcPr>
          <w:p>
            <w:pPr>
              <w:pStyle w:val="1297"/>
              <w:pBdr/>
              <w:spacing/>
              <w:ind/>
              <w:rPr/>
            </w:pPr>
            <w:r>
              <w:t xml:space="preserve">Textual; Treatise/Enquiries; scholarship</w:t>
            </w:r>
            <w:r/>
          </w:p>
        </w:tc>
        <w:tc>
          <w:tcPr>
            <w:shd w:val="clear" w:color="auto" w:fill="f7f9fa"/>
            <w:tcBorders/>
            <w:tcMar>
              <w:left w:w="70" w:type="dxa"/>
              <w:top w:w="60" w:type="dxa"/>
              <w:right w:w="70" w:type="dxa"/>
              <w:bottom w:w="60" w:type="dxa"/>
            </w:tcMar>
            <w:tcW w:w="3966" w:type="dxa"/>
            <w:vAlign w:val="top"/>
          </w:tcPr>
          <w:p>
            <w:pPr>
              <w:pStyle w:val="1297"/>
              <w:pBdr/>
              <w:spacing/>
              <w:ind/>
              <w:rPr/>
            </w:pPr>
            <w:r>
              <w:t xml:space="preserve">Bundle-like self critique; regularity/causal skepticism; naturalized belief Strong domains: D6 D7 D10</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31</w:t>
            </w:r>
            <w:r/>
          </w:p>
        </w:tc>
        <w:tc>
          <w:tcPr>
            <w:tcBorders/>
            <w:tcMar>
              <w:left w:w="70" w:type="dxa"/>
              <w:top w:w="60" w:type="dxa"/>
              <w:right w:w="70" w:type="dxa"/>
              <w:bottom w:w="60" w:type="dxa"/>
            </w:tcMar>
            <w:tcW w:w="3051" w:type="dxa"/>
            <w:vAlign w:val="top"/>
          </w:tcPr>
          <w:p>
            <w:pPr>
              <w:pStyle w:val="1297"/>
              <w:pBdr/>
              <w:spacing/>
              <w:ind/>
              <w:rPr/>
            </w:pPr>
            <w:r>
              <w:t xml:space="preserve">Chalmers-style naturalistic property dualism</w:t>
            </w:r>
            <w:r/>
          </w:p>
        </w:tc>
        <w:tc>
          <w:tcPr>
            <w:tcBorders/>
            <w:tcMar>
              <w:left w:w="70" w:type="dxa"/>
              <w:top w:w="60" w:type="dxa"/>
              <w:right w:w="70" w:type="dxa"/>
              <w:bottom w:w="60" w:type="dxa"/>
            </w:tcMar>
            <w:tcW w:w="3661" w:type="dxa"/>
            <w:vAlign w:val="top"/>
          </w:tcPr>
          <w:p>
            <w:pPr>
              <w:pStyle w:val="1297"/>
              <w:pBdr/>
              <w:spacing/>
              <w:ind/>
              <w:rPr/>
            </w:pPr>
            <w:r>
              <w:t xml:space="preserve">late 20th–21st c.; Anglophone; English; Analytic philosophy of mind</w:t>
            </w:r>
            <w:r/>
          </w:p>
        </w:tc>
        <w:tc>
          <w:tcPr>
            <w:tcBorders/>
            <w:tcMar>
              <w:left w:w="70" w:type="dxa"/>
              <w:top w:w="60" w:type="dxa"/>
              <w:right w:w="70" w:type="dxa"/>
              <w:bottom w:w="60" w:type="dxa"/>
            </w:tcMar>
            <w:tcW w:w="3509" w:type="dxa"/>
            <w:vAlign w:val="top"/>
          </w:tcPr>
          <w:p>
            <w:pPr>
              <w:pStyle w:val="1297"/>
              <w:pBdr/>
              <w:spacing/>
              <w:ind/>
              <w:rPr/>
            </w:pPr>
            <w:r>
              <w:t xml:space="preserve">Textual analytic; Chalmers + dualism literature [E28]</w:t>
            </w:r>
            <w:r/>
          </w:p>
        </w:tc>
        <w:tc>
          <w:tcPr>
            <w:tcBorders/>
            <w:tcMar>
              <w:left w:w="70" w:type="dxa"/>
              <w:top w:w="60" w:type="dxa"/>
              <w:right w:w="70" w:type="dxa"/>
              <w:bottom w:w="60" w:type="dxa"/>
            </w:tcMar>
            <w:tcW w:w="3966" w:type="dxa"/>
            <w:vAlign w:val="top"/>
          </w:tcPr>
          <w:p>
            <w:pPr>
              <w:pStyle w:val="1297"/>
              <w:pBdr/>
              <w:spacing/>
              <w:ind/>
              <w:rPr/>
            </w:pPr>
            <w:r>
              <w:t xml:space="preserve">Phenomenal properties not reducible to physical properties; naturalistic laws Strong domains: D1 D5 D10</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32</w:t>
            </w:r>
            <w:r/>
          </w:p>
        </w:tc>
        <w:tc>
          <w:tcPr>
            <w:shd w:val="clear" w:color="auto" w:fill="f7f9fa"/>
            <w:tcBorders/>
            <w:tcMar>
              <w:left w:w="70" w:type="dxa"/>
              <w:top w:w="60" w:type="dxa"/>
              <w:right w:w="70" w:type="dxa"/>
              <w:bottom w:w="60" w:type="dxa"/>
            </w:tcMar>
            <w:tcW w:w="3051" w:type="dxa"/>
            <w:vAlign w:val="top"/>
          </w:tcPr>
          <w:p>
            <w:pPr>
              <w:pStyle w:val="1297"/>
              <w:pBdr/>
              <w:spacing/>
              <w:ind/>
              <w:rPr/>
            </w:pPr>
            <w:r>
              <w:t xml:space="preserve">Frankish-style illusionism about phenomenal consciousness</w:t>
            </w:r>
            <w:r/>
          </w:p>
        </w:tc>
        <w:tc>
          <w:tcPr>
            <w:shd w:val="clear" w:color="auto" w:fill="f7f9fa"/>
            <w:tcBorders/>
            <w:tcMar>
              <w:left w:w="70" w:type="dxa"/>
              <w:top w:w="60" w:type="dxa"/>
              <w:right w:w="70" w:type="dxa"/>
              <w:bottom w:w="60" w:type="dxa"/>
            </w:tcMar>
            <w:tcW w:w="3661" w:type="dxa"/>
            <w:vAlign w:val="top"/>
          </w:tcPr>
          <w:p>
            <w:pPr>
              <w:pStyle w:val="1297"/>
              <w:pBdr/>
              <w:spacing/>
              <w:ind/>
              <w:rPr/>
            </w:pPr>
            <w:r>
              <w:t xml:space="preserve">21st c.; Anglophone; English; Analytic philosophy of mind</w:t>
            </w:r>
            <w:r/>
          </w:p>
        </w:tc>
        <w:tc>
          <w:tcPr>
            <w:shd w:val="clear" w:color="auto" w:fill="f7f9fa"/>
            <w:tcBorders/>
            <w:tcMar>
              <w:left w:w="70" w:type="dxa"/>
              <w:top w:w="60" w:type="dxa"/>
              <w:right w:w="70" w:type="dxa"/>
              <w:bottom w:w="60" w:type="dxa"/>
            </w:tcMar>
            <w:tcW w:w="3509" w:type="dxa"/>
            <w:vAlign w:val="top"/>
          </w:tcPr>
          <w:p>
            <w:pPr>
              <w:pStyle w:val="1297"/>
              <w:pBdr/>
              <w:spacing/>
              <w:ind/>
              <w:rPr/>
            </w:pPr>
            <w:r>
              <w:t xml:space="preserve">Textual analytic; illusionism literature</w:t>
            </w:r>
            <w:r/>
          </w:p>
        </w:tc>
        <w:tc>
          <w:tcPr>
            <w:shd w:val="clear" w:color="auto" w:fill="f7f9fa"/>
            <w:tcBorders/>
            <w:tcMar>
              <w:left w:w="70" w:type="dxa"/>
              <w:top w:w="60" w:type="dxa"/>
              <w:right w:w="70" w:type="dxa"/>
              <w:bottom w:w="60" w:type="dxa"/>
            </w:tcMar>
            <w:tcW w:w="3966" w:type="dxa"/>
            <w:vAlign w:val="top"/>
          </w:tcPr>
          <w:p>
            <w:pPr>
              <w:pStyle w:val="1297"/>
              <w:pBdr/>
              <w:spacing/>
              <w:ind/>
              <w:rPr/>
            </w:pPr>
            <w:r>
              <w:t xml:space="preserve">Rejects/reframes phenomenal properties as introspective misrepresentation Strong domains: D5 D7</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33</w:t>
            </w:r>
            <w:r/>
          </w:p>
        </w:tc>
        <w:tc>
          <w:tcPr>
            <w:tcBorders/>
            <w:tcMar>
              <w:left w:w="70" w:type="dxa"/>
              <w:top w:w="60" w:type="dxa"/>
              <w:right w:w="70" w:type="dxa"/>
              <w:bottom w:w="60" w:type="dxa"/>
            </w:tcMar>
            <w:tcW w:w="3051" w:type="dxa"/>
            <w:vAlign w:val="top"/>
          </w:tcPr>
          <w:p>
            <w:pPr>
              <w:pStyle w:val="1297"/>
              <w:pBdr/>
              <w:spacing/>
              <w:ind/>
              <w:rPr/>
            </w:pPr>
            <w:r>
              <w:t xml:space="preserve">Xunzi, Xunzi-centered cultivation position</w:t>
            </w:r>
            <w:r/>
          </w:p>
        </w:tc>
        <w:tc>
          <w:tcPr>
            <w:tcBorders/>
            <w:tcMar>
              <w:left w:w="70" w:type="dxa"/>
              <w:top w:w="60" w:type="dxa"/>
              <w:right w:w="70" w:type="dxa"/>
              <w:bottom w:w="60" w:type="dxa"/>
            </w:tcMar>
            <w:tcW w:w="3661" w:type="dxa"/>
            <w:vAlign w:val="top"/>
          </w:tcPr>
          <w:p>
            <w:pPr>
              <w:pStyle w:val="1297"/>
              <w:pBdr/>
              <w:spacing/>
              <w:ind/>
              <w:rPr/>
            </w:pPr>
            <w:r>
              <w:t xml:space="preserve">3rd c. BCE; China; Classical Chinese; Early Confucian</w:t>
            </w:r>
            <w:r/>
          </w:p>
        </w:tc>
        <w:tc>
          <w:tcPr>
            <w:tcBorders/>
            <w:tcMar>
              <w:left w:w="70" w:type="dxa"/>
              <w:top w:w="60" w:type="dxa"/>
              <w:right w:w="70" w:type="dxa"/>
              <w:bottom w:w="60" w:type="dxa"/>
            </w:tcMar>
            <w:tcW w:w="3509" w:type="dxa"/>
            <w:vAlign w:val="top"/>
          </w:tcPr>
          <w:p>
            <w:pPr>
              <w:pStyle w:val="1297"/>
              <w:pBdr/>
              <w:spacing/>
              <w:ind/>
              <w:rPr/>
            </w:pPr>
            <w:r>
              <w:t xml:space="preserve">Textual; Xunzi; scholarship</w:t>
            </w:r>
            <w:r/>
          </w:p>
        </w:tc>
        <w:tc>
          <w:tcPr>
            <w:tcBorders/>
            <w:tcMar>
              <w:left w:w="70" w:type="dxa"/>
              <w:top w:w="60" w:type="dxa"/>
              <w:right w:w="70" w:type="dxa"/>
              <w:bottom w:w="60" w:type="dxa"/>
            </w:tcMar>
            <w:tcW w:w="3966" w:type="dxa"/>
            <w:vAlign w:val="top"/>
          </w:tcPr>
          <w:p>
            <w:pPr>
              <w:pStyle w:val="1297"/>
              <w:pBdr/>
              <w:spacing/>
              <w:ind/>
              <w:rPr/>
            </w:pPr>
            <w:r>
              <w:t xml:space="preserve">Human dispositions require ritual/learning transformation; patterned order not moral sprouts Strong domains: D7–9 D11–12 D15</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34</w:t>
            </w:r>
            <w:r/>
          </w:p>
        </w:tc>
        <w:tc>
          <w:tcPr>
            <w:shd w:val="clear" w:color="auto" w:fill="f7f9fa"/>
            <w:tcBorders/>
            <w:tcMar>
              <w:left w:w="70" w:type="dxa"/>
              <w:top w:w="60" w:type="dxa"/>
              <w:right w:w="70" w:type="dxa"/>
              <w:bottom w:w="60" w:type="dxa"/>
            </w:tcMar>
            <w:tcW w:w="3051" w:type="dxa"/>
            <w:vAlign w:val="top"/>
          </w:tcPr>
          <w:p>
            <w:pPr>
              <w:pStyle w:val="1297"/>
              <w:pBdr/>
              <w:spacing/>
              <w:ind/>
              <w:rPr/>
            </w:pPr>
            <w:r>
              <w:t xml:space="preserve">Berkeley, immaterialism</w:t>
            </w:r>
            <w:r/>
          </w:p>
        </w:tc>
        <w:tc>
          <w:tcPr>
            <w:shd w:val="clear" w:color="auto" w:fill="f7f9fa"/>
            <w:tcBorders/>
            <w:tcMar>
              <w:left w:w="70" w:type="dxa"/>
              <w:top w:w="60" w:type="dxa"/>
              <w:right w:w="70" w:type="dxa"/>
              <w:bottom w:w="60" w:type="dxa"/>
            </w:tcMar>
            <w:tcW w:w="3661" w:type="dxa"/>
            <w:vAlign w:val="top"/>
          </w:tcPr>
          <w:p>
            <w:pPr>
              <w:pStyle w:val="1297"/>
              <w:pBdr/>
              <w:spacing/>
              <w:ind/>
              <w:rPr/>
            </w:pPr>
            <w:r>
              <w:t xml:space="preserve">18th c.; Ireland/Britain; English; Early modern philosophy</w:t>
            </w:r>
            <w:r/>
          </w:p>
        </w:tc>
        <w:tc>
          <w:tcPr>
            <w:shd w:val="clear" w:color="auto" w:fill="f7f9fa"/>
            <w:tcBorders/>
            <w:tcMar>
              <w:left w:w="70" w:type="dxa"/>
              <w:top w:w="60" w:type="dxa"/>
              <w:right w:w="70" w:type="dxa"/>
              <w:bottom w:w="60" w:type="dxa"/>
            </w:tcMar>
            <w:tcW w:w="3509" w:type="dxa"/>
            <w:vAlign w:val="top"/>
          </w:tcPr>
          <w:p>
            <w:pPr>
              <w:pStyle w:val="1297"/>
              <w:pBdr/>
              <w:spacing/>
              <w:ind/>
              <w:rPr/>
            </w:pPr>
            <w:r>
              <w:t xml:space="preserve">Textual; Principles/Dialogues; scholarship</w:t>
            </w:r>
            <w:r/>
          </w:p>
        </w:tc>
        <w:tc>
          <w:tcPr>
            <w:shd w:val="clear" w:color="auto" w:fill="f7f9fa"/>
            <w:tcBorders/>
            <w:tcMar>
              <w:left w:w="70" w:type="dxa"/>
              <w:top w:w="60" w:type="dxa"/>
              <w:right w:w="70" w:type="dxa"/>
              <w:bottom w:w="60" w:type="dxa"/>
            </w:tcMar>
            <w:tcW w:w="3966" w:type="dxa"/>
            <w:vAlign w:val="top"/>
          </w:tcPr>
          <w:p>
            <w:pPr>
              <w:pStyle w:val="1297"/>
              <w:pBdr/>
              <w:spacing/>
              <w:ind/>
              <w:rPr/>
            </w:pPr>
            <w:r>
              <w:t xml:space="preserve">Ideas/spirits; rejection of material substance; divine ordering Strong domains: D1 D3 D5 D7</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35</w:t>
            </w:r>
            <w:r/>
          </w:p>
        </w:tc>
        <w:tc>
          <w:tcPr>
            <w:tcBorders/>
            <w:tcMar>
              <w:left w:w="70" w:type="dxa"/>
              <w:top w:w="60" w:type="dxa"/>
              <w:right w:w="70" w:type="dxa"/>
              <w:bottom w:w="60" w:type="dxa"/>
            </w:tcMar>
            <w:tcW w:w="3051" w:type="dxa"/>
            <w:vAlign w:val="top"/>
          </w:tcPr>
          <w:p>
            <w:pPr>
              <w:pStyle w:val="1297"/>
              <w:pBdr/>
              <w:spacing/>
              <w:ind/>
              <w:rPr/>
            </w:pPr>
            <w:r>
              <w:t xml:space="preserve">Aquinas, Summa-centered creation/soul synthesis</w:t>
            </w:r>
            <w:r/>
          </w:p>
        </w:tc>
        <w:tc>
          <w:tcPr>
            <w:tcBorders/>
            <w:tcMar>
              <w:left w:w="70" w:type="dxa"/>
              <w:top w:w="60" w:type="dxa"/>
              <w:right w:w="70" w:type="dxa"/>
              <w:bottom w:w="60" w:type="dxa"/>
            </w:tcMar>
            <w:tcW w:w="3661" w:type="dxa"/>
            <w:vAlign w:val="top"/>
          </w:tcPr>
          <w:p>
            <w:pPr>
              <w:pStyle w:val="1297"/>
              <w:pBdr/>
              <w:spacing/>
              <w:ind/>
              <w:rPr/>
            </w:pPr>
            <w:r>
              <w:t xml:space="preserve">13th c.; Latin Christian Europe; Latin; Scholastic Christian</w:t>
            </w:r>
            <w:r/>
          </w:p>
        </w:tc>
        <w:tc>
          <w:tcPr>
            <w:tcBorders/>
            <w:tcMar>
              <w:left w:w="70" w:type="dxa"/>
              <w:top w:w="60" w:type="dxa"/>
              <w:right w:w="70" w:type="dxa"/>
              <w:bottom w:w="60" w:type="dxa"/>
            </w:tcMar>
            <w:tcW w:w="3509" w:type="dxa"/>
            <w:vAlign w:val="top"/>
          </w:tcPr>
          <w:p>
            <w:pPr>
              <w:pStyle w:val="1297"/>
              <w:pBdr/>
              <w:spacing/>
              <w:ind/>
              <w:rPr/>
            </w:pPr>
            <w:r>
              <w:t xml:space="preserve">Textual; Summa; specialist scholarship</w:t>
            </w:r>
            <w:r/>
          </w:p>
        </w:tc>
        <w:tc>
          <w:tcPr>
            <w:tcBorders/>
            <w:tcMar>
              <w:left w:w="70" w:type="dxa"/>
              <w:top w:w="60" w:type="dxa"/>
              <w:right w:w="70" w:type="dxa"/>
              <w:bottom w:w="60" w:type="dxa"/>
            </w:tcMar>
            <w:tcW w:w="3966" w:type="dxa"/>
            <w:vAlign w:val="top"/>
          </w:tcPr>
          <w:p>
            <w:pPr>
              <w:pStyle w:val="1297"/>
              <w:pBdr/>
              <w:spacing/>
              <w:ind/>
              <w:rPr/>
            </w:pPr>
            <w:r>
              <w:t xml:space="preserve">Creator/creation distinction, hylomorphic soul-body unity, teleology Strong domains: D1 D2 D4 D6 D10 D13–14</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36</w:t>
            </w:r>
            <w:r/>
          </w:p>
        </w:tc>
        <w:tc>
          <w:tcPr>
            <w:shd w:val="clear" w:color="auto" w:fill="f7f9fa"/>
            <w:tcBorders/>
            <w:tcMar>
              <w:left w:w="70" w:type="dxa"/>
              <w:top w:w="60" w:type="dxa"/>
              <w:right w:w="70" w:type="dxa"/>
              <w:bottom w:w="60" w:type="dxa"/>
            </w:tcMar>
            <w:tcW w:w="3051" w:type="dxa"/>
            <w:vAlign w:val="top"/>
          </w:tcPr>
          <w:p>
            <w:pPr>
              <w:pStyle w:val="1297"/>
              <w:pBdr/>
              <w:spacing/>
              <w:ind/>
              <w:rPr/>
            </w:pPr>
            <w:r>
              <w:t xml:space="preserve">Wang Yangming, mature xin/li cultivation position</w:t>
            </w:r>
            <w:r/>
          </w:p>
        </w:tc>
        <w:tc>
          <w:tcPr>
            <w:shd w:val="clear" w:color="auto" w:fill="f7f9fa"/>
            <w:tcBorders/>
            <w:tcMar>
              <w:left w:w="70" w:type="dxa"/>
              <w:top w:w="60" w:type="dxa"/>
              <w:right w:w="70" w:type="dxa"/>
              <w:bottom w:w="60" w:type="dxa"/>
            </w:tcMar>
            <w:tcW w:w="3661" w:type="dxa"/>
            <w:vAlign w:val="top"/>
          </w:tcPr>
          <w:p>
            <w:pPr>
              <w:pStyle w:val="1297"/>
              <w:pBdr/>
              <w:spacing/>
              <w:ind/>
              <w:rPr/>
            </w:pPr>
            <w:r>
              <w:t xml:space="preserve">15th–16th c.; China; Classical Chinese; Neo-Confucian</w:t>
            </w:r>
            <w:r/>
          </w:p>
        </w:tc>
        <w:tc>
          <w:tcPr>
            <w:shd w:val="clear" w:color="auto" w:fill="f7f9fa"/>
            <w:tcBorders/>
            <w:tcMar>
              <w:left w:w="70" w:type="dxa"/>
              <w:top w:w="60" w:type="dxa"/>
              <w:right w:w="70" w:type="dxa"/>
              <w:bottom w:w="60" w:type="dxa"/>
            </w:tcMar>
            <w:tcW w:w="3509" w:type="dxa"/>
            <w:vAlign w:val="top"/>
          </w:tcPr>
          <w:p>
            <w:pPr>
              <w:pStyle w:val="1297"/>
              <w:pBdr/>
              <w:spacing/>
              <w:ind/>
              <w:rPr/>
            </w:pPr>
            <w:r>
              <w:t xml:space="preserve">Textual; Instructions for Practical Living; scholarship</w:t>
            </w:r>
            <w:r/>
          </w:p>
        </w:tc>
        <w:tc>
          <w:tcPr>
            <w:shd w:val="clear" w:color="auto" w:fill="f7f9fa"/>
            <w:tcBorders/>
            <w:tcMar>
              <w:left w:w="70" w:type="dxa"/>
              <w:top w:w="60" w:type="dxa"/>
              <w:right w:w="70" w:type="dxa"/>
              <w:bottom w:w="60" w:type="dxa"/>
            </w:tcMar>
            <w:tcW w:w="3966" w:type="dxa"/>
            <w:vAlign w:val="top"/>
          </w:tcPr>
          <w:p>
            <w:pPr>
              <w:pStyle w:val="1297"/>
              <w:pBdr/>
              <w:spacing/>
              <w:ind/>
              <w:rPr/>
            </w:pPr>
            <w:r>
              <w:t xml:space="preserve">Unity of knowledge/action; mind/principle; innate knowing Strong domains: D5 D7 D8 D12 D15</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37</w:t>
            </w:r>
            <w:r/>
          </w:p>
        </w:tc>
        <w:tc>
          <w:tcPr>
            <w:tcBorders/>
            <w:tcMar>
              <w:left w:w="70" w:type="dxa"/>
              <w:top w:w="60" w:type="dxa"/>
              <w:right w:w="70" w:type="dxa"/>
              <w:bottom w:w="60" w:type="dxa"/>
            </w:tcMar>
            <w:tcW w:w="3051" w:type="dxa"/>
            <w:vAlign w:val="top"/>
          </w:tcPr>
          <w:p>
            <w:pPr>
              <w:pStyle w:val="1297"/>
              <w:pBdr/>
              <w:spacing/>
              <w:ind/>
              <w:rPr/>
            </w:pPr>
            <w:r>
              <w:t xml:space="preserve">Oruka, selected philosophic-sage dossiers</w:t>
            </w:r>
            <w:r/>
          </w:p>
        </w:tc>
        <w:tc>
          <w:tcPr>
            <w:tcBorders/>
            <w:tcMar>
              <w:left w:w="70" w:type="dxa"/>
              <w:top w:w="60" w:type="dxa"/>
              <w:right w:w="70" w:type="dxa"/>
              <w:bottom w:w="60" w:type="dxa"/>
            </w:tcMar>
            <w:tcW w:w="3661" w:type="dxa"/>
            <w:vAlign w:val="top"/>
          </w:tcPr>
          <w:p>
            <w:pPr>
              <w:pStyle w:val="1297"/>
              <w:pBdr/>
              <w:spacing/>
              <w:ind/>
              <w:rPr/>
            </w:pPr>
            <w:r>
              <w:t xml:space="preserve">20th c.; Kenya; multiple local languages/English mediation; African sage philosophy</w:t>
            </w:r>
            <w:r/>
          </w:p>
        </w:tc>
        <w:tc>
          <w:tcPr>
            <w:tcBorders/>
            <w:tcMar>
              <w:left w:w="70" w:type="dxa"/>
              <w:top w:w="60" w:type="dxa"/>
              <w:right w:w="70" w:type="dxa"/>
              <w:bottom w:w="60" w:type="dxa"/>
            </w:tcMar>
            <w:tcW w:w="3509" w:type="dxa"/>
            <w:vAlign w:val="top"/>
          </w:tcPr>
          <w:p>
            <w:pPr>
              <w:pStyle w:val="1297"/>
              <w:pBdr/>
              <w:spacing/>
              <w:ind/>
              <w:rPr/>
            </w:pPr>
            <w:r>
              <w:t xml:space="preserve">Interview/oral-philosophical records; Oruka corpus + later critique</w:t>
            </w:r>
            <w:r/>
          </w:p>
        </w:tc>
        <w:tc>
          <w:tcPr>
            <w:tcBorders/>
            <w:tcMar>
              <w:left w:w="70" w:type="dxa"/>
              <w:top w:w="60" w:type="dxa"/>
              <w:right w:w="70" w:type="dxa"/>
              <w:bottom w:w="60" w:type="dxa"/>
            </w:tcMar>
            <w:tcW w:w="3966" w:type="dxa"/>
            <w:vAlign w:val="top"/>
          </w:tcPr>
          <w:p>
            <w:pPr>
              <w:pStyle w:val="1297"/>
              <w:pBdr/>
              <w:spacing/>
              <w:ind/>
              <w:rPr/>
            </w:pPr>
            <w:r>
              <w:t xml:space="preserve">Individual reflective positions within oral/community settings Strong domains: D7 D8 D11 D15</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38</w:t>
            </w:r>
            <w:r/>
          </w:p>
        </w:tc>
        <w:tc>
          <w:tcPr>
            <w:shd w:val="clear" w:color="auto" w:fill="f7f9fa"/>
            <w:tcBorders/>
            <w:tcMar>
              <w:left w:w="70" w:type="dxa"/>
              <w:top w:w="60" w:type="dxa"/>
              <w:right w:w="70" w:type="dxa"/>
              <w:bottom w:w="60" w:type="dxa"/>
            </w:tcMar>
            <w:tcW w:w="3051" w:type="dxa"/>
            <w:vAlign w:val="top"/>
          </w:tcPr>
          <w:p>
            <w:pPr>
              <w:pStyle w:val="1297"/>
              <w:pBdr/>
              <w:spacing/>
              <w:ind/>
              <w:rPr/>
            </w:pPr>
            <w:r>
              <w:t xml:space="preserve">Dōgen, Shōbōgenzō-centered position</w:t>
            </w:r>
            <w:r/>
          </w:p>
        </w:tc>
        <w:tc>
          <w:tcPr>
            <w:shd w:val="clear" w:color="auto" w:fill="f7f9fa"/>
            <w:tcBorders/>
            <w:tcMar>
              <w:left w:w="70" w:type="dxa"/>
              <w:top w:w="60" w:type="dxa"/>
              <w:right w:w="70" w:type="dxa"/>
              <w:bottom w:w="60" w:type="dxa"/>
            </w:tcMar>
            <w:tcW w:w="3661" w:type="dxa"/>
            <w:vAlign w:val="top"/>
          </w:tcPr>
          <w:p>
            <w:pPr>
              <w:pStyle w:val="1297"/>
              <w:pBdr/>
              <w:spacing/>
              <w:ind/>
              <w:rPr/>
            </w:pPr>
            <w:r>
              <w:t xml:space="preserve">13th c.; Japan; Sino-Japanese/Japanese; Sōtō Zen</w:t>
            </w:r>
            <w:r/>
          </w:p>
        </w:tc>
        <w:tc>
          <w:tcPr>
            <w:shd w:val="clear" w:color="auto" w:fill="f7f9fa"/>
            <w:tcBorders/>
            <w:tcMar>
              <w:left w:w="70" w:type="dxa"/>
              <w:top w:w="60" w:type="dxa"/>
              <w:right w:w="70" w:type="dxa"/>
              <w:bottom w:w="60" w:type="dxa"/>
            </w:tcMar>
            <w:tcW w:w="3509" w:type="dxa"/>
            <w:vAlign w:val="top"/>
          </w:tcPr>
          <w:p>
            <w:pPr>
              <w:pStyle w:val="1297"/>
              <w:pBdr/>
              <w:spacing/>
              <w:ind/>
              <w:rPr/>
            </w:pPr>
            <w:r>
              <w:t xml:space="preserve">Textual; Shōbōgenzō; specialist scholarship</w:t>
            </w:r>
            <w:r/>
          </w:p>
        </w:tc>
        <w:tc>
          <w:tcPr>
            <w:shd w:val="clear" w:color="auto" w:fill="f7f9fa"/>
            <w:tcBorders/>
            <w:tcMar>
              <w:left w:w="70" w:type="dxa"/>
              <w:top w:w="60" w:type="dxa"/>
              <w:right w:w="70" w:type="dxa"/>
              <w:bottom w:w="60" w:type="dxa"/>
            </w:tcMar>
            <w:tcW w:w="3966" w:type="dxa"/>
            <w:vAlign w:val="top"/>
          </w:tcPr>
          <w:p>
            <w:pPr>
              <w:pStyle w:val="1297"/>
              <w:pBdr/>
              <w:spacing/>
              <w:ind/>
              <w:rPr/>
            </w:pPr>
            <w:r>
              <w:t xml:space="preserve">Practice-realization, temporality, non-dual enactment without simple substance ontology Strong domains: D1 D6 D7 D12 D14–15</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39</w:t>
            </w:r>
            <w:r/>
          </w:p>
        </w:tc>
        <w:tc>
          <w:tcPr>
            <w:tcBorders/>
            <w:tcMar>
              <w:left w:w="70" w:type="dxa"/>
              <w:top w:w="60" w:type="dxa"/>
              <w:right w:w="70" w:type="dxa"/>
              <w:bottom w:w="60" w:type="dxa"/>
            </w:tcMar>
            <w:tcW w:w="3051" w:type="dxa"/>
            <w:vAlign w:val="top"/>
          </w:tcPr>
          <w:p>
            <w:pPr>
              <w:pStyle w:val="1297"/>
              <w:pBdr/>
              <w:spacing/>
              <w:ind/>
              <w:rPr/>
            </w:pPr>
            <w:r>
              <w:t xml:space="preserve">Nahua teotl reconstruction, source-bounded classical corpus candidate</w:t>
            </w:r>
            <w:r/>
          </w:p>
        </w:tc>
        <w:tc>
          <w:tcPr>
            <w:tcBorders/>
            <w:tcMar>
              <w:left w:w="70" w:type="dxa"/>
              <w:top w:w="60" w:type="dxa"/>
              <w:right w:w="70" w:type="dxa"/>
              <w:bottom w:w="60" w:type="dxa"/>
            </w:tcMar>
            <w:tcW w:w="3661" w:type="dxa"/>
            <w:vAlign w:val="top"/>
          </w:tcPr>
          <w:p>
            <w:pPr>
              <w:pStyle w:val="1297"/>
              <w:pBdr/>
              <w:spacing/>
              <w:ind/>
              <w:rPr/>
            </w:pPr>
            <w:r>
              <w:t xml:space="preserve">15th–16th c. colonial-era records of precolonial/early colonial thought; Central Mexico; Nahuatl; Nahua philosophical/religious discourse</w:t>
            </w:r>
            <w:r/>
          </w:p>
        </w:tc>
        <w:tc>
          <w:tcPr>
            <w:tcBorders/>
            <w:tcMar>
              <w:left w:w="70" w:type="dxa"/>
              <w:top w:w="60" w:type="dxa"/>
              <w:right w:w="70" w:type="dxa"/>
              <w:bottom w:w="60" w:type="dxa"/>
            </w:tcMar>
            <w:tcW w:w="3509" w:type="dxa"/>
            <w:vAlign w:val="top"/>
          </w:tcPr>
          <w:p>
            <w:pPr>
              <w:pStyle w:val="1297"/>
              <w:pBdr/>
              <w:spacing/>
              <w:ind/>
              <w:rPr/>
            </w:pPr>
            <w:r>
              <w:t xml:space="preserve">Colonial textual records + philology; overview [E35]</w:t>
            </w:r>
            <w:r/>
          </w:p>
        </w:tc>
        <w:tc>
          <w:tcPr>
            <w:tcBorders/>
            <w:tcMar>
              <w:left w:w="70" w:type="dxa"/>
              <w:top w:w="60" w:type="dxa"/>
              <w:right w:w="70" w:type="dxa"/>
              <w:bottom w:w="60" w:type="dxa"/>
            </w:tcMar>
            <w:tcW w:w="3966" w:type="dxa"/>
            <w:vAlign w:val="top"/>
          </w:tcPr>
          <w:p>
            <w:pPr>
              <w:pStyle w:val="1297"/>
              <w:pBdr/>
              <w:spacing/>
              <w:ind/>
              <w:rPr/>
            </w:pPr>
            <w:r>
              <w:t xml:space="preserve">Dynamic sacred/ontological process often reconstructed as teotl; truth/rootedness Strong domains: D1 D3 D7 D8 D15</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40</w:t>
            </w:r>
            <w:r/>
          </w:p>
        </w:tc>
        <w:tc>
          <w:tcPr>
            <w:shd w:val="clear" w:color="auto" w:fill="f7f9fa"/>
            <w:tcBorders/>
            <w:tcMar>
              <w:left w:w="70" w:type="dxa"/>
              <w:top w:w="60" w:type="dxa"/>
              <w:right w:w="70" w:type="dxa"/>
              <w:bottom w:w="60" w:type="dxa"/>
            </w:tcMar>
            <w:tcW w:w="3051" w:type="dxa"/>
            <w:vAlign w:val="top"/>
          </w:tcPr>
          <w:p>
            <w:pPr>
              <w:pStyle w:val="1297"/>
              <w:pBdr/>
              <w:spacing/>
              <w:ind/>
              <w:rPr/>
            </w:pPr>
            <w:r>
              <w:t xml:space="preserve">Māori whakapapa-centered relational ontology candidate</w:t>
            </w:r>
            <w:r/>
          </w:p>
        </w:tc>
        <w:tc>
          <w:tcPr>
            <w:shd w:val="clear" w:color="auto" w:fill="f7f9fa"/>
            <w:tcBorders/>
            <w:tcMar>
              <w:left w:w="70" w:type="dxa"/>
              <w:top w:w="60" w:type="dxa"/>
              <w:right w:w="70" w:type="dxa"/>
              <w:bottom w:w="60" w:type="dxa"/>
            </w:tcMar>
            <w:tcW w:w="3661" w:type="dxa"/>
            <w:vAlign w:val="top"/>
          </w:tcPr>
          <w:p>
            <w:pPr>
              <w:pStyle w:val="1297"/>
              <w:pBdr/>
              <w:spacing/>
              <w:ind/>
              <w:rPr/>
            </w:pPr>
            <w:r>
              <w:t xml:space="preserve">Living/colonial-modern documentation; Aotearoa; te reo Māori; Māori knowledge/philosophical contexts</w:t>
            </w:r>
            <w:r/>
          </w:p>
        </w:tc>
        <w:tc>
          <w:tcPr>
            <w:shd w:val="clear" w:color="auto" w:fill="f7f9fa"/>
            <w:tcBorders/>
            <w:tcMar>
              <w:left w:w="70" w:type="dxa"/>
              <w:top w:w="60" w:type="dxa"/>
              <w:right w:w="70" w:type="dxa"/>
              <w:bottom w:w="60" w:type="dxa"/>
            </w:tcMar>
            <w:tcW w:w="3509" w:type="dxa"/>
            <w:vAlign w:val="top"/>
          </w:tcPr>
          <w:p>
            <w:pPr>
              <w:pStyle w:val="1297"/>
              <w:pBdr/>
              <w:spacing/>
              <w:ind/>
              <w:rPr/>
            </w:pPr>
            <w:r>
              <w:t xml:space="preserve">Community/institutional + scholarly sources; Te Ara overview [E34]</w:t>
            </w:r>
            <w:r/>
          </w:p>
        </w:tc>
        <w:tc>
          <w:tcPr>
            <w:shd w:val="clear" w:color="auto" w:fill="f7f9fa"/>
            <w:tcBorders/>
            <w:tcMar>
              <w:left w:w="70" w:type="dxa"/>
              <w:top w:w="60" w:type="dxa"/>
              <w:right w:w="70" w:type="dxa"/>
              <w:bottom w:w="60" w:type="dxa"/>
            </w:tcMar>
            <w:tcW w:w="3966" w:type="dxa"/>
            <w:vAlign w:val="top"/>
          </w:tcPr>
          <w:p>
            <w:pPr>
              <w:pStyle w:val="1297"/>
              <w:pBdr/>
              <w:spacing/>
              <w:ind/>
              <w:rPr/>
            </w:pPr>
            <w:r>
              <w:t xml:space="preserve">Genealogical relationality linking persons, ancestors, land, nonhuman world Strong domains: D3 D6 D7 D15</w:t>
            </w:r>
            <w:r/>
          </w:p>
        </w:tc>
      </w:tr>
    </w:tbl>
    <w:p>
      <w:pPr>
        <w:pStyle w:val="1300"/>
        <w:pBdr/>
        <w:spacing/>
        <w:ind/>
        <w:rPr/>
      </w:pPr>
      <w:r/>
      <w:r/>
    </w:p>
    <w:p>
      <w:pPr>
        <w:pStyle w:val="1136"/>
        <w:keepNext w:val="true"/>
        <w:keepLines w:val="true"/>
        <w:pBdr/>
        <w:spacing/>
        <w:ind/>
        <w:rPr/>
      </w:pPr>
      <w:r/>
      <w:bookmarkStart w:id="185" w:name="A3"/>
      <w:r>
        <w:t xml:space="preserve">A3. Candidate scoring and role view</w:t>
      </w:r>
      <w:bookmarkEnd w:id="185"/>
      <w:r/>
      <w:r/>
    </w:p>
    <w:p>
      <w:pPr>
        <w:pStyle w:val="1184"/>
        <w:keepNext w:val="true"/>
        <w:keepLines w:val="true"/>
        <w:pBdr/>
        <w:spacing/>
        <w:ind/>
        <w:rPr/>
      </w:pPr>
      <w:r/>
      <w:bookmarkStart w:id="186" w:name="T_CANDIDATE_SCORE"/>
      <w:r>
        <w:t xml:space="preserve">Historical snapshot — Candidate scoring and role view as of 28 July 2026</w:t>
      </w:r>
      <w:bookmarkEnd w:id="186"/>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1068"/>
        <w:gridCol w:w="3356"/>
        <w:gridCol w:w="3355"/>
        <w:gridCol w:w="1983"/>
        <w:gridCol w:w="3355"/>
        <w:gridCol w:w="2135"/>
      </w:tblGrid>
      <w:tr>
        <w:trPr>
          <w:cantSplit/>
          <w:tblHeader/>
        </w:trPr>
        <w:tc>
          <w:tcPr>
            <w:shd w:val="clear" w:color="auto" w:fill="1f5a73"/>
            <w:tcBorders/>
            <w:tcMar>
              <w:left w:w="70" w:type="dxa"/>
              <w:top w:w="60" w:type="dxa"/>
              <w:right w:w="70" w:type="dxa"/>
              <w:bottom w:w="60" w:type="dxa"/>
            </w:tcMar>
            <w:tcW w:w="1068" w:type="dxa"/>
            <w:vAlign w:val="top"/>
          </w:tcPr>
          <w:p>
            <w:pPr>
              <w:pStyle w:val="1299"/>
              <w:pBdr/>
              <w:spacing/>
              <w:ind/>
              <w:rPr/>
            </w:pPr>
            <w:r>
              <w:t xml:space="preserve">Candidate</w:t>
            </w:r>
            <w:r/>
          </w:p>
        </w:tc>
        <w:tc>
          <w:tcPr>
            <w:shd w:val="clear" w:color="auto" w:fill="1f5a73"/>
            <w:tcBorders/>
            <w:tcMar>
              <w:left w:w="70" w:type="dxa"/>
              <w:top w:w="60" w:type="dxa"/>
              <w:right w:w="70" w:type="dxa"/>
              <w:bottom w:w="60" w:type="dxa"/>
            </w:tcMar>
            <w:tcW w:w="3356" w:type="dxa"/>
            <w:vAlign w:val="top"/>
          </w:tcPr>
          <w:p>
            <w:pPr>
              <w:pStyle w:val="1299"/>
              <w:pBdr/>
              <w:spacing/>
              <w:ind/>
              <w:rPr/>
            </w:pPr>
            <w:r>
              <w:t xml:space="preserve">Comparative leverage</w:t>
            </w:r>
            <w:r/>
          </w:p>
        </w:tc>
        <w:tc>
          <w:tcPr>
            <w:shd w:val="clear" w:color="auto" w:fill="1f5a73"/>
            <w:tcBorders/>
            <w:tcMar>
              <w:left w:w="70" w:type="dxa"/>
              <w:top w:w="60" w:type="dxa"/>
              <w:right w:w="70" w:type="dxa"/>
              <w:bottom w:w="60" w:type="dxa"/>
            </w:tcMar>
            <w:tcW w:w="3355" w:type="dxa"/>
            <w:vAlign w:val="top"/>
          </w:tcPr>
          <w:p>
            <w:pPr>
              <w:pStyle w:val="1299"/>
              <w:pBdr/>
              <w:spacing/>
              <w:ind/>
              <w:rPr/>
            </w:pPr>
            <w:r>
              <w:t xml:space="preserve">Counterexample or category leverage</w:t>
            </w:r>
            <w:r/>
          </w:p>
        </w:tc>
        <w:tc>
          <w:tcPr>
            <w:shd w:val="clear" w:color="auto" w:fill="1f5a73"/>
            <w:tcBorders/>
            <w:tcMar>
              <w:left w:w="70" w:type="dxa"/>
              <w:top w:w="60" w:type="dxa"/>
              <w:right w:w="70" w:type="dxa"/>
              <w:bottom w:w="60" w:type="dxa"/>
            </w:tcMar>
            <w:tcW w:w="1983" w:type="dxa"/>
            <w:vAlign w:val="top"/>
          </w:tcPr>
          <w:p>
            <w:pPr>
              <w:pStyle w:val="1299"/>
              <w:pBdr/>
              <w:spacing/>
              <w:ind/>
              <w:rPr/>
            </w:pPr>
            <w:r>
              <w:t xml:space="preserve">Hard eligibility</w:t>
            </w:r>
            <w:r/>
          </w:p>
        </w:tc>
        <w:tc>
          <w:tcPr>
            <w:shd w:val="clear" w:color="auto" w:fill="1f5a73"/>
            <w:tcBorders/>
            <w:tcMar>
              <w:left w:w="70" w:type="dxa"/>
              <w:top w:w="60" w:type="dxa"/>
              <w:right w:w="70" w:type="dxa"/>
              <w:bottom w:w="60" w:type="dxa"/>
            </w:tcMar>
            <w:tcW w:w="3355" w:type="dxa"/>
            <w:vAlign w:val="top"/>
          </w:tcPr>
          <w:p>
            <w:pPr>
              <w:pStyle w:val="1299"/>
              <w:pBdr/>
              <w:spacing/>
              <w:ind/>
              <w:rPr/>
            </w:pPr>
            <w:r>
              <w:t xml:space="preserve">Role score</w:t>
            </w:r>
            <w:r/>
          </w:p>
        </w:tc>
        <w:tc>
          <w:tcPr>
            <w:shd w:val="clear" w:color="auto" w:fill="1f5a73"/>
            <w:tcBorders/>
            <w:tcMar>
              <w:left w:w="70" w:type="dxa"/>
              <w:top w:w="60" w:type="dxa"/>
              <w:right w:w="70" w:type="dxa"/>
              <w:bottom w:w="60" w:type="dxa"/>
            </w:tcMar>
            <w:tcW w:w="2135" w:type="dxa"/>
            <w:vAlign w:val="top"/>
          </w:tcPr>
          <w:p>
            <w:pPr>
              <w:pStyle w:val="1299"/>
              <w:pBdr/>
              <w:spacing/>
              <w:ind/>
              <w:rPr/>
            </w:pPr>
            <w:r>
              <w:t xml:space="preserve">Editorial role</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1</w:t>
            </w:r>
            <w:r/>
          </w:p>
        </w:tc>
        <w:tc>
          <w:tcPr>
            <w:tcBorders/>
            <w:tcMar>
              <w:left w:w="70" w:type="dxa"/>
              <w:top w:w="60" w:type="dxa"/>
              <w:right w:w="70" w:type="dxa"/>
              <w:bottom w:w="60" w:type="dxa"/>
            </w:tcMar>
            <w:tcW w:w="3356" w:type="dxa"/>
            <w:vAlign w:val="top"/>
          </w:tcPr>
          <w:p>
            <w:pPr>
              <w:pStyle w:val="1297"/>
              <w:pBdr/>
              <w:spacing/>
              <w:ind/>
              <w:rPr/>
            </w:pPr>
            <w:r>
              <w:t xml:space="preserve">Created-good/defective-world fault line; exit orientation</w:t>
            </w:r>
            <w:r/>
          </w:p>
        </w:tc>
        <w:tc>
          <w:tcPr>
            <w:tcBorders/>
            <w:tcMar>
              <w:left w:w="70" w:type="dxa"/>
              <w:top w:w="60" w:type="dxa"/>
              <w:right w:w="70" w:type="dxa"/>
              <w:bottom w:w="60" w:type="dxa"/>
            </w:tcMar>
            <w:tcW w:w="3355" w:type="dxa"/>
            <w:vAlign w:val="top"/>
          </w:tcPr>
          <w:p>
            <w:pPr>
              <w:pStyle w:val="1297"/>
              <w:pBdr/>
              <w:spacing/>
              <w:ind/>
              <w:rPr/>
            </w:pPr>
            <w:r>
              <w:t xml:space="preserve">Counters creation-goodness; translation and recension pressure</w:t>
            </w:r>
            <w:r/>
          </w:p>
        </w:tc>
        <w:tc>
          <w:tcPr>
            <w:tcBorders/>
            <w:tcMar>
              <w:left w:w="70" w:type="dxa"/>
              <w:top w:w="60" w:type="dxa"/>
              <w:right w:w="70" w:type="dxa"/>
              <w:bottom w:w="60" w:type="dxa"/>
            </w:tcMar>
            <w:tcW w:w="1983" w:type="dxa"/>
            <w:vAlign w:val="top"/>
          </w:tcPr>
          <w:p>
            <w:pPr>
              <w:pStyle w:val="1297"/>
              <w:pBdr/>
              <w:spacing/>
              <w:ind/>
              <w:rPr/>
            </w:pPr>
            <w:r>
              <w:t xml:space="preserve">PASS</w:t>
            </w:r>
            <w:r/>
          </w:p>
        </w:tc>
        <w:tc>
          <w:tcPr>
            <w:tcBorders/>
            <w:tcMar>
              <w:left w:w="70" w:type="dxa"/>
              <w:top w:w="60" w:type="dxa"/>
              <w:right w:w="70" w:type="dxa"/>
              <w:bottom w:w="60" w:type="dxa"/>
            </w:tcMar>
            <w:tcW w:w="3355" w:type="dxa"/>
            <w:vAlign w:val="top"/>
          </w:tcPr>
          <w:p>
            <w:pPr>
              <w:pStyle w:val="1297"/>
              <w:pBdr/>
              <w:spacing/>
              <w:ind/>
              <w:rPr/>
            </w:pPr>
            <w:r>
              <w:t xml:space="preserve">CD 5 | CL 5 | CC 4 | DR 4 | LR 5 | SF 4 | RF 5 | weighted 4.60/5</w:t>
            </w:r>
            <w:r/>
          </w:p>
        </w:tc>
        <w:tc>
          <w:tcPr>
            <w:tcBorders/>
            <w:tcMar>
              <w:left w:w="70" w:type="dxa"/>
              <w:top w:w="60" w:type="dxa"/>
              <w:right w:w="70" w:type="dxa"/>
              <w:bottom w:w="60" w:type="dxa"/>
            </w:tcMar>
            <w:tcW w:w="2135" w:type="dxa"/>
            <w:vAlign w:val="top"/>
          </w:tcPr>
          <w:p>
            <w:pPr>
              <w:pStyle w:val="1297"/>
              <w:pBdr/>
              <w:spacing/>
              <w:ind/>
              <w:rPr/>
            </w:pPr>
            <w:r>
              <w:t xml:space="preserve">CORE</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2</w:t>
            </w:r>
            <w:r/>
          </w:p>
        </w:tc>
        <w:tc>
          <w:tcPr>
            <w:shd w:val="clear" w:color="auto" w:fill="f7f9fa"/>
            <w:tcBorders/>
            <w:tcMar>
              <w:left w:w="70" w:type="dxa"/>
              <w:top w:w="60" w:type="dxa"/>
              <w:right w:w="70" w:type="dxa"/>
              <w:bottom w:w="60" w:type="dxa"/>
            </w:tcMar>
            <w:tcW w:w="3356" w:type="dxa"/>
            <w:vAlign w:val="top"/>
          </w:tcPr>
          <w:p>
            <w:pPr>
              <w:pStyle w:val="1297"/>
              <w:pBdr/>
              <w:spacing/>
              <w:ind/>
              <w:rPr/>
            </w:pPr>
            <w:r>
              <w:t xml:space="preserve">Embodiment/death/telos; direct counter to Sethian world rejection</w:t>
            </w:r>
            <w:r/>
          </w:p>
        </w:tc>
        <w:tc>
          <w:tcPr>
            <w:shd w:val="clear" w:color="auto" w:fill="f7f9fa"/>
            <w:tcBorders/>
            <w:tcMar>
              <w:left w:w="70" w:type="dxa"/>
              <w:top w:w="60" w:type="dxa"/>
              <w:right w:w="70" w:type="dxa"/>
              <w:bottom w:w="60" w:type="dxa"/>
            </w:tcMar>
            <w:tcW w:w="3355" w:type="dxa"/>
            <w:vAlign w:val="top"/>
          </w:tcPr>
          <w:p>
            <w:pPr>
              <w:pStyle w:val="1297"/>
              <w:pBdr/>
              <w:spacing/>
              <w:ind/>
              <w:rPr/>
            </w:pPr>
            <w:r>
              <w:t xml:space="preserve">Counters body-prison models</w:t>
            </w:r>
            <w:r/>
          </w:p>
        </w:tc>
        <w:tc>
          <w:tcPr>
            <w:shd w:val="clear" w:color="auto" w:fill="f7f9fa"/>
            <w:tcBorders/>
            <w:tcMar>
              <w:left w:w="70" w:type="dxa"/>
              <w:top w:w="60" w:type="dxa"/>
              <w:right w:w="70" w:type="dxa"/>
              <w:bottom w:w="60" w:type="dxa"/>
            </w:tcMar>
            <w:tcW w:w="1983" w:type="dxa"/>
            <w:vAlign w:val="top"/>
          </w:tcPr>
          <w:p>
            <w:pPr>
              <w:pStyle w:val="1297"/>
              <w:pBdr/>
              <w:spacing/>
              <w:ind/>
              <w:rPr/>
            </w:pPr>
            <w:r>
              <w:t xml:space="preserve">PASS</w:t>
            </w:r>
            <w:r/>
          </w:p>
        </w:tc>
        <w:tc>
          <w:tcPr>
            <w:shd w:val="clear" w:color="auto" w:fill="f7f9fa"/>
            <w:tcBorders/>
            <w:tcMar>
              <w:left w:w="70" w:type="dxa"/>
              <w:top w:w="60" w:type="dxa"/>
              <w:right w:w="70" w:type="dxa"/>
              <w:bottom w:w="60" w:type="dxa"/>
            </w:tcMar>
            <w:tcW w:w="3355" w:type="dxa"/>
            <w:vAlign w:val="top"/>
          </w:tcPr>
          <w:p>
            <w:pPr>
              <w:pStyle w:val="1297"/>
              <w:pBdr/>
              <w:spacing/>
              <w:ind/>
              <w:rPr/>
            </w:pPr>
            <w:r>
              <w:t xml:space="preserve">CD 5 | CL 5 | CC 4 | DR 4 | LR 5 | SF 5 | RF 5 | weighted 4.70/5</w:t>
            </w:r>
            <w:r/>
          </w:p>
        </w:tc>
        <w:tc>
          <w:tcPr>
            <w:shd w:val="clear" w:color="auto" w:fill="f7f9fa"/>
            <w:tcBorders/>
            <w:tcMar>
              <w:left w:w="70" w:type="dxa"/>
              <w:top w:w="60" w:type="dxa"/>
              <w:right w:w="70" w:type="dxa"/>
              <w:bottom w:w="60" w:type="dxa"/>
            </w:tcMar>
            <w:tcW w:w="2135" w:type="dxa"/>
            <w:vAlign w:val="top"/>
          </w:tcPr>
          <w:p>
            <w:pPr>
              <w:pStyle w:val="1297"/>
              <w:pBdr/>
              <w:spacing/>
              <w:ind/>
              <w:rPr/>
            </w:pPr>
            <w:r>
              <w:t xml:space="preserve">CORE</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3</w:t>
            </w:r>
            <w:r/>
          </w:p>
        </w:tc>
        <w:tc>
          <w:tcPr>
            <w:tcBorders/>
            <w:tcMar>
              <w:left w:w="70" w:type="dxa"/>
              <w:top w:w="60" w:type="dxa"/>
              <w:right w:w="70" w:type="dxa"/>
              <w:bottom w:w="60" w:type="dxa"/>
            </w:tcMar>
            <w:tcW w:w="3356" w:type="dxa"/>
            <w:vAlign w:val="top"/>
          </w:tcPr>
          <w:p>
            <w:pPr>
              <w:pStyle w:val="1297"/>
              <w:pBdr/>
              <w:spacing/>
              <w:ind/>
              <w:rPr/>
            </w:pPr>
            <w:r>
              <w:t xml:space="preserve">Ultimate Self vs emptiness/no-self; appearance/ignorance</w:t>
            </w:r>
            <w:r/>
          </w:p>
        </w:tc>
        <w:tc>
          <w:tcPr>
            <w:tcBorders/>
            <w:tcMar>
              <w:left w:w="70" w:type="dxa"/>
              <w:top w:w="60" w:type="dxa"/>
              <w:right w:w="70" w:type="dxa"/>
              <w:bottom w:w="60" w:type="dxa"/>
            </w:tcMar>
            <w:tcW w:w="3355" w:type="dxa"/>
            <w:vAlign w:val="top"/>
          </w:tcPr>
          <w:p>
            <w:pPr>
              <w:pStyle w:val="1297"/>
              <w:pBdr/>
              <w:spacing/>
              <w:ind/>
              <w:rPr/>
            </w:pPr>
            <w:r>
              <w:t xml:space="preserve">Strong translation hazard around self/consciousness/illusion</w:t>
            </w:r>
            <w:r/>
          </w:p>
        </w:tc>
        <w:tc>
          <w:tcPr>
            <w:tcBorders/>
            <w:tcMar>
              <w:left w:w="70" w:type="dxa"/>
              <w:top w:w="60" w:type="dxa"/>
              <w:right w:w="70" w:type="dxa"/>
              <w:bottom w:w="60" w:type="dxa"/>
            </w:tcMar>
            <w:tcW w:w="1983" w:type="dxa"/>
            <w:vAlign w:val="top"/>
          </w:tcPr>
          <w:p>
            <w:pPr>
              <w:pStyle w:val="1297"/>
              <w:pBdr/>
              <w:spacing/>
              <w:ind/>
              <w:rPr/>
            </w:pPr>
            <w:r>
              <w:t xml:space="preserve">PASS</w:t>
            </w:r>
            <w:r/>
          </w:p>
        </w:tc>
        <w:tc>
          <w:tcPr>
            <w:tcBorders/>
            <w:tcMar>
              <w:left w:w="70" w:type="dxa"/>
              <w:top w:w="60" w:type="dxa"/>
              <w:right w:w="70" w:type="dxa"/>
              <w:bottom w:w="60" w:type="dxa"/>
            </w:tcMar>
            <w:tcW w:w="3355" w:type="dxa"/>
            <w:vAlign w:val="top"/>
          </w:tcPr>
          <w:p>
            <w:pPr>
              <w:pStyle w:val="1297"/>
              <w:pBdr/>
              <w:spacing/>
              <w:ind/>
              <w:rPr/>
            </w:pPr>
            <w:r>
              <w:t xml:space="preserve">CD 5 | CL 5 | CC 4 | DR 4 | LR 5 | SF 5 | RF 5 | weighted 4.70/5</w:t>
            </w:r>
            <w:r/>
          </w:p>
        </w:tc>
        <w:tc>
          <w:tcPr>
            <w:tcBorders/>
            <w:tcMar>
              <w:left w:w="70" w:type="dxa"/>
              <w:top w:w="60" w:type="dxa"/>
              <w:right w:w="70" w:type="dxa"/>
              <w:bottom w:w="60" w:type="dxa"/>
            </w:tcMar>
            <w:tcW w:w="2135" w:type="dxa"/>
            <w:vAlign w:val="top"/>
          </w:tcPr>
          <w:p>
            <w:pPr>
              <w:pStyle w:val="1297"/>
              <w:pBdr/>
              <w:spacing/>
              <w:ind/>
              <w:rPr/>
            </w:pPr>
            <w:r>
              <w:t xml:space="preserve">CORE</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4</w:t>
            </w:r>
            <w:r/>
          </w:p>
        </w:tc>
        <w:tc>
          <w:tcPr>
            <w:shd w:val="clear" w:color="auto" w:fill="f7f9fa"/>
            <w:tcBorders/>
            <w:tcMar>
              <w:left w:w="70" w:type="dxa"/>
              <w:top w:w="60" w:type="dxa"/>
              <w:right w:w="70" w:type="dxa"/>
              <w:bottom w:w="60" w:type="dxa"/>
            </w:tcMar>
            <w:tcW w:w="3356" w:type="dxa"/>
            <w:vAlign w:val="top"/>
          </w:tcPr>
          <w:p>
            <w:pPr>
              <w:pStyle w:val="1297"/>
              <w:pBdr/>
              <w:spacing/>
              <w:ind/>
              <w:rPr/>
            </w:pPr>
            <w:r>
              <w:t xml:space="preserve">Groundlessness; Advaita fault line; category-refusal leverage</w:t>
            </w:r>
            <w:r/>
          </w:p>
        </w:tc>
        <w:tc>
          <w:tcPr>
            <w:shd w:val="clear" w:color="auto" w:fill="f7f9fa"/>
            <w:tcBorders/>
            <w:tcMar>
              <w:left w:w="70" w:type="dxa"/>
              <w:top w:w="60" w:type="dxa"/>
              <w:right w:w="70" w:type="dxa"/>
              <w:bottom w:w="60" w:type="dxa"/>
            </w:tcMar>
            <w:tcW w:w="3355" w:type="dxa"/>
            <w:vAlign w:val="top"/>
          </w:tcPr>
          <w:p>
            <w:pPr>
              <w:pStyle w:val="1297"/>
              <w:pBdr/>
              <w:spacing/>
              <w:ind/>
              <w:rPr/>
            </w:pPr>
            <w:r>
              <w:t xml:space="preserve">Counters substance/ultimate-entity framing</w:t>
            </w:r>
            <w:r/>
          </w:p>
        </w:tc>
        <w:tc>
          <w:tcPr>
            <w:shd w:val="clear" w:color="auto" w:fill="f7f9fa"/>
            <w:tcBorders/>
            <w:tcMar>
              <w:left w:w="70" w:type="dxa"/>
              <w:top w:w="60" w:type="dxa"/>
              <w:right w:w="70" w:type="dxa"/>
              <w:bottom w:w="60" w:type="dxa"/>
            </w:tcMar>
            <w:tcW w:w="1983" w:type="dxa"/>
            <w:vAlign w:val="top"/>
          </w:tcPr>
          <w:p>
            <w:pPr>
              <w:pStyle w:val="1297"/>
              <w:pBdr/>
              <w:spacing/>
              <w:ind/>
              <w:rPr/>
            </w:pPr>
            <w:r>
              <w:t xml:space="preserve">PASS</w:t>
            </w:r>
            <w:r/>
          </w:p>
        </w:tc>
        <w:tc>
          <w:tcPr>
            <w:shd w:val="clear" w:color="auto" w:fill="f7f9fa"/>
            <w:tcBorders/>
            <w:tcMar>
              <w:left w:w="70" w:type="dxa"/>
              <w:top w:w="60" w:type="dxa"/>
              <w:right w:w="70" w:type="dxa"/>
              <w:bottom w:w="60" w:type="dxa"/>
            </w:tcMar>
            <w:tcW w:w="3355" w:type="dxa"/>
            <w:vAlign w:val="top"/>
          </w:tcPr>
          <w:p>
            <w:pPr>
              <w:pStyle w:val="1297"/>
              <w:pBdr/>
              <w:spacing/>
              <w:ind/>
              <w:rPr/>
            </w:pPr>
            <w:r>
              <w:t xml:space="preserve">CD 5 | CL 5 | CC 4 | DR 4 | LR 5 | SF 5 | RF 5 | weighted 4.70/5</w:t>
            </w:r>
            <w:r/>
          </w:p>
        </w:tc>
        <w:tc>
          <w:tcPr>
            <w:shd w:val="clear" w:color="auto" w:fill="f7f9fa"/>
            <w:tcBorders/>
            <w:tcMar>
              <w:left w:w="70" w:type="dxa"/>
              <w:top w:w="60" w:type="dxa"/>
              <w:right w:w="70" w:type="dxa"/>
              <w:bottom w:w="60" w:type="dxa"/>
            </w:tcMar>
            <w:tcW w:w="2135" w:type="dxa"/>
            <w:vAlign w:val="top"/>
          </w:tcPr>
          <w:p>
            <w:pPr>
              <w:pStyle w:val="1297"/>
              <w:pBdr/>
              <w:spacing/>
              <w:ind/>
              <w:rPr/>
            </w:pPr>
            <w:r>
              <w:t xml:space="preserve">CORE</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5</w:t>
            </w:r>
            <w:r/>
          </w:p>
        </w:tc>
        <w:tc>
          <w:tcPr>
            <w:tcBorders/>
            <w:tcMar>
              <w:left w:w="70" w:type="dxa"/>
              <w:top w:w="60" w:type="dxa"/>
              <w:right w:w="70" w:type="dxa"/>
              <w:bottom w:w="60" w:type="dxa"/>
            </w:tcMar>
            <w:tcW w:w="3356" w:type="dxa"/>
            <w:vAlign w:val="top"/>
          </w:tcPr>
          <w:p>
            <w:pPr>
              <w:pStyle w:val="1297"/>
              <w:pBdr/>
              <w:spacing/>
              <w:ind/>
              <w:rPr/>
            </w:pPr>
            <w:r>
              <w:t xml:space="preserve">Knowing/agency/world-relation; anti-fixity comparator</w:t>
            </w:r>
            <w:r/>
          </w:p>
        </w:tc>
        <w:tc>
          <w:tcPr>
            <w:tcBorders/>
            <w:tcMar>
              <w:left w:w="70" w:type="dxa"/>
              <w:top w:w="60" w:type="dxa"/>
              <w:right w:w="70" w:type="dxa"/>
              <w:bottom w:w="60" w:type="dxa"/>
            </w:tcMar>
            <w:tcW w:w="3355" w:type="dxa"/>
            <w:vAlign w:val="top"/>
          </w:tcPr>
          <w:p>
            <w:pPr>
              <w:pStyle w:val="1297"/>
              <w:pBdr/>
              <w:spacing/>
              <w:ind/>
              <w:rPr/>
            </w:pPr>
            <w:r>
              <w:t xml:space="preserve">Category pressure on stable self, value, purposive praxis</w:t>
            </w:r>
            <w:r/>
          </w:p>
        </w:tc>
        <w:tc>
          <w:tcPr>
            <w:tcBorders/>
            <w:tcMar>
              <w:left w:w="70" w:type="dxa"/>
              <w:top w:w="60" w:type="dxa"/>
              <w:right w:w="70" w:type="dxa"/>
              <w:bottom w:w="60" w:type="dxa"/>
            </w:tcMar>
            <w:tcW w:w="1983" w:type="dxa"/>
            <w:vAlign w:val="top"/>
          </w:tcPr>
          <w:p>
            <w:pPr>
              <w:pStyle w:val="1297"/>
              <w:pBdr/>
              <w:spacing/>
              <w:ind/>
              <w:rPr/>
            </w:pPr>
            <w:r>
              <w:t xml:space="preserve">PASS</w:t>
            </w:r>
            <w:r/>
          </w:p>
        </w:tc>
        <w:tc>
          <w:tcPr>
            <w:tcBorders/>
            <w:tcMar>
              <w:left w:w="70" w:type="dxa"/>
              <w:top w:w="60" w:type="dxa"/>
              <w:right w:w="70" w:type="dxa"/>
              <w:bottom w:w="60" w:type="dxa"/>
            </w:tcMar>
            <w:tcW w:w="3355" w:type="dxa"/>
            <w:vAlign w:val="top"/>
          </w:tcPr>
          <w:p>
            <w:pPr>
              <w:pStyle w:val="1297"/>
              <w:pBdr/>
              <w:spacing/>
              <w:ind/>
              <w:rPr/>
            </w:pPr>
            <w:r>
              <w:t xml:space="preserve">CD 5 | CL 5 | CC 4 | DR 4 | LR 2 | SF 5 | RF 5 | weighted 4.40/5</w:t>
            </w:r>
            <w:r/>
          </w:p>
        </w:tc>
        <w:tc>
          <w:tcPr>
            <w:tcBorders/>
            <w:tcMar>
              <w:left w:w="70" w:type="dxa"/>
              <w:top w:w="60" w:type="dxa"/>
              <w:right w:w="70" w:type="dxa"/>
              <w:bottom w:w="60" w:type="dxa"/>
            </w:tcMar>
            <w:tcW w:w="2135" w:type="dxa"/>
            <w:vAlign w:val="top"/>
          </w:tcPr>
          <w:p>
            <w:pPr>
              <w:pStyle w:val="1297"/>
              <w:pBdr/>
              <w:spacing/>
              <w:ind/>
              <w:rPr/>
            </w:pPr>
            <w:r>
              <w:t xml:space="preserve">CORE</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6</w:t>
            </w:r>
            <w:r/>
          </w:p>
        </w:tc>
        <w:tc>
          <w:tcPr>
            <w:shd w:val="clear" w:color="auto" w:fill="f7f9fa"/>
            <w:tcBorders/>
            <w:tcMar>
              <w:left w:w="70" w:type="dxa"/>
              <w:top w:w="60" w:type="dxa"/>
              <w:right w:w="70" w:type="dxa"/>
              <w:bottom w:w="60" w:type="dxa"/>
            </w:tcMar>
            <w:tcW w:w="3356" w:type="dxa"/>
            <w:vAlign w:val="top"/>
          </w:tcPr>
          <w:p>
            <w:pPr>
              <w:pStyle w:val="1297"/>
              <w:pBdr/>
              <w:spacing/>
              <w:ind/>
              <w:rPr/>
            </w:pPr>
            <w:r>
              <w:t xml:space="preserve">Patterned immanence; cultivation; knowledge-transformation</w:t>
            </w:r>
            <w:r/>
          </w:p>
        </w:tc>
        <w:tc>
          <w:tcPr>
            <w:shd w:val="clear" w:color="auto" w:fill="f7f9fa"/>
            <w:tcBorders/>
            <w:tcMar>
              <w:left w:w="70" w:type="dxa"/>
              <w:top w:w="60" w:type="dxa"/>
              <w:right w:w="70" w:type="dxa"/>
              <w:bottom w:w="60" w:type="dxa"/>
            </w:tcMar>
            <w:tcW w:w="3355" w:type="dxa"/>
            <w:vAlign w:val="top"/>
          </w:tcPr>
          <w:p>
            <w:pPr>
              <w:pStyle w:val="1297"/>
              <w:pBdr/>
              <w:spacing/>
              <w:ind/>
              <w:rPr/>
            </w:pPr>
            <w:r>
              <w:t xml:space="preserve">Counters simple transcendence/immanence binary</w:t>
            </w:r>
            <w:r/>
          </w:p>
        </w:tc>
        <w:tc>
          <w:tcPr>
            <w:shd w:val="clear" w:color="auto" w:fill="f7f9fa"/>
            <w:tcBorders/>
            <w:tcMar>
              <w:left w:w="70" w:type="dxa"/>
              <w:top w:w="60" w:type="dxa"/>
              <w:right w:w="70" w:type="dxa"/>
              <w:bottom w:w="60" w:type="dxa"/>
            </w:tcMar>
            <w:tcW w:w="1983" w:type="dxa"/>
            <w:vAlign w:val="top"/>
          </w:tcPr>
          <w:p>
            <w:pPr>
              <w:pStyle w:val="1297"/>
              <w:pBdr/>
              <w:spacing/>
              <w:ind/>
              <w:rPr/>
            </w:pPr>
            <w:r>
              <w:t xml:space="preserve">PASS</w:t>
            </w:r>
            <w:r/>
          </w:p>
        </w:tc>
        <w:tc>
          <w:tcPr>
            <w:shd w:val="clear" w:color="auto" w:fill="f7f9fa"/>
            <w:tcBorders/>
            <w:tcMar>
              <w:left w:w="70" w:type="dxa"/>
              <w:top w:w="60" w:type="dxa"/>
              <w:right w:w="70" w:type="dxa"/>
              <w:bottom w:w="60" w:type="dxa"/>
            </w:tcMar>
            <w:tcW w:w="3355" w:type="dxa"/>
            <w:vAlign w:val="top"/>
          </w:tcPr>
          <w:p>
            <w:pPr>
              <w:pStyle w:val="1297"/>
              <w:pBdr/>
              <w:spacing/>
              <w:ind/>
              <w:rPr/>
            </w:pPr>
            <w:r>
              <w:t xml:space="preserve">CD 5 | CL 5 | CC 4 | DR 4 | LR 2 | SF 5 | RF 5 | weighted 4.40/5</w:t>
            </w:r>
            <w:r/>
          </w:p>
        </w:tc>
        <w:tc>
          <w:tcPr>
            <w:shd w:val="clear" w:color="auto" w:fill="f7f9fa"/>
            <w:tcBorders/>
            <w:tcMar>
              <w:left w:w="70" w:type="dxa"/>
              <w:top w:w="60" w:type="dxa"/>
              <w:right w:w="70" w:type="dxa"/>
              <w:bottom w:w="60" w:type="dxa"/>
            </w:tcMar>
            <w:tcW w:w="2135" w:type="dxa"/>
            <w:vAlign w:val="top"/>
          </w:tcPr>
          <w:p>
            <w:pPr>
              <w:pStyle w:val="1297"/>
              <w:pBdr/>
              <w:spacing/>
              <w:ind/>
              <w:rPr/>
            </w:pPr>
            <w:r>
              <w:t xml:space="preserve">CORE</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7</w:t>
            </w:r>
            <w:r/>
          </w:p>
        </w:tc>
        <w:tc>
          <w:tcPr>
            <w:tcBorders/>
            <w:tcMar>
              <w:left w:w="70" w:type="dxa"/>
              <w:top w:w="60" w:type="dxa"/>
              <w:right w:w="70" w:type="dxa"/>
              <w:bottom w:w="60" w:type="dxa"/>
            </w:tcMar>
            <w:tcW w:w="3356" w:type="dxa"/>
            <w:vAlign w:val="top"/>
          </w:tcPr>
          <w:p>
            <w:pPr>
              <w:pStyle w:val="1297"/>
              <w:pBdr/>
              <w:spacing/>
              <w:ind/>
              <w:rPr/>
            </w:pPr>
            <w:r>
              <w:t xml:space="preserve">Disclosure/participation motif; unity-with-difference</w:t>
            </w:r>
            <w:r/>
          </w:p>
        </w:tc>
        <w:tc>
          <w:tcPr>
            <w:tcBorders/>
            <w:tcMar>
              <w:left w:w="70" w:type="dxa"/>
              <w:top w:w="60" w:type="dxa"/>
              <w:right w:w="70" w:type="dxa"/>
              <w:bottom w:w="60" w:type="dxa"/>
            </w:tcMar>
            <w:tcW w:w="3355" w:type="dxa"/>
            <w:vAlign w:val="top"/>
          </w:tcPr>
          <w:p>
            <w:pPr>
              <w:pStyle w:val="1297"/>
              <w:pBdr/>
              <w:spacing/>
              <w:ind/>
              <w:rPr/>
            </w:pPr>
            <w:r>
              <w:t xml:space="preserve">Translation hazard: waḥdat, tajallī; not generic monism</w:t>
            </w:r>
            <w:r/>
          </w:p>
        </w:tc>
        <w:tc>
          <w:tcPr>
            <w:tcBorders/>
            <w:tcMar>
              <w:left w:w="70" w:type="dxa"/>
              <w:top w:w="60" w:type="dxa"/>
              <w:right w:w="70" w:type="dxa"/>
              <w:bottom w:w="60" w:type="dxa"/>
            </w:tcMar>
            <w:tcW w:w="1983" w:type="dxa"/>
            <w:vAlign w:val="top"/>
          </w:tcPr>
          <w:p>
            <w:pPr>
              <w:pStyle w:val="1297"/>
              <w:pBdr/>
              <w:spacing/>
              <w:ind/>
              <w:rPr/>
            </w:pPr>
            <w:r>
              <w:t xml:space="preserve">PASS</w:t>
            </w:r>
            <w:r/>
          </w:p>
        </w:tc>
        <w:tc>
          <w:tcPr>
            <w:tcBorders/>
            <w:tcMar>
              <w:left w:w="70" w:type="dxa"/>
              <w:top w:w="60" w:type="dxa"/>
              <w:right w:w="70" w:type="dxa"/>
              <w:bottom w:w="60" w:type="dxa"/>
            </w:tcMar>
            <w:tcW w:w="3355" w:type="dxa"/>
            <w:vAlign w:val="top"/>
          </w:tcPr>
          <w:p>
            <w:pPr>
              <w:pStyle w:val="1297"/>
              <w:pBdr/>
              <w:spacing/>
              <w:ind/>
              <w:rPr/>
            </w:pPr>
            <w:r>
              <w:t xml:space="preserve">CD 5 | CL 5 | CC 4 | DR 4 | LR 5 | SF 4 | RF 5 | weighted 4.60/5</w:t>
            </w:r>
            <w:r/>
          </w:p>
        </w:tc>
        <w:tc>
          <w:tcPr>
            <w:tcBorders/>
            <w:tcMar>
              <w:left w:w="70" w:type="dxa"/>
              <w:top w:w="60" w:type="dxa"/>
              <w:right w:w="70" w:type="dxa"/>
              <w:bottom w:w="60" w:type="dxa"/>
            </w:tcMar>
            <w:tcW w:w="2135" w:type="dxa"/>
            <w:vAlign w:val="top"/>
          </w:tcPr>
          <w:p>
            <w:pPr>
              <w:pStyle w:val="1297"/>
              <w:pBdr/>
              <w:spacing/>
              <w:ind/>
              <w:rPr/>
            </w:pPr>
            <w:r>
              <w:t xml:space="preserve">CORE</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8</w:t>
            </w:r>
            <w:r/>
          </w:p>
        </w:tc>
        <w:tc>
          <w:tcPr>
            <w:shd w:val="clear" w:color="auto" w:fill="f7f9fa"/>
            <w:tcBorders/>
            <w:tcMar>
              <w:left w:w="70" w:type="dxa"/>
              <w:top w:w="60" w:type="dxa"/>
              <w:right w:w="70" w:type="dxa"/>
              <w:bottom w:w="60" w:type="dxa"/>
            </w:tcMar>
            <w:tcW w:w="3356" w:type="dxa"/>
            <w:vAlign w:val="top"/>
          </w:tcPr>
          <w:p>
            <w:pPr>
              <w:pStyle w:val="1297"/>
              <w:pBdr/>
              <w:spacing/>
              <w:ind/>
              <w:rPr/>
            </w:pPr>
            <w:r>
              <w:t xml:space="preserve">Non-textual authority; agency/fate; performed knowledge</w:t>
            </w:r>
            <w:r/>
          </w:p>
        </w:tc>
        <w:tc>
          <w:tcPr>
            <w:shd w:val="clear" w:color="auto" w:fill="f7f9fa"/>
            <w:tcBorders/>
            <w:tcMar>
              <w:left w:w="70" w:type="dxa"/>
              <w:top w:w="60" w:type="dxa"/>
              <w:right w:w="70" w:type="dxa"/>
              <w:bottom w:w="60" w:type="dxa"/>
            </w:tcMar>
            <w:tcW w:w="3355" w:type="dxa"/>
            <w:vAlign w:val="top"/>
          </w:tcPr>
          <w:p>
            <w:pPr>
              <w:pStyle w:val="1297"/>
              <w:pBdr/>
              <w:spacing/>
              <w:ind/>
              <w:rPr/>
            </w:pPr>
            <w:r>
              <w:t xml:space="preserve">Category and provenance stress; cannot generalize to all Yorùbá thought</w:t>
            </w:r>
            <w:r/>
          </w:p>
        </w:tc>
        <w:tc>
          <w:tcPr>
            <w:shd w:val="clear" w:color="auto" w:fill="f7f9fa"/>
            <w:tcBorders/>
            <w:tcMar>
              <w:left w:w="70" w:type="dxa"/>
              <w:top w:w="60" w:type="dxa"/>
              <w:right w:w="70" w:type="dxa"/>
              <w:bottom w:w="60" w:type="dxa"/>
            </w:tcMar>
            <w:tcW w:w="1983" w:type="dxa"/>
            <w:vAlign w:val="top"/>
          </w:tcPr>
          <w:p>
            <w:pPr>
              <w:pStyle w:val="1297"/>
              <w:pBdr/>
              <w:spacing/>
              <w:ind/>
              <w:rPr/>
            </w:pPr>
            <w:r>
              <w:t xml:space="preserve">PASS — current CORE role retains G4/G5 and unit-release dependencies</w:t>
            </w:r>
            <w:r/>
          </w:p>
        </w:tc>
        <w:tc>
          <w:tcPr>
            <w:shd w:val="clear" w:color="auto" w:fill="f7f9fa"/>
            <w:tcBorders/>
            <w:tcMar>
              <w:left w:w="70" w:type="dxa"/>
              <w:top w:w="60" w:type="dxa"/>
              <w:right w:w="70" w:type="dxa"/>
              <w:bottom w:w="60" w:type="dxa"/>
            </w:tcMar>
            <w:tcW w:w="3355" w:type="dxa"/>
            <w:vAlign w:val="top"/>
          </w:tcPr>
          <w:p>
            <w:pPr>
              <w:pStyle w:val="1297"/>
              <w:pBdr/>
              <w:spacing/>
              <w:ind/>
              <w:rPr/>
            </w:pPr>
            <w:r>
              <w:t xml:space="preserve">CD 5 | CL 5 | CC 4 | DR 5 | LR 5 | SF 3 | RF 2 | weighted 4.35/5</w:t>
            </w:r>
            <w:r/>
          </w:p>
        </w:tc>
        <w:tc>
          <w:tcPr>
            <w:shd w:val="clear" w:color="auto" w:fill="f7f9fa"/>
            <w:tcBorders/>
            <w:tcMar>
              <w:left w:w="70" w:type="dxa"/>
              <w:top w:w="60" w:type="dxa"/>
              <w:right w:w="70" w:type="dxa"/>
              <w:bottom w:w="60" w:type="dxa"/>
            </w:tcMar>
            <w:tcW w:w="2135" w:type="dxa"/>
            <w:vAlign w:val="top"/>
          </w:tcPr>
          <w:p>
            <w:pPr>
              <w:pStyle w:val="1297"/>
              <w:pBdr/>
              <w:spacing/>
              <w:ind/>
              <w:rPr/>
            </w:pPr>
            <w:r>
              <w:t xml:space="preserve">CORE</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9</w:t>
            </w:r>
            <w:r/>
          </w:p>
        </w:tc>
        <w:tc>
          <w:tcPr>
            <w:tcBorders/>
            <w:tcMar>
              <w:left w:w="70" w:type="dxa"/>
              <w:top w:w="60" w:type="dxa"/>
              <w:right w:w="70" w:type="dxa"/>
              <w:bottom w:w="60" w:type="dxa"/>
            </w:tcMar>
            <w:tcW w:w="3356" w:type="dxa"/>
            <w:vAlign w:val="top"/>
          </w:tcPr>
          <w:p>
            <w:pPr>
              <w:pStyle w:val="1297"/>
              <w:pBdr/>
              <w:spacing/>
              <w:ind/>
              <w:rPr/>
            </w:pPr>
            <w:r>
              <w:t xml:space="preserve">Human/nonhuman subjecthood counterexample</w:t>
            </w:r>
            <w:r/>
          </w:p>
        </w:tc>
        <w:tc>
          <w:tcPr>
            <w:tcBorders/>
            <w:tcMar>
              <w:left w:w="70" w:type="dxa"/>
              <w:top w:w="60" w:type="dxa"/>
              <w:right w:w="70" w:type="dxa"/>
              <w:bottom w:w="60" w:type="dxa"/>
            </w:tcMar>
            <w:tcW w:w="3355" w:type="dxa"/>
            <w:vAlign w:val="top"/>
          </w:tcPr>
          <w:p>
            <w:pPr>
              <w:pStyle w:val="1297"/>
              <w:pBdr/>
              <w:spacing/>
              <w:ind/>
              <w:rPr/>
            </w:pPr>
            <w:r>
              <w:t xml:space="preserve">High category leverage but mediated voice risk</w:t>
            </w:r>
            <w:r/>
          </w:p>
        </w:tc>
        <w:tc>
          <w:tcPr>
            <w:tcBorders/>
            <w:tcMar>
              <w:left w:w="70" w:type="dxa"/>
              <w:top w:w="60" w:type="dxa"/>
              <w:right w:w="70" w:type="dxa"/>
              <w:bottom w:w="60" w:type="dxa"/>
            </w:tcMar>
            <w:tcW w:w="1983" w:type="dxa"/>
            <w:vAlign w:val="top"/>
          </w:tcPr>
          <w:p>
            <w:pPr>
              <w:pStyle w:val="1297"/>
              <w:pBdr/>
              <w:spacing/>
              <w:ind/>
              <w:rPr/>
            </w:pPr>
            <w:r>
              <w:t xml:space="preserve">PASS — HOLD-FUTURE research scope only; release feasibility unresolved</w:t>
            </w:r>
            <w:r/>
          </w:p>
        </w:tc>
        <w:tc>
          <w:tcPr>
            <w:tcBorders/>
            <w:tcMar>
              <w:left w:w="70" w:type="dxa"/>
              <w:top w:w="60" w:type="dxa"/>
              <w:right w:w="70" w:type="dxa"/>
              <w:bottom w:w="60" w:type="dxa"/>
            </w:tcMar>
            <w:tcW w:w="3355" w:type="dxa"/>
            <w:vAlign w:val="top"/>
          </w:tcPr>
          <w:p>
            <w:pPr>
              <w:pStyle w:val="1297"/>
              <w:pBdr/>
              <w:spacing/>
              <w:ind/>
              <w:rPr/>
            </w:pPr>
            <w:r>
              <w:t xml:space="preserve">CD 3 | CL 3 | CC 5 | DR 5 | LR 5 | SF 1 | RF 2 | weighted 3.50/5</w:t>
            </w:r>
            <w:r/>
          </w:p>
        </w:tc>
        <w:tc>
          <w:tcPr>
            <w:tcBorders/>
            <w:tcMar>
              <w:left w:w="70" w:type="dxa"/>
              <w:top w:w="60" w:type="dxa"/>
              <w:right w:w="70" w:type="dxa"/>
              <w:bottom w:w="60" w:type="dxa"/>
            </w:tcMar>
            <w:tcW w:w="2135" w:type="dxa"/>
            <w:vAlign w:val="top"/>
          </w:tcPr>
          <w:p>
            <w:pPr>
              <w:pStyle w:val="1297"/>
              <w:pBdr/>
              <w:spacing/>
              <w:ind/>
              <w:rPr/>
            </w:pPr>
            <w:r>
              <w:t xml:space="preserve">HOLD-FUTURE</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10</w:t>
            </w:r>
            <w:r/>
          </w:p>
        </w:tc>
        <w:tc>
          <w:tcPr>
            <w:shd w:val="clear" w:color="auto" w:fill="f7f9fa"/>
            <w:tcBorders/>
            <w:tcMar>
              <w:left w:w="70" w:type="dxa"/>
              <w:top w:w="60" w:type="dxa"/>
              <w:right w:w="70" w:type="dxa"/>
              <w:bottom w:w="60" w:type="dxa"/>
            </w:tcMar>
            <w:tcW w:w="3356" w:type="dxa"/>
            <w:vAlign w:val="top"/>
          </w:tcPr>
          <w:p>
            <w:pPr>
              <w:pStyle w:val="1297"/>
              <w:pBdr/>
              <w:spacing/>
              <w:ind/>
              <w:rPr/>
            </w:pPr>
            <w:r>
              <w:t xml:space="preserve">Freedom/telos; self as project; secular comparator</w:t>
            </w:r>
            <w:r/>
          </w:p>
        </w:tc>
        <w:tc>
          <w:tcPr>
            <w:shd w:val="clear" w:color="auto" w:fill="f7f9fa"/>
            <w:tcBorders/>
            <w:tcMar>
              <w:left w:w="70" w:type="dxa"/>
              <w:top w:w="60" w:type="dxa"/>
              <w:right w:w="70" w:type="dxa"/>
              <w:bottom w:w="60" w:type="dxa"/>
            </w:tcMar>
            <w:tcW w:w="3355" w:type="dxa"/>
            <w:vAlign w:val="top"/>
          </w:tcPr>
          <w:p>
            <w:pPr>
              <w:pStyle w:val="1297"/>
              <w:pBdr/>
              <w:spacing/>
              <w:ind/>
              <w:rPr/>
            </w:pPr>
            <w:r>
              <w:t xml:space="preserve">Counters essentialist/person-substance models</w:t>
            </w:r>
            <w:r/>
          </w:p>
        </w:tc>
        <w:tc>
          <w:tcPr>
            <w:shd w:val="clear" w:color="auto" w:fill="f7f9fa"/>
            <w:tcBorders/>
            <w:tcMar>
              <w:left w:w="70" w:type="dxa"/>
              <w:top w:w="60" w:type="dxa"/>
              <w:right w:w="70" w:type="dxa"/>
              <w:bottom w:w="60" w:type="dxa"/>
            </w:tcMar>
            <w:tcW w:w="1983" w:type="dxa"/>
            <w:vAlign w:val="top"/>
          </w:tcPr>
          <w:p>
            <w:pPr>
              <w:pStyle w:val="1297"/>
              <w:pBdr/>
              <w:spacing/>
              <w:ind/>
              <w:rPr/>
            </w:pPr>
            <w:r>
              <w:t xml:space="preserve">PASS</w:t>
            </w:r>
            <w:r/>
          </w:p>
        </w:tc>
        <w:tc>
          <w:tcPr>
            <w:shd w:val="clear" w:color="auto" w:fill="f7f9fa"/>
            <w:tcBorders/>
            <w:tcMar>
              <w:left w:w="70" w:type="dxa"/>
              <w:top w:w="60" w:type="dxa"/>
              <w:right w:w="70" w:type="dxa"/>
              <w:bottom w:w="60" w:type="dxa"/>
            </w:tcMar>
            <w:tcW w:w="3355" w:type="dxa"/>
            <w:vAlign w:val="top"/>
          </w:tcPr>
          <w:p>
            <w:pPr>
              <w:pStyle w:val="1297"/>
              <w:pBdr/>
              <w:spacing/>
              <w:ind/>
              <w:rPr/>
            </w:pPr>
            <w:r>
              <w:t xml:space="preserve">CD 5 | CL 5 | CC 4 | DR 4 | LR 5 | SF 5 | RF 5 | weighted 4.70/5</w:t>
            </w:r>
            <w:r/>
          </w:p>
        </w:tc>
        <w:tc>
          <w:tcPr>
            <w:shd w:val="clear" w:color="auto" w:fill="f7f9fa"/>
            <w:tcBorders/>
            <w:tcMar>
              <w:left w:w="70" w:type="dxa"/>
              <w:top w:w="60" w:type="dxa"/>
              <w:right w:w="70" w:type="dxa"/>
              <w:bottom w:w="60" w:type="dxa"/>
            </w:tcMar>
            <w:tcW w:w="2135" w:type="dxa"/>
            <w:vAlign w:val="top"/>
          </w:tcPr>
          <w:p>
            <w:pPr>
              <w:pStyle w:val="1297"/>
              <w:pBdr/>
              <w:spacing/>
              <w:ind/>
              <w:rPr/>
            </w:pPr>
            <w:r>
              <w:t xml:space="preserve">CORE</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11</w:t>
            </w:r>
            <w:r/>
          </w:p>
        </w:tc>
        <w:tc>
          <w:tcPr>
            <w:tcBorders/>
            <w:tcMar>
              <w:left w:w="70" w:type="dxa"/>
              <w:top w:w="60" w:type="dxa"/>
              <w:right w:w="70" w:type="dxa"/>
              <w:bottom w:w="60" w:type="dxa"/>
            </w:tcMar>
            <w:tcW w:w="3356" w:type="dxa"/>
            <w:vAlign w:val="top"/>
          </w:tcPr>
          <w:p>
            <w:pPr>
              <w:pStyle w:val="1297"/>
              <w:pBdr/>
              <w:spacing/>
              <w:ind/>
              <w:rPr/>
            </w:pPr>
            <w:r>
              <w:t xml:space="preserve">Science/metaphysics boundary; physicalism vs panpsychism/dualism</w:t>
            </w:r>
            <w:r/>
          </w:p>
        </w:tc>
        <w:tc>
          <w:tcPr>
            <w:tcBorders/>
            <w:tcMar>
              <w:left w:w="70" w:type="dxa"/>
              <w:top w:w="60" w:type="dxa"/>
              <w:right w:w="70" w:type="dxa"/>
              <w:bottom w:w="60" w:type="dxa"/>
            </w:tcMar>
            <w:tcW w:w="3355" w:type="dxa"/>
            <w:vAlign w:val="top"/>
          </w:tcPr>
          <w:p>
            <w:pPr>
              <w:pStyle w:val="1297"/>
              <w:pBdr/>
              <w:spacing/>
              <w:ind/>
              <w:rPr/>
            </w:pPr>
            <w:r>
              <w:t xml:space="preserve">Stress test for UND and partial positions</w:t>
            </w:r>
            <w:r/>
          </w:p>
        </w:tc>
        <w:tc>
          <w:tcPr>
            <w:tcBorders/>
            <w:tcMar>
              <w:left w:w="70" w:type="dxa"/>
              <w:top w:w="60" w:type="dxa"/>
              <w:right w:w="70" w:type="dxa"/>
              <w:bottom w:w="60" w:type="dxa"/>
            </w:tcMar>
            <w:tcW w:w="1983" w:type="dxa"/>
            <w:vAlign w:val="top"/>
          </w:tcPr>
          <w:p>
            <w:pPr>
              <w:pStyle w:val="1297"/>
              <w:pBdr/>
              <w:spacing/>
              <w:ind/>
              <w:rPr/>
            </w:pPr>
            <w:r>
              <w:t xml:space="preserve">PASS</w:t>
            </w:r>
            <w:r/>
          </w:p>
        </w:tc>
        <w:tc>
          <w:tcPr>
            <w:tcBorders/>
            <w:tcMar>
              <w:left w:w="70" w:type="dxa"/>
              <w:top w:w="60" w:type="dxa"/>
              <w:right w:w="70" w:type="dxa"/>
              <w:bottom w:w="60" w:type="dxa"/>
            </w:tcMar>
            <w:tcW w:w="3355" w:type="dxa"/>
            <w:vAlign w:val="top"/>
          </w:tcPr>
          <w:p>
            <w:pPr>
              <w:pStyle w:val="1297"/>
              <w:pBdr/>
              <w:spacing/>
              <w:ind/>
              <w:rPr/>
            </w:pPr>
            <w:r>
              <w:t xml:space="preserve">CD 5 | CL 5 | CC 4 | DR 4 | LR 2 | SF 5 | RF 5 | weighted 4.40/5</w:t>
            </w:r>
            <w:r/>
          </w:p>
        </w:tc>
        <w:tc>
          <w:tcPr>
            <w:tcBorders/>
            <w:tcMar>
              <w:left w:w="70" w:type="dxa"/>
              <w:top w:w="60" w:type="dxa"/>
              <w:right w:w="70" w:type="dxa"/>
              <w:bottom w:w="60" w:type="dxa"/>
            </w:tcMar>
            <w:tcW w:w="2135" w:type="dxa"/>
            <w:vAlign w:val="top"/>
          </w:tcPr>
          <w:p>
            <w:pPr>
              <w:pStyle w:val="1297"/>
              <w:pBdr/>
              <w:spacing/>
              <w:ind/>
              <w:rPr/>
            </w:pPr>
            <w:r>
              <w:t xml:space="preserve">CORE</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12</w:t>
            </w:r>
            <w:r/>
          </w:p>
        </w:tc>
        <w:tc>
          <w:tcPr>
            <w:shd w:val="clear" w:color="auto" w:fill="f7f9fa"/>
            <w:tcBorders/>
            <w:tcMar>
              <w:left w:w="70" w:type="dxa"/>
              <w:top w:w="60" w:type="dxa"/>
              <w:right w:w="70" w:type="dxa"/>
              <w:bottom w:w="60" w:type="dxa"/>
            </w:tcMar>
            <w:tcW w:w="3356" w:type="dxa"/>
            <w:vAlign w:val="top"/>
          </w:tcPr>
          <w:p>
            <w:pPr>
              <w:pStyle w:val="1297"/>
              <w:pBdr/>
              <w:spacing/>
              <w:ind/>
              <w:rPr/>
            </w:pPr>
            <w:r>
              <w:t xml:space="preserve">Fundamental-consciousness fault line; combination problem</w:t>
            </w:r>
            <w:r/>
          </w:p>
        </w:tc>
        <w:tc>
          <w:tcPr>
            <w:shd w:val="clear" w:color="auto" w:fill="f7f9fa"/>
            <w:tcBorders/>
            <w:tcMar>
              <w:left w:w="70" w:type="dxa"/>
              <w:top w:w="60" w:type="dxa"/>
              <w:right w:w="70" w:type="dxa"/>
              <w:bottom w:w="60" w:type="dxa"/>
            </w:tcMar>
            <w:tcW w:w="3355" w:type="dxa"/>
            <w:vAlign w:val="top"/>
          </w:tcPr>
          <w:p>
            <w:pPr>
              <w:pStyle w:val="1297"/>
              <w:pBdr/>
              <w:spacing/>
              <w:ind/>
              <w:rPr/>
            </w:pPr>
            <w:r>
              <w:t xml:space="preserve">Counters emergent physicalism without implying spirituality</w:t>
            </w:r>
            <w:r/>
          </w:p>
        </w:tc>
        <w:tc>
          <w:tcPr>
            <w:shd w:val="clear" w:color="auto" w:fill="f7f9fa"/>
            <w:tcBorders/>
            <w:tcMar>
              <w:left w:w="70" w:type="dxa"/>
              <w:top w:w="60" w:type="dxa"/>
              <w:right w:w="70" w:type="dxa"/>
              <w:bottom w:w="60" w:type="dxa"/>
            </w:tcMar>
            <w:tcW w:w="1983" w:type="dxa"/>
            <w:vAlign w:val="top"/>
          </w:tcPr>
          <w:p>
            <w:pPr>
              <w:pStyle w:val="1297"/>
              <w:pBdr/>
              <w:spacing/>
              <w:ind/>
              <w:rPr/>
            </w:pPr>
            <w:r>
              <w:t xml:space="preserve">PASS</w:t>
            </w:r>
            <w:r/>
          </w:p>
        </w:tc>
        <w:tc>
          <w:tcPr>
            <w:shd w:val="clear" w:color="auto" w:fill="f7f9fa"/>
            <w:tcBorders/>
            <w:tcMar>
              <w:left w:w="70" w:type="dxa"/>
              <w:top w:w="60" w:type="dxa"/>
              <w:right w:w="70" w:type="dxa"/>
              <w:bottom w:w="60" w:type="dxa"/>
            </w:tcMar>
            <w:tcW w:w="3355" w:type="dxa"/>
            <w:vAlign w:val="top"/>
          </w:tcPr>
          <w:p>
            <w:pPr>
              <w:pStyle w:val="1297"/>
              <w:pBdr/>
              <w:spacing/>
              <w:ind/>
              <w:rPr/>
            </w:pPr>
            <w:r>
              <w:t xml:space="preserve">CD 5 | CL 5 | CC 4 | DR 4 | LR 2 | SF 5 | RF 5 | weighted 4.40/5</w:t>
            </w:r>
            <w:r/>
          </w:p>
        </w:tc>
        <w:tc>
          <w:tcPr>
            <w:shd w:val="clear" w:color="auto" w:fill="f7f9fa"/>
            <w:tcBorders/>
            <w:tcMar>
              <w:left w:w="70" w:type="dxa"/>
              <w:top w:w="60" w:type="dxa"/>
              <w:right w:w="70" w:type="dxa"/>
              <w:bottom w:w="60" w:type="dxa"/>
            </w:tcMar>
            <w:tcW w:w="2135" w:type="dxa"/>
            <w:vAlign w:val="top"/>
          </w:tcPr>
          <w:p>
            <w:pPr>
              <w:pStyle w:val="1297"/>
              <w:pBdr/>
              <w:spacing/>
              <w:ind/>
              <w:rPr/>
            </w:pPr>
            <w:r>
              <w:t xml:space="preserve">CORE</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13</w:t>
            </w:r>
            <w:r/>
          </w:p>
        </w:tc>
        <w:tc>
          <w:tcPr>
            <w:tcBorders/>
            <w:tcMar>
              <w:left w:w="70" w:type="dxa"/>
              <w:top w:w="60" w:type="dxa"/>
              <w:right w:w="70" w:type="dxa"/>
              <w:bottom w:w="60" w:type="dxa"/>
            </w:tcMar>
            <w:tcW w:w="3356" w:type="dxa"/>
            <w:vAlign w:val="top"/>
          </w:tcPr>
          <w:p>
            <w:pPr>
              <w:pStyle w:val="1297"/>
              <w:pBdr/>
              <w:spacing/>
              <w:ind/>
              <w:rPr/>
            </w:pPr>
            <w:r>
              <w:t xml:space="preserve">Plural consciousness; causation; liberation; contrast with Advaita</w:t>
            </w:r>
            <w:r/>
          </w:p>
        </w:tc>
        <w:tc>
          <w:tcPr>
            <w:tcBorders/>
            <w:tcMar>
              <w:left w:w="70" w:type="dxa"/>
              <w:top w:w="60" w:type="dxa"/>
              <w:right w:w="70" w:type="dxa"/>
              <w:bottom w:w="60" w:type="dxa"/>
            </w:tcMar>
            <w:tcW w:w="3355" w:type="dxa"/>
            <w:vAlign w:val="top"/>
          </w:tcPr>
          <w:p>
            <w:pPr>
              <w:pStyle w:val="1297"/>
              <w:pBdr/>
              <w:spacing/>
              <w:ind/>
              <w:rPr/>
            </w:pPr>
            <w:r>
              <w:t xml:space="preserve">Counters both physicalism and monistic consciousness models</w:t>
            </w:r>
            <w:r/>
          </w:p>
        </w:tc>
        <w:tc>
          <w:tcPr>
            <w:tcBorders/>
            <w:tcMar>
              <w:left w:w="70" w:type="dxa"/>
              <w:top w:w="60" w:type="dxa"/>
              <w:right w:w="70" w:type="dxa"/>
              <w:bottom w:w="60" w:type="dxa"/>
            </w:tcMar>
            <w:tcW w:w="1983" w:type="dxa"/>
            <w:vAlign w:val="top"/>
          </w:tcPr>
          <w:p>
            <w:pPr>
              <w:pStyle w:val="1297"/>
              <w:pBdr/>
              <w:spacing/>
              <w:ind/>
              <w:rPr/>
            </w:pPr>
            <w:r>
              <w:t xml:space="preserve">PASS</w:t>
            </w:r>
            <w:r/>
          </w:p>
        </w:tc>
        <w:tc>
          <w:tcPr>
            <w:tcBorders/>
            <w:tcMar>
              <w:left w:w="70" w:type="dxa"/>
              <w:top w:w="60" w:type="dxa"/>
              <w:right w:w="70" w:type="dxa"/>
              <w:bottom w:w="60" w:type="dxa"/>
            </w:tcMar>
            <w:tcW w:w="3355" w:type="dxa"/>
            <w:vAlign w:val="top"/>
          </w:tcPr>
          <w:p>
            <w:pPr>
              <w:pStyle w:val="1297"/>
              <w:pBdr/>
              <w:spacing/>
              <w:ind/>
              <w:rPr/>
            </w:pPr>
            <w:r>
              <w:t xml:space="preserve">CD 5 | CL 5 | CC 4 | DR 5 | LR 5 | SF 5 | RF 5 | weighted 4.85/5</w:t>
            </w:r>
            <w:r/>
          </w:p>
        </w:tc>
        <w:tc>
          <w:tcPr>
            <w:tcBorders/>
            <w:tcMar>
              <w:left w:w="70" w:type="dxa"/>
              <w:top w:w="60" w:type="dxa"/>
              <w:right w:w="70" w:type="dxa"/>
              <w:bottom w:w="60" w:type="dxa"/>
            </w:tcMar>
            <w:tcW w:w="2135" w:type="dxa"/>
            <w:vAlign w:val="top"/>
          </w:tcPr>
          <w:p>
            <w:pPr>
              <w:pStyle w:val="1297"/>
              <w:pBdr/>
              <w:spacing/>
              <w:ind/>
              <w:rPr/>
            </w:pPr>
            <w:r>
              <w:t xml:space="preserve">CORE</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14</w:t>
            </w:r>
            <w:r/>
          </w:p>
        </w:tc>
        <w:tc>
          <w:tcPr>
            <w:shd w:val="clear" w:color="auto" w:fill="f7f9fa"/>
            <w:tcBorders/>
            <w:tcMar>
              <w:left w:w="70" w:type="dxa"/>
              <w:top w:w="60" w:type="dxa"/>
              <w:right w:w="70" w:type="dxa"/>
              <w:bottom w:w="60" w:type="dxa"/>
            </w:tcMar>
            <w:tcW w:w="3356" w:type="dxa"/>
            <w:vAlign w:val="top"/>
          </w:tcPr>
          <w:p>
            <w:pPr>
              <w:pStyle w:val="1297"/>
              <w:pBdr/>
              <w:spacing/>
              <w:ind/>
              <w:rPr/>
            </w:pPr>
            <w:r>
              <w:t xml:space="preserve">Self/karma/agency/death; pluralism; non-Buddhist South Asian counterexample</w:t>
            </w:r>
            <w:r/>
          </w:p>
        </w:tc>
        <w:tc>
          <w:tcPr>
            <w:shd w:val="clear" w:color="auto" w:fill="f7f9fa"/>
            <w:tcBorders/>
            <w:tcMar>
              <w:left w:w="70" w:type="dxa"/>
              <w:top w:w="60" w:type="dxa"/>
              <w:right w:w="70" w:type="dxa"/>
              <w:bottom w:w="60" w:type="dxa"/>
            </w:tcMar>
            <w:tcW w:w="3355" w:type="dxa"/>
            <w:vAlign w:val="top"/>
          </w:tcPr>
          <w:p>
            <w:pPr>
              <w:pStyle w:val="1297"/>
              <w:pBdr/>
              <w:spacing/>
              <w:ind/>
              <w:rPr/>
            </w:pPr>
            <w:r>
              <w:t xml:space="preserve">Challenges simple self/no-self binary and material/mental partitions</w:t>
            </w:r>
            <w:r/>
          </w:p>
        </w:tc>
        <w:tc>
          <w:tcPr>
            <w:shd w:val="clear" w:color="auto" w:fill="f7f9fa"/>
            <w:tcBorders/>
            <w:tcMar>
              <w:left w:w="70" w:type="dxa"/>
              <w:top w:w="60" w:type="dxa"/>
              <w:right w:w="70" w:type="dxa"/>
              <w:bottom w:w="60" w:type="dxa"/>
            </w:tcMar>
            <w:tcW w:w="1983" w:type="dxa"/>
            <w:vAlign w:val="top"/>
          </w:tcPr>
          <w:p>
            <w:pPr>
              <w:pStyle w:val="1297"/>
              <w:pBdr/>
              <w:spacing/>
              <w:ind/>
              <w:rPr/>
            </w:pPr>
            <w:r>
              <w:t xml:space="preserve">PASS</w:t>
            </w:r>
            <w:r/>
          </w:p>
        </w:tc>
        <w:tc>
          <w:tcPr>
            <w:shd w:val="clear" w:color="auto" w:fill="f7f9fa"/>
            <w:tcBorders/>
            <w:tcMar>
              <w:left w:w="70" w:type="dxa"/>
              <w:top w:w="60" w:type="dxa"/>
              <w:right w:w="70" w:type="dxa"/>
              <w:bottom w:w="60" w:type="dxa"/>
            </w:tcMar>
            <w:tcW w:w="3355" w:type="dxa"/>
            <w:vAlign w:val="top"/>
          </w:tcPr>
          <w:p>
            <w:pPr>
              <w:pStyle w:val="1297"/>
              <w:pBdr/>
              <w:spacing/>
              <w:ind/>
              <w:rPr/>
            </w:pPr>
            <w:r>
              <w:t xml:space="preserve">CD 5 | CL 5 | CC 4 | DR 5 | LR 5 | SF 5 | RF 5 | weighted 4.85/5</w:t>
            </w:r>
            <w:r/>
          </w:p>
        </w:tc>
        <w:tc>
          <w:tcPr>
            <w:shd w:val="clear" w:color="auto" w:fill="f7f9fa"/>
            <w:tcBorders/>
            <w:tcMar>
              <w:left w:w="70" w:type="dxa"/>
              <w:top w:w="60" w:type="dxa"/>
              <w:right w:w="70" w:type="dxa"/>
              <w:bottom w:w="60" w:type="dxa"/>
            </w:tcMar>
            <w:tcW w:w="2135" w:type="dxa"/>
            <w:vAlign w:val="top"/>
          </w:tcPr>
          <w:p>
            <w:pPr>
              <w:pStyle w:val="1297"/>
              <w:pBdr/>
              <w:spacing/>
              <w:ind/>
              <w:rPr/>
            </w:pPr>
            <w:r>
              <w:t xml:space="preserve">CORE</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15</w:t>
            </w:r>
            <w:r/>
          </w:p>
        </w:tc>
        <w:tc>
          <w:tcPr>
            <w:tcBorders/>
            <w:tcMar>
              <w:left w:w="70" w:type="dxa"/>
              <w:top w:w="60" w:type="dxa"/>
              <w:right w:w="70" w:type="dxa"/>
              <w:bottom w:w="60" w:type="dxa"/>
            </w:tcMar>
            <w:tcW w:w="3356" w:type="dxa"/>
            <w:vAlign w:val="top"/>
          </w:tcPr>
          <w:p>
            <w:pPr>
              <w:pStyle w:val="1297"/>
              <w:pBdr/>
              <w:spacing/>
              <w:ind/>
              <w:rPr/>
            </w:pPr>
            <w:r>
              <w:t xml:space="preserve">Mind-world relation; no-self with consciousness architecture</w:t>
            </w:r>
            <w:r/>
          </w:p>
        </w:tc>
        <w:tc>
          <w:tcPr>
            <w:tcBorders/>
            <w:tcMar>
              <w:left w:w="70" w:type="dxa"/>
              <w:top w:w="60" w:type="dxa"/>
              <w:right w:w="70" w:type="dxa"/>
              <w:bottom w:w="60" w:type="dxa"/>
            </w:tcMar>
            <w:tcW w:w="3355" w:type="dxa"/>
            <w:vAlign w:val="top"/>
          </w:tcPr>
          <w:p>
            <w:pPr>
              <w:pStyle w:val="1297"/>
              <w:pBdr/>
              <w:spacing/>
              <w:ind/>
              <w:rPr/>
            </w:pPr>
            <w:r>
              <w:t xml:space="preserve">Counters equation of Buddhism with one Madhyamaka ontology</w:t>
            </w:r>
            <w:r/>
          </w:p>
        </w:tc>
        <w:tc>
          <w:tcPr>
            <w:tcBorders/>
            <w:tcMar>
              <w:left w:w="70" w:type="dxa"/>
              <w:top w:w="60" w:type="dxa"/>
              <w:right w:w="70" w:type="dxa"/>
              <w:bottom w:w="60" w:type="dxa"/>
            </w:tcMar>
            <w:tcW w:w="1983" w:type="dxa"/>
            <w:vAlign w:val="top"/>
          </w:tcPr>
          <w:p>
            <w:pPr>
              <w:pStyle w:val="1297"/>
              <w:pBdr/>
              <w:spacing/>
              <w:ind/>
              <w:rPr/>
            </w:pPr>
            <w:r>
              <w:t xml:space="preserve">PASS</w:t>
            </w:r>
            <w:r/>
          </w:p>
        </w:tc>
        <w:tc>
          <w:tcPr>
            <w:tcBorders/>
            <w:tcMar>
              <w:left w:w="70" w:type="dxa"/>
              <w:top w:w="60" w:type="dxa"/>
              <w:right w:w="70" w:type="dxa"/>
              <w:bottom w:w="60" w:type="dxa"/>
            </w:tcMar>
            <w:tcW w:w="3355" w:type="dxa"/>
            <w:vAlign w:val="top"/>
          </w:tcPr>
          <w:p>
            <w:pPr>
              <w:pStyle w:val="1297"/>
              <w:pBdr/>
              <w:spacing/>
              <w:ind/>
              <w:rPr/>
            </w:pPr>
            <w:r>
              <w:t xml:space="preserve">CD 5 | CL 5 | CC 4 | DR 5 | LR 5 | SF 5 | RF 5 | weighted 4.85/5</w:t>
            </w:r>
            <w:r/>
          </w:p>
        </w:tc>
        <w:tc>
          <w:tcPr>
            <w:tcBorders/>
            <w:tcMar>
              <w:left w:w="70" w:type="dxa"/>
              <w:top w:w="60" w:type="dxa"/>
              <w:right w:w="70" w:type="dxa"/>
              <w:bottom w:w="60" w:type="dxa"/>
            </w:tcMar>
            <w:tcW w:w="2135" w:type="dxa"/>
            <w:vAlign w:val="top"/>
          </w:tcPr>
          <w:p>
            <w:pPr>
              <w:pStyle w:val="1297"/>
              <w:pBdr/>
              <w:spacing/>
              <w:ind/>
              <w:rPr/>
            </w:pPr>
            <w:r>
              <w:t xml:space="preserve">CORE</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16</w:t>
            </w:r>
            <w:r/>
          </w:p>
        </w:tc>
        <w:tc>
          <w:tcPr>
            <w:shd w:val="clear" w:color="auto" w:fill="f7f9fa"/>
            <w:tcBorders/>
            <w:tcMar>
              <w:left w:w="70" w:type="dxa"/>
              <w:top w:w="60" w:type="dxa"/>
              <w:right w:w="70" w:type="dxa"/>
              <w:bottom w:w="60" w:type="dxa"/>
            </w:tcMar>
            <w:tcW w:w="3356" w:type="dxa"/>
            <w:vAlign w:val="top"/>
          </w:tcPr>
          <w:p>
            <w:pPr>
              <w:pStyle w:val="1297"/>
              <w:pBdr/>
              <w:spacing/>
              <w:ind/>
              <w:rPr/>
            </w:pPr>
            <w:r>
              <w:t xml:space="preserve">Immanence/transcendence; order/agency; praxis; world-affirming liberation</w:t>
            </w:r>
            <w:r/>
          </w:p>
        </w:tc>
        <w:tc>
          <w:tcPr>
            <w:shd w:val="clear" w:color="auto" w:fill="f7f9fa"/>
            <w:tcBorders/>
            <w:tcMar>
              <w:left w:w="70" w:type="dxa"/>
              <w:top w:w="60" w:type="dxa"/>
              <w:right w:w="70" w:type="dxa"/>
              <w:bottom w:w="60" w:type="dxa"/>
            </w:tcMar>
            <w:tcW w:w="3355" w:type="dxa"/>
            <w:vAlign w:val="top"/>
          </w:tcPr>
          <w:p>
            <w:pPr>
              <w:pStyle w:val="1297"/>
              <w:pBdr/>
              <w:spacing/>
              <w:ind/>
              <w:rPr/>
            </w:pPr>
            <w:r>
              <w:t xml:space="preserve">Counters renunciation=liberation template; language-control needed</w:t>
            </w:r>
            <w:r/>
          </w:p>
        </w:tc>
        <w:tc>
          <w:tcPr>
            <w:shd w:val="clear" w:color="auto" w:fill="f7f9fa"/>
            <w:tcBorders/>
            <w:tcMar>
              <w:left w:w="70" w:type="dxa"/>
              <w:top w:w="60" w:type="dxa"/>
              <w:right w:w="70" w:type="dxa"/>
              <w:bottom w:w="60" w:type="dxa"/>
            </w:tcMar>
            <w:tcW w:w="1983" w:type="dxa"/>
            <w:vAlign w:val="top"/>
          </w:tcPr>
          <w:p>
            <w:pPr>
              <w:pStyle w:val="1297"/>
              <w:pBdr/>
              <w:spacing/>
              <w:ind/>
              <w:rPr/>
            </w:pPr>
            <w:r>
              <w:t xml:space="preserve">PASS</w:t>
            </w:r>
            <w:r/>
          </w:p>
        </w:tc>
        <w:tc>
          <w:tcPr>
            <w:shd w:val="clear" w:color="auto" w:fill="f7f9fa"/>
            <w:tcBorders/>
            <w:tcMar>
              <w:left w:w="70" w:type="dxa"/>
              <w:top w:w="60" w:type="dxa"/>
              <w:right w:w="70" w:type="dxa"/>
              <w:bottom w:w="60" w:type="dxa"/>
            </w:tcMar>
            <w:tcW w:w="3355" w:type="dxa"/>
            <w:vAlign w:val="top"/>
          </w:tcPr>
          <w:p>
            <w:pPr>
              <w:pStyle w:val="1297"/>
              <w:pBdr/>
              <w:spacing/>
              <w:ind/>
              <w:rPr/>
            </w:pPr>
            <w:r>
              <w:t xml:space="preserve">CD 5 | CL 5 | CC 4 | DR 5 | LR 5 | SF 4 | RF 4 | weighted 4.65/5</w:t>
            </w:r>
            <w:r/>
          </w:p>
        </w:tc>
        <w:tc>
          <w:tcPr>
            <w:shd w:val="clear" w:color="auto" w:fill="f7f9fa"/>
            <w:tcBorders/>
            <w:tcMar>
              <w:left w:w="70" w:type="dxa"/>
              <w:top w:w="60" w:type="dxa"/>
              <w:right w:w="70" w:type="dxa"/>
              <w:bottom w:w="60" w:type="dxa"/>
            </w:tcMar>
            <w:tcW w:w="2135" w:type="dxa"/>
            <w:vAlign w:val="top"/>
          </w:tcPr>
          <w:p>
            <w:pPr>
              <w:pStyle w:val="1297"/>
              <w:pBdr/>
              <w:spacing/>
              <w:ind/>
              <w:rPr/>
            </w:pPr>
            <w:r>
              <w:t xml:space="preserve">CORE</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17</w:t>
            </w:r>
            <w:r/>
          </w:p>
        </w:tc>
        <w:tc>
          <w:tcPr>
            <w:tcBorders/>
            <w:tcMar>
              <w:left w:w="70" w:type="dxa"/>
              <w:top w:w="60" w:type="dxa"/>
              <w:right w:w="70" w:type="dxa"/>
              <w:bottom w:w="60" w:type="dxa"/>
            </w:tcMar>
            <w:tcW w:w="3356" w:type="dxa"/>
            <w:vAlign w:val="top"/>
          </w:tcPr>
          <w:p>
            <w:pPr>
              <w:pStyle w:val="1297"/>
              <w:pBdr/>
              <w:spacing/>
              <w:ind/>
              <w:rPr/>
            </w:pPr>
            <w:r>
              <w:t xml:space="preserve">Necessary existence; causation; soul; major genealogy node</w:t>
            </w:r>
            <w:r/>
          </w:p>
        </w:tc>
        <w:tc>
          <w:tcPr>
            <w:tcBorders/>
            <w:tcMar>
              <w:left w:w="70" w:type="dxa"/>
              <w:top w:w="60" w:type="dxa"/>
              <w:right w:w="70" w:type="dxa"/>
              <w:bottom w:w="60" w:type="dxa"/>
            </w:tcMar>
            <w:tcW w:w="3355" w:type="dxa"/>
            <w:vAlign w:val="top"/>
          </w:tcPr>
          <w:p>
            <w:pPr>
              <w:pStyle w:val="1297"/>
              <w:pBdr/>
              <w:spacing/>
              <w:ind/>
              <w:rPr/>
            </w:pPr>
            <w:r>
              <w:t xml:space="preserve">Counters both creation-ex-nihilo simplification and monism</w:t>
            </w:r>
            <w:r/>
          </w:p>
        </w:tc>
        <w:tc>
          <w:tcPr>
            <w:tcBorders/>
            <w:tcMar>
              <w:left w:w="70" w:type="dxa"/>
              <w:top w:w="60" w:type="dxa"/>
              <w:right w:w="70" w:type="dxa"/>
              <w:bottom w:w="60" w:type="dxa"/>
            </w:tcMar>
            <w:tcW w:w="1983" w:type="dxa"/>
            <w:vAlign w:val="top"/>
          </w:tcPr>
          <w:p>
            <w:pPr>
              <w:pStyle w:val="1297"/>
              <w:pBdr/>
              <w:spacing/>
              <w:ind/>
              <w:rPr/>
            </w:pPr>
            <w:r>
              <w:t xml:space="preserve">PASS</w:t>
            </w:r>
            <w:r/>
          </w:p>
        </w:tc>
        <w:tc>
          <w:tcPr>
            <w:tcBorders/>
            <w:tcMar>
              <w:left w:w="70" w:type="dxa"/>
              <w:top w:w="60" w:type="dxa"/>
              <w:right w:w="70" w:type="dxa"/>
              <w:bottom w:w="60" w:type="dxa"/>
            </w:tcMar>
            <w:tcW w:w="3355" w:type="dxa"/>
            <w:vAlign w:val="top"/>
          </w:tcPr>
          <w:p>
            <w:pPr>
              <w:pStyle w:val="1297"/>
              <w:pBdr/>
              <w:spacing/>
              <w:ind/>
              <w:rPr/>
            </w:pPr>
            <w:r>
              <w:t xml:space="preserve">CD 5 | CL 5 | CC 4 | DR 4 | LR 5 | SF 5 | RF 5 | weighted 4.70/5</w:t>
            </w:r>
            <w:r/>
          </w:p>
        </w:tc>
        <w:tc>
          <w:tcPr>
            <w:tcBorders/>
            <w:tcMar>
              <w:left w:w="70" w:type="dxa"/>
              <w:top w:w="60" w:type="dxa"/>
              <w:right w:w="70" w:type="dxa"/>
              <w:bottom w:w="60" w:type="dxa"/>
            </w:tcMar>
            <w:tcW w:w="2135" w:type="dxa"/>
            <w:vAlign w:val="top"/>
          </w:tcPr>
          <w:p>
            <w:pPr>
              <w:pStyle w:val="1297"/>
              <w:pBdr/>
              <w:spacing/>
              <w:ind/>
              <w:rPr/>
            </w:pPr>
            <w:r>
              <w:t xml:space="preserve">CORE</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18</w:t>
            </w:r>
            <w:r/>
          </w:p>
        </w:tc>
        <w:tc>
          <w:tcPr>
            <w:shd w:val="clear" w:color="auto" w:fill="f7f9fa"/>
            <w:tcBorders/>
            <w:tcMar>
              <w:left w:w="70" w:type="dxa"/>
              <w:top w:w="60" w:type="dxa"/>
              <w:right w:w="70" w:type="dxa"/>
              <w:bottom w:w="60" w:type="dxa"/>
            </w:tcMar>
            <w:tcW w:w="3356" w:type="dxa"/>
            <w:vAlign w:val="top"/>
          </w:tcPr>
          <w:p>
            <w:pPr>
              <w:pStyle w:val="1297"/>
              <w:pBdr/>
              <w:spacing/>
              <w:ind/>
              <w:rPr/>
            </w:pPr>
            <w:r>
              <w:t xml:space="preserve">Negative theology; revelation/reason; creation uncertainty</w:t>
            </w:r>
            <w:r/>
          </w:p>
        </w:tc>
        <w:tc>
          <w:tcPr>
            <w:shd w:val="clear" w:color="auto" w:fill="f7f9fa"/>
            <w:tcBorders/>
            <w:tcMar>
              <w:left w:w="70" w:type="dxa"/>
              <w:top w:w="60" w:type="dxa"/>
              <w:right w:w="70" w:type="dxa"/>
              <w:bottom w:w="60" w:type="dxa"/>
            </w:tcMar>
            <w:tcW w:w="3355" w:type="dxa"/>
            <w:vAlign w:val="top"/>
          </w:tcPr>
          <w:p>
            <w:pPr>
              <w:pStyle w:val="1297"/>
              <w:pBdr/>
              <w:spacing/>
              <w:ind/>
              <w:rPr/>
            </w:pPr>
            <w:r>
              <w:t xml:space="preserve">Category pressure on positive ultimacy description</w:t>
            </w:r>
            <w:r/>
          </w:p>
        </w:tc>
        <w:tc>
          <w:tcPr>
            <w:shd w:val="clear" w:color="auto" w:fill="f7f9fa"/>
            <w:tcBorders/>
            <w:tcMar>
              <w:left w:w="70" w:type="dxa"/>
              <w:top w:w="60" w:type="dxa"/>
              <w:right w:w="70" w:type="dxa"/>
              <w:bottom w:w="60" w:type="dxa"/>
            </w:tcMar>
            <w:tcW w:w="1983" w:type="dxa"/>
            <w:vAlign w:val="top"/>
          </w:tcPr>
          <w:p>
            <w:pPr>
              <w:pStyle w:val="1297"/>
              <w:pBdr/>
              <w:spacing/>
              <w:ind/>
              <w:rPr/>
            </w:pPr>
            <w:r>
              <w:t xml:space="preserve">PASS</w:t>
            </w:r>
            <w:r/>
          </w:p>
        </w:tc>
        <w:tc>
          <w:tcPr>
            <w:shd w:val="clear" w:color="auto" w:fill="f7f9fa"/>
            <w:tcBorders/>
            <w:tcMar>
              <w:left w:w="70" w:type="dxa"/>
              <w:top w:w="60" w:type="dxa"/>
              <w:right w:w="70" w:type="dxa"/>
              <w:bottom w:w="60" w:type="dxa"/>
            </w:tcMar>
            <w:tcW w:w="3355" w:type="dxa"/>
            <w:vAlign w:val="top"/>
          </w:tcPr>
          <w:p>
            <w:pPr>
              <w:pStyle w:val="1297"/>
              <w:pBdr/>
              <w:spacing/>
              <w:ind/>
              <w:rPr/>
            </w:pPr>
            <w:r>
              <w:t xml:space="preserve">CD 5 | CL 5 | CC 4 | DR 4 | LR 5 | SF 5 | RF 5 | weighted 4.70/5</w:t>
            </w:r>
            <w:r/>
          </w:p>
        </w:tc>
        <w:tc>
          <w:tcPr>
            <w:shd w:val="clear" w:color="auto" w:fill="f7f9fa"/>
            <w:tcBorders/>
            <w:tcMar>
              <w:left w:w="70" w:type="dxa"/>
              <w:top w:w="60" w:type="dxa"/>
              <w:right w:w="70" w:type="dxa"/>
              <w:bottom w:w="60" w:type="dxa"/>
            </w:tcMar>
            <w:tcW w:w="2135" w:type="dxa"/>
            <w:vAlign w:val="top"/>
          </w:tcPr>
          <w:p>
            <w:pPr>
              <w:pStyle w:val="1297"/>
              <w:pBdr/>
              <w:spacing/>
              <w:ind/>
              <w:rPr/>
            </w:pPr>
            <w:r>
              <w:t xml:space="preserve">CORE</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19</w:t>
            </w:r>
            <w:r/>
          </w:p>
        </w:tc>
        <w:tc>
          <w:tcPr>
            <w:tcBorders/>
            <w:tcMar>
              <w:left w:w="70" w:type="dxa"/>
              <w:top w:w="60" w:type="dxa"/>
              <w:right w:w="70" w:type="dxa"/>
              <w:bottom w:w="60" w:type="dxa"/>
            </w:tcMar>
            <w:tcW w:w="3356" w:type="dxa"/>
            <w:vAlign w:val="top"/>
          </w:tcPr>
          <w:p>
            <w:pPr>
              <w:pStyle w:val="1297"/>
              <w:pBdr/>
              <w:spacing/>
              <w:ind/>
              <w:rPr/>
            </w:pPr>
            <w:r>
              <w:t xml:space="preserve">Monism/order/freedom; potent comparator to Advaita without equivalence</w:t>
            </w:r>
            <w:r/>
          </w:p>
        </w:tc>
        <w:tc>
          <w:tcPr>
            <w:tcBorders/>
            <w:tcMar>
              <w:left w:w="70" w:type="dxa"/>
              <w:top w:w="60" w:type="dxa"/>
              <w:right w:w="70" w:type="dxa"/>
              <w:bottom w:w="60" w:type="dxa"/>
            </w:tcMar>
            <w:tcW w:w="3355" w:type="dxa"/>
            <w:vAlign w:val="top"/>
          </w:tcPr>
          <w:p>
            <w:pPr>
              <w:pStyle w:val="1297"/>
              <w:pBdr/>
              <w:spacing/>
              <w:ind/>
              <w:rPr/>
            </w:pPr>
            <w:r>
              <w:t xml:space="preserve">Counters libertarian freedom and creator/creation dualism</w:t>
            </w:r>
            <w:r/>
          </w:p>
        </w:tc>
        <w:tc>
          <w:tcPr>
            <w:tcBorders/>
            <w:tcMar>
              <w:left w:w="70" w:type="dxa"/>
              <w:top w:w="60" w:type="dxa"/>
              <w:right w:w="70" w:type="dxa"/>
              <w:bottom w:w="60" w:type="dxa"/>
            </w:tcMar>
            <w:tcW w:w="1983" w:type="dxa"/>
            <w:vAlign w:val="top"/>
          </w:tcPr>
          <w:p>
            <w:pPr>
              <w:pStyle w:val="1297"/>
              <w:pBdr/>
              <w:spacing/>
              <w:ind/>
              <w:rPr/>
            </w:pPr>
            <w:r>
              <w:t xml:space="preserve">PASS</w:t>
            </w:r>
            <w:r/>
          </w:p>
        </w:tc>
        <w:tc>
          <w:tcPr>
            <w:tcBorders/>
            <w:tcMar>
              <w:left w:w="70" w:type="dxa"/>
              <w:top w:w="60" w:type="dxa"/>
              <w:right w:w="70" w:type="dxa"/>
              <w:bottom w:w="60" w:type="dxa"/>
            </w:tcMar>
            <w:tcW w:w="3355" w:type="dxa"/>
            <w:vAlign w:val="top"/>
          </w:tcPr>
          <w:p>
            <w:pPr>
              <w:pStyle w:val="1297"/>
              <w:pBdr/>
              <w:spacing/>
              <w:ind/>
              <w:rPr/>
            </w:pPr>
            <w:r>
              <w:t xml:space="preserve">CD 5 | CL 5 | CC 4 | DR 4 | LR 5 | SF 5 | RF 5 | weighted 4.70/5</w:t>
            </w:r>
            <w:r/>
          </w:p>
        </w:tc>
        <w:tc>
          <w:tcPr>
            <w:tcBorders/>
            <w:tcMar>
              <w:left w:w="70" w:type="dxa"/>
              <w:top w:w="60" w:type="dxa"/>
              <w:right w:w="70" w:type="dxa"/>
              <w:bottom w:w="60" w:type="dxa"/>
            </w:tcMar>
            <w:tcW w:w="2135" w:type="dxa"/>
            <w:vAlign w:val="top"/>
          </w:tcPr>
          <w:p>
            <w:pPr>
              <w:pStyle w:val="1297"/>
              <w:pBdr/>
              <w:spacing/>
              <w:ind/>
              <w:rPr/>
            </w:pPr>
            <w:r>
              <w:t xml:space="preserve">CORE</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20</w:t>
            </w:r>
            <w:r/>
          </w:p>
        </w:tc>
        <w:tc>
          <w:tcPr>
            <w:shd w:val="clear" w:color="auto" w:fill="f7f9fa"/>
            <w:tcBorders/>
            <w:tcMar>
              <w:left w:w="70" w:type="dxa"/>
              <w:top w:w="60" w:type="dxa"/>
              <w:right w:w="70" w:type="dxa"/>
              <w:bottom w:w="60" w:type="dxa"/>
            </w:tcMar>
            <w:tcW w:w="3356" w:type="dxa"/>
            <w:vAlign w:val="top"/>
          </w:tcPr>
          <w:p>
            <w:pPr>
              <w:pStyle w:val="1297"/>
              <w:pBdr/>
              <w:spacing/>
              <w:ind/>
              <w:rPr/>
            </w:pPr>
            <w:r>
              <w:t xml:space="preserve">Genealogical/structural bridge for emanation and return</w:t>
            </w:r>
            <w:r/>
          </w:p>
        </w:tc>
        <w:tc>
          <w:tcPr>
            <w:shd w:val="clear" w:color="auto" w:fill="f7f9fa"/>
            <w:tcBorders/>
            <w:tcMar>
              <w:left w:w="70" w:type="dxa"/>
              <w:top w:w="60" w:type="dxa"/>
              <w:right w:w="70" w:type="dxa"/>
              <w:bottom w:w="60" w:type="dxa"/>
            </w:tcMar>
            <w:tcW w:w="3355" w:type="dxa"/>
            <w:vAlign w:val="top"/>
          </w:tcPr>
          <w:p>
            <w:pPr>
              <w:pStyle w:val="1297"/>
              <w:pBdr/>
              <w:spacing/>
              <w:ind/>
              <w:rPr/>
            </w:pPr>
            <w:r>
              <w:t xml:space="preserve">Prevents ahistorical direct equivalence among emanative systems</w:t>
            </w:r>
            <w:r/>
          </w:p>
        </w:tc>
        <w:tc>
          <w:tcPr>
            <w:shd w:val="clear" w:color="auto" w:fill="f7f9fa"/>
            <w:tcBorders/>
            <w:tcMar>
              <w:left w:w="70" w:type="dxa"/>
              <w:top w:w="60" w:type="dxa"/>
              <w:right w:w="70" w:type="dxa"/>
              <w:bottom w:w="60" w:type="dxa"/>
            </w:tcMar>
            <w:tcW w:w="1983" w:type="dxa"/>
            <w:vAlign w:val="top"/>
          </w:tcPr>
          <w:p>
            <w:pPr>
              <w:pStyle w:val="1297"/>
              <w:pBdr/>
              <w:spacing/>
              <w:ind/>
              <w:rPr/>
            </w:pPr>
            <w:r>
              <w:t xml:space="preserve">PASS</w:t>
            </w:r>
            <w:r/>
          </w:p>
        </w:tc>
        <w:tc>
          <w:tcPr>
            <w:shd w:val="clear" w:color="auto" w:fill="f7f9fa"/>
            <w:tcBorders/>
            <w:tcMar>
              <w:left w:w="70" w:type="dxa"/>
              <w:top w:w="60" w:type="dxa"/>
              <w:right w:w="70" w:type="dxa"/>
              <w:bottom w:w="60" w:type="dxa"/>
            </w:tcMar>
            <w:tcW w:w="3355" w:type="dxa"/>
            <w:vAlign w:val="top"/>
          </w:tcPr>
          <w:p>
            <w:pPr>
              <w:pStyle w:val="1297"/>
              <w:pBdr/>
              <w:spacing/>
              <w:ind/>
              <w:rPr/>
            </w:pPr>
            <w:r>
              <w:t xml:space="preserve">CD 4 | CL 5 | CC 3 | DR 3 | LR 2 | SF 5 | RF 5 | weighted 3.90/5</w:t>
            </w:r>
            <w:r/>
          </w:p>
        </w:tc>
        <w:tc>
          <w:tcPr>
            <w:shd w:val="clear" w:color="auto" w:fill="f7f9fa"/>
            <w:tcBorders/>
            <w:tcMar>
              <w:left w:w="70" w:type="dxa"/>
              <w:top w:w="60" w:type="dxa"/>
              <w:right w:w="70" w:type="dxa"/>
              <w:bottom w:w="60" w:type="dxa"/>
            </w:tcMar>
            <w:tcW w:w="2135" w:type="dxa"/>
            <w:vAlign w:val="top"/>
          </w:tcPr>
          <w:p>
            <w:pPr>
              <w:pStyle w:val="1297"/>
              <w:pBdr/>
              <w:spacing/>
              <w:ind/>
              <w:rPr/>
            </w:pPr>
            <w:r>
              <w:t xml:space="preserve">MAJOR COMPARATOR</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21</w:t>
            </w:r>
            <w:r/>
          </w:p>
        </w:tc>
        <w:tc>
          <w:tcPr>
            <w:tcBorders/>
            <w:tcMar>
              <w:left w:w="70" w:type="dxa"/>
              <w:top w:w="60" w:type="dxa"/>
              <w:right w:w="70" w:type="dxa"/>
              <w:bottom w:w="60" w:type="dxa"/>
            </w:tcMar>
            <w:tcW w:w="3356" w:type="dxa"/>
            <w:vAlign w:val="top"/>
          </w:tcPr>
          <w:p>
            <w:pPr>
              <w:pStyle w:val="1297"/>
              <w:pBdr/>
              <w:spacing/>
              <w:ind/>
              <w:rPr/>
            </w:pPr>
            <w:r>
              <w:t xml:space="preserve">Mind/body and subjecthood benchmark</w:t>
            </w:r>
            <w:r/>
          </w:p>
        </w:tc>
        <w:tc>
          <w:tcPr>
            <w:tcBorders/>
            <w:tcMar>
              <w:left w:w="70" w:type="dxa"/>
              <w:top w:w="60" w:type="dxa"/>
              <w:right w:w="70" w:type="dxa"/>
              <w:bottom w:w="60" w:type="dxa"/>
            </w:tcMar>
            <w:tcW w:w="3355" w:type="dxa"/>
            <w:vAlign w:val="top"/>
          </w:tcPr>
          <w:p>
            <w:pPr>
              <w:pStyle w:val="1297"/>
              <w:pBdr/>
              <w:spacing/>
              <w:ind/>
              <w:rPr/>
            </w:pPr>
            <w:r>
              <w:t xml:space="preserve">Sharp counter to no-self and constitutive physicalism</w:t>
            </w:r>
            <w:r/>
          </w:p>
        </w:tc>
        <w:tc>
          <w:tcPr>
            <w:tcBorders/>
            <w:tcMar>
              <w:left w:w="70" w:type="dxa"/>
              <w:top w:w="60" w:type="dxa"/>
              <w:right w:w="70" w:type="dxa"/>
              <w:bottom w:w="60" w:type="dxa"/>
            </w:tcMar>
            <w:tcW w:w="1983" w:type="dxa"/>
            <w:vAlign w:val="top"/>
          </w:tcPr>
          <w:p>
            <w:pPr>
              <w:pStyle w:val="1297"/>
              <w:pBdr/>
              <w:spacing/>
              <w:ind/>
              <w:rPr/>
            </w:pPr>
            <w:r>
              <w:t xml:space="preserve">PASS</w:t>
            </w:r>
            <w:r/>
          </w:p>
        </w:tc>
        <w:tc>
          <w:tcPr>
            <w:tcBorders/>
            <w:tcMar>
              <w:left w:w="70" w:type="dxa"/>
              <w:top w:w="60" w:type="dxa"/>
              <w:right w:w="70" w:type="dxa"/>
              <w:bottom w:w="60" w:type="dxa"/>
            </w:tcMar>
            <w:tcW w:w="3355" w:type="dxa"/>
            <w:vAlign w:val="top"/>
          </w:tcPr>
          <w:p>
            <w:pPr>
              <w:pStyle w:val="1297"/>
              <w:pBdr/>
              <w:spacing/>
              <w:ind/>
              <w:rPr/>
            </w:pPr>
            <w:r>
              <w:t xml:space="preserve">CD 4 | CL 5 | CC 3 | DR 3 | LR 2 | SF 5 | RF 5 | weighted 3.90/5</w:t>
            </w:r>
            <w:r/>
          </w:p>
        </w:tc>
        <w:tc>
          <w:tcPr>
            <w:tcBorders/>
            <w:tcMar>
              <w:left w:w="70" w:type="dxa"/>
              <w:top w:w="60" w:type="dxa"/>
              <w:right w:w="70" w:type="dxa"/>
              <w:bottom w:w="60" w:type="dxa"/>
            </w:tcMar>
            <w:tcW w:w="2135" w:type="dxa"/>
            <w:vAlign w:val="top"/>
          </w:tcPr>
          <w:p>
            <w:pPr>
              <w:pStyle w:val="1297"/>
              <w:pBdr/>
              <w:spacing/>
              <w:ind/>
              <w:rPr/>
            </w:pPr>
            <w:r>
              <w:t xml:space="preserve">MAJOR COMPARATOR</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22</w:t>
            </w:r>
            <w:r/>
          </w:p>
        </w:tc>
        <w:tc>
          <w:tcPr>
            <w:shd w:val="clear" w:color="auto" w:fill="f7f9fa"/>
            <w:tcBorders/>
            <w:tcMar>
              <w:left w:w="70" w:type="dxa"/>
              <w:top w:w="60" w:type="dxa"/>
              <w:right w:w="70" w:type="dxa"/>
              <w:bottom w:w="60" w:type="dxa"/>
            </w:tcMar>
            <w:tcW w:w="3356" w:type="dxa"/>
            <w:vAlign w:val="top"/>
          </w:tcPr>
          <w:p>
            <w:pPr>
              <w:pStyle w:val="1297"/>
              <w:pBdr/>
              <w:spacing/>
              <w:ind/>
              <w:rPr/>
            </w:pPr>
            <w:r>
              <w:t xml:space="preserve">Distributed perception; causal architecture; comparison with panpsychism</w:t>
            </w:r>
            <w:r/>
          </w:p>
        </w:tc>
        <w:tc>
          <w:tcPr>
            <w:shd w:val="clear" w:color="auto" w:fill="f7f9fa"/>
            <w:tcBorders/>
            <w:tcMar>
              <w:left w:w="70" w:type="dxa"/>
              <w:top w:w="60" w:type="dxa"/>
              <w:right w:w="70" w:type="dxa"/>
              <w:bottom w:w="60" w:type="dxa"/>
            </w:tcMar>
            <w:tcW w:w="3355" w:type="dxa"/>
            <w:vAlign w:val="top"/>
          </w:tcPr>
          <w:p>
            <w:pPr>
              <w:pStyle w:val="1297"/>
              <w:pBdr/>
              <w:spacing/>
              <w:ind/>
              <w:rPr/>
            </w:pPr>
            <w:r>
              <w:t xml:space="preserve">Tests false genealogy/equivalence from shared 'panpsychist' vocabulary</w:t>
            </w:r>
            <w:r/>
          </w:p>
        </w:tc>
        <w:tc>
          <w:tcPr>
            <w:shd w:val="clear" w:color="auto" w:fill="f7f9fa"/>
            <w:tcBorders/>
            <w:tcMar>
              <w:left w:w="70" w:type="dxa"/>
              <w:top w:w="60" w:type="dxa"/>
              <w:right w:w="70" w:type="dxa"/>
              <w:bottom w:w="60" w:type="dxa"/>
            </w:tcMar>
            <w:tcW w:w="1983" w:type="dxa"/>
            <w:vAlign w:val="top"/>
          </w:tcPr>
          <w:p>
            <w:pPr>
              <w:pStyle w:val="1297"/>
              <w:pBdr/>
              <w:spacing/>
              <w:ind/>
              <w:rPr/>
            </w:pPr>
            <w:r>
              <w:t xml:space="preserve">PASS</w:t>
            </w:r>
            <w:r/>
          </w:p>
        </w:tc>
        <w:tc>
          <w:tcPr>
            <w:shd w:val="clear" w:color="auto" w:fill="f7f9fa"/>
            <w:tcBorders/>
            <w:tcMar>
              <w:left w:w="70" w:type="dxa"/>
              <w:top w:w="60" w:type="dxa"/>
              <w:right w:w="70" w:type="dxa"/>
              <w:bottom w:w="60" w:type="dxa"/>
            </w:tcMar>
            <w:tcW w:w="3355" w:type="dxa"/>
            <w:vAlign w:val="top"/>
          </w:tcPr>
          <w:p>
            <w:pPr>
              <w:pStyle w:val="1297"/>
              <w:pBdr/>
              <w:spacing/>
              <w:ind/>
              <w:rPr/>
            </w:pPr>
            <w:r>
              <w:t xml:space="preserve">CD 4 | CL 5 | CC 3 | DR 3 | LR 5 | SF 5 | RF 5 | weighted 4.20/5</w:t>
            </w:r>
            <w:r/>
          </w:p>
        </w:tc>
        <w:tc>
          <w:tcPr>
            <w:shd w:val="clear" w:color="auto" w:fill="f7f9fa"/>
            <w:tcBorders/>
            <w:tcMar>
              <w:left w:w="70" w:type="dxa"/>
              <w:top w:w="60" w:type="dxa"/>
              <w:right w:w="70" w:type="dxa"/>
              <w:bottom w:w="60" w:type="dxa"/>
            </w:tcMar>
            <w:tcW w:w="2135" w:type="dxa"/>
            <w:vAlign w:val="top"/>
          </w:tcPr>
          <w:p>
            <w:pPr>
              <w:pStyle w:val="1297"/>
              <w:pBdr/>
              <w:spacing/>
              <w:ind/>
              <w:rPr/>
            </w:pPr>
            <w:r>
              <w:t xml:space="preserve">MAJOR COMPARATOR</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23</w:t>
            </w:r>
            <w:r/>
          </w:p>
        </w:tc>
        <w:tc>
          <w:tcPr>
            <w:tcBorders/>
            <w:tcMar>
              <w:left w:w="70" w:type="dxa"/>
              <w:top w:w="60" w:type="dxa"/>
              <w:right w:w="70" w:type="dxa"/>
              <w:bottom w:w="60" w:type="dxa"/>
            </w:tcMar>
            <w:tcW w:w="3356" w:type="dxa"/>
            <w:vAlign w:val="top"/>
          </w:tcPr>
          <w:p>
            <w:pPr>
              <w:pStyle w:val="1297"/>
              <w:pBdr/>
              <w:spacing/>
              <w:ind/>
              <w:rPr/>
            </w:pPr>
            <w:r>
              <w:t xml:space="preserve">Process ontology; consciousness/fundamentality; world relation</w:t>
            </w:r>
            <w:r/>
          </w:p>
        </w:tc>
        <w:tc>
          <w:tcPr>
            <w:tcBorders/>
            <w:tcMar>
              <w:left w:w="70" w:type="dxa"/>
              <w:top w:w="60" w:type="dxa"/>
              <w:right w:w="70" w:type="dxa"/>
              <w:bottom w:w="60" w:type="dxa"/>
            </w:tcMar>
            <w:tcW w:w="3355" w:type="dxa"/>
            <w:vAlign w:val="top"/>
          </w:tcPr>
          <w:p>
            <w:pPr>
              <w:pStyle w:val="1297"/>
              <w:pBdr/>
              <w:spacing/>
              <w:ind/>
              <w:rPr/>
            </w:pPr>
            <w:r>
              <w:t xml:space="preserve">Counters substance default; complicates panpsychism taxonomy</w:t>
            </w:r>
            <w:r/>
          </w:p>
        </w:tc>
        <w:tc>
          <w:tcPr>
            <w:tcBorders/>
            <w:tcMar>
              <w:left w:w="70" w:type="dxa"/>
              <w:top w:w="60" w:type="dxa"/>
              <w:right w:w="70" w:type="dxa"/>
              <w:bottom w:w="60" w:type="dxa"/>
            </w:tcMar>
            <w:tcW w:w="1983" w:type="dxa"/>
            <w:vAlign w:val="top"/>
          </w:tcPr>
          <w:p>
            <w:pPr>
              <w:pStyle w:val="1297"/>
              <w:pBdr/>
              <w:spacing/>
              <w:ind/>
              <w:rPr/>
            </w:pPr>
            <w:r>
              <w:t xml:space="preserve">PASS</w:t>
            </w:r>
            <w:r/>
          </w:p>
        </w:tc>
        <w:tc>
          <w:tcPr>
            <w:tcBorders/>
            <w:tcMar>
              <w:left w:w="70" w:type="dxa"/>
              <w:top w:w="60" w:type="dxa"/>
              <w:right w:w="70" w:type="dxa"/>
              <w:bottom w:w="60" w:type="dxa"/>
            </w:tcMar>
            <w:tcW w:w="3355" w:type="dxa"/>
            <w:vAlign w:val="top"/>
          </w:tcPr>
          <w:p>
            <w:pPr>
              <w:pStyle w:val="1297"/>
              <w:pBdr/>
              <w:spacing/>
              <w:ind/>
              <w:rPr/>
            </w:pPr>
            <w:r>
              <w:t xml:space="preserve">CD 4 | CL 5 | CC 3 | DR 3 | LR 5 | SF 4 | RF 5 | weighted 4.10/5</w:t>
            </w:r>
            <w:r/>
          </w:p>
        </w:tc>
        <w:tc>
          <w:tcPr>
            <w:tcBorders/>
            <w:tcMar>
              <w:left w:w="70" w:type="dxa"/>
              <w:top w:w="60" w:type="dxa"/>
              <w:right w:w="70" w:type="dxa"/>
              <w:bottom w:w="60" w:type="dxa"/>
            </w:tcMar>
            <w:tcW w:w="2135" w:type="dxa"/>
            <w:vAlign w:val="top"/>
          </w:tcPr>
          <w:p>
            <w:pPr>
              <w:pStyle w:val="1297"/>
              <w:pBdr/>
              <w:spacing/>
              <w:ind/>
              <w:rPr/>
            </w:pPr>
            <w:r>
              <w:t xml:space="preserve">MAJOR COMPARATOR</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24</w:t>
            </w:r>
            <w:r/>
          </w:p>
        </w:tc>
        <w:tc>
          <w:tcPr>
            <w:shd w:val="clear" w:color="auto" w:fill="f7f9fa"/>
            <w:tcBorders/>
            <w:tcMar>
              <w:left w:w="70" w:type="dxa"/>
              <w:top w:w="60" w:type="dxa"/>
              <w:right w:w="70" w:type="dxa"/>
              <w:bottom w:w="60" w:type="dxa"/>
            </w:tcMar>
            <w:tcW w:w="3356" w:type="dxa"/>
            <w:vAlign w:val="top"/>
          </w:tcPr>
          <w:p>
            <w:pPr>
              <w:pStyle w:val="1297"/>
              <w:pBdr/>
              <w:spacing/>
              <w:ind/>
              <w:rPr/>
            </w:pPr>
            <w:r>
              <w:t xml:space="preserve">Ancient naturalism; death; anti-teleology</w:t>
            </w:r>
            <w:r/>
          </w:p>
        </w:tc>
        <w:tc>
          <w:tcPr>
            <w:shd w:val="clear" w:color="auto" w:fill="f7f9fa"/>
            <w:tcBorders/>
            <w:tcMar>
              <w:left w:w="70" w:type="dxa"/>
              <w:top w:w="60" w:type="dxa"/>
              <w:right w:w="70" w:type="dxa"/>
              <w:bottom w:w="60" w:type="dxa"/>
            </w:tcMar>
            <w:tcW w:w="3355" w:type="dxa"/>
            <w:vAlign w:val="top"/>
          </w:tcPr>
          <w:p>
            <w:pPr>
              <w:pStyle w:val="1297"/>
              <w:pBdr/>
              <w:spacing/>
              <w:ind/>
              <w:rPr/>
            </w:pPr>
            <w:r>
              <w:t xml:space="preserve">Counters modern-only secular/naturalist framing</w:t>
            </w:r>
            <w:r/>
          </w:p>
        </w:tc>
        <w:tc>
          <w:tcPr>
            <w:shd w:val="clear" w:color="auto" w:fill="f7f9fa"/>
            <w:tcBorders/>
            <w:tcMar>
              <w:left w:w="70" w:type="dxa"/>
              <w:top w:w="60" w:type="dxa"/>
              <w:right w:w="70" w:type="dxa"/>
              <w:bottom w:w="60" w:type="dxa"/>
            </w:tcMar>
            <w:tcW w:w="1983" w:type="dxa"/>
            <w:vAlign w:val="top"/>
          </w:tcPr>
          <w:p>
            <w:pPr>
              <w:pStyle w:val="1297"/>
              <w:pBdr/>
              <w:spacing/>
              <w:ind/>
              <w:rPr/>
            </w:pPr>
            <w:r>
              <w:t xml:space="preserve">PASS</w:t>
            </w:r>
            <w:r/>
          </w:p>
        </w:tc>
        <w:tc>
          <w:tcPr>
            <w:shd w:val="clear" w:color="auto" w:fill="f7f9fa"/>
            <w:tcBorders/>
            <w:tcMar>
              <w:left w:w="70" w:type="dxa"/>
              <w:top w:w="60" w:type="dxa"/>
              <w:right w:w="70" w:type="dxa"/>
              <w:bottom w:w="60" w:type="dxa"/>
            </w:tcMar>
            <w:tcW w:w="3355" w:type="dxa"/>
            <w:vAlign w:val="top"/>
          </w:tcPr>
          <w:p>
            <w:pPr>
              <w:pStyle w:val="1297"/>
              <w:pBdr/>
              <w:spacing/>
              <w:ind/>
              <w:rPr/>
            </w:pPr>
            <w:r>
              <w:t xml:space="preserve">CD 4 | CL 5 | CC 3 | DR 3 | LR 5 | SF 5 | RF 5 | weighted 4.20/5</w:t>
            </w:r>
            <w:r/>
          </w:p>
        </w:tc>
        <w:tc>
          <w:tcPr>
            <w:shd w:val="clear" w:color="auto" w:fill="f7f9fa"/>
            <w:tcBorders/>
            <w:tcMar>
              <w:left w:w="70" w:type="dxa"/>
              <w:top w:w="60" w:type="dxa"/>
              <w:right w:w="70" w:type="dxa"/>
              <w:bottom w:w="60" w:type="dxa"/>
            </w:tcMar>
            <w:tcW w:w="2135" w:type="dxa"/>
            <w:vAlign w:val="top"/>
          </w:tcPr>
          <w:p>
            <w:pPr>
              <w:pStyle w:val="1297"/>
              <w:pBdr/>
              <w:spacing/>
              <w:ind/>
              <w:rPr/>
            </w:pPr>
            <w:r>
              <w:t xml:space="preserve">MAJOR COMPARATOR</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25</w:t>
            </w:r>
            <w:r/>
          </w:p>
        </w:tc>
        <w:tc>
          <w:tcPr>
            <w:tcBorders/>
            <w:tcMar>
              <w:left w:w="70" w:type="dxa"/>
              <w:top w:w="60" w:type="dxa"/>
              <w:right w:w="70" w:type="dxa"/>
              <w:bottom w:w="60" w:type="dxa"/>
            </w:tcMar>
            <w:tcW w:w="3356" w:type="dxa"/>
            <w:vAlign w:val="top"/>
          </w:tcPr>
          <w:p>
            <w:pPr>
              <w:pStyle w:val="1297"/>
              <w:pBdr/>
              <w:spacing/>
              <w:ind/>
              <w:rPr/>
            </w:pPr>
            <w:r>
              <w:t xml:space="preserve">Fate/freedom; world participation</w:t>
            </w:r>
            <w:r/>
          </w:p>
        </w:tc>
        <w:tc>
          <w:tcPr>
            <w:tcBorders/>
            <w:tcMar>
              <w:left w:w="70" w:type="dxa"/>
              <w:top w:w="60" w:type="dxa"/>
              <w:right w:w="70" w:type="dxa"/>
              <w:bottom w:w="60" w:type="dxa"/>
            </w:tcMar>
            <w:tcW w:w="3355" w:type="dxa"/>
            <w:vAlign w:val="top"/>
          </w:tcPr>
          <w:p>
            <w:pPr>
              <w:pStyle w:val="1297"/>
              <w:pBdr/>
              <w:spacing/>
              <w:ind/>
              <w:rPr/>
            </w:pPr>
            <w:r>
              <w:t xml:space="preserve">Counter to both Sartrean radical freedom and fatalism</w:t>
            </w:r>
            <w:r/>
          </w:p>
        </w:tc>
        <w:tc>
          <w:tcPr>
            <w:tcBorders/>
            <w:tcMar>
              <w:left w:w="70" w:type="dxa"/>
              <w:top w:w="60" w:type="dxa"/>
              <w:right w:w="70" w:type="dxa"/>
              <w:bottom w:w="60" w:type="dxa"/>
            </w:tcMar>
            <w:tcW w:w="1983" w:type="dxa"/>
            <w:vAlign w:val="top"/>
          </w:tcPr>
          <w:p>
            <w:pPr>
              <w:pStyle w:val="1297"/>
              <w:pBdr/>
              <w:spacing/>
              <w:ind/>
              <w:rPr/>
            </w:pPr>
            <w:r>
              <w:t xml:space="preserve">PASS</w:t>
            </w:r>
            <w:r/>
          </w:p>
        </w:tc>
        <w:tc>
          <w:tcPr>
            <w:tcBorders/>
            <w:tcMar>
              <w:left w:w="70" w:type="dxa"/>
              <w:top w:w="60" w:type="dxa"/>
              <w:right w:w="70" w:type="dxa"/>
              <w:bottom w:w="60" w:type="dxa"/>
            </w:tcMar>
            <w:tcW w:w="3355" w:type="dxa"/>
            <w:vAlign w:val="top"/>
          </w:tcPr>
          <w:p>
            <w:pPr>
              <w:pStyle w:val="1297"/>
              <w:pBdr/>
              <w:spacing/>
              <w:ind/>
              <w:rPr/>
            </w:pPr>
            <w:r>
              <w:t xml:space="preserve">CD 4 | CL 5 | CC 3 | DR 3 | LR 5 | SF 4 | RF 5 | weighted 4.10/5</w:t>
            </w:r>
            <w:r/>
          </w:p>
        </w:tc>
        <w:tc>
          <w:tcPr>
            <w:tcBorders/>
            <w:tcMar>
              <w:left w:w="70" w:type="dxa"/>
              <w:top w:w="60" w:type="dxa"/>
              <w:right w:w="70" w:type="dxa"/>
              <w:bottom w:w="60" w:type="dxa"/>
            </w:tcMar>
            <w:tcW w:w="2135" w:type="dxa"/>
            <w:vAlign w:val="top"/>
          </w:tcPr>
          <w:p>
            <w:pPr>
              <w:pStyle w:val="1297"/>
              <w:pBdr/>
              <w:spacing/>
              <w:ind/>
              <w:rPr/>
            </w:pPr>
            <w:r>
              <w:t xml:space="preserve">MAJOR COMPARATOR</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26</w:t>
            </w:r>
            <w:r/>
          </w:p>
        </w:tc>
        <w:tc>
          <w:tcPr>
            <w:shd w:val="clear" w:color="auto" w:fill="f7f9fa"/>
            <w:tcBorders/>
            <w:tcMar>
              <w:left w:w="70" w:type="dxa"/>
              <w:top w:w="60" w:type="dxa"/>
              <w:right w:w="70" w:type="dxa"/>
              <w:bottom w:w="60" w:type="dxa"/>
            </w:tcMar>
            <w:tcW w:w="3356" w:type="dxa"/>
            <w:vAlign w:val="top"/>
          </w:tcPr>
          <w:p>
            <w:pPr>
              <w:pStyle w:val="1297"/>
              <w:pBdr/>
              <w:spacing/>
              <w:ind/>
              <w:rPr/>
            </w:pPr>
            <w:r>
              <w:t xml:space="preserve">Causation/agency fault line and Avicennan genealogy</w:t>
            </w:r>
            <w:r/>
          </w:p>
        </w:tc>
        <w:tc>
          <w:tcPr>
            <w:shd w:val="clear" w:color="auto" w:fill="f7f9fa"/>
            <w:tcBorders/>
            <w:tcMar>
              <w:left w:w="70" w:type="dxa"/>
              <w:top w:w="60" w:type="dxa"/>
              <w:right w:w="70" w:type="dxa"/>
              <w:bottom w:w="60" w:type="dxa"/>
            </w:tcMar>
            <w:tcW w:w="3355" w:type="dxa"/>
            <w:vAlign w:val="top"/>
          </w:tcPr>
          <w:p>
            <w:pPr>
              <w:pStyle w:val="1297"/>
              <w:pBdr/>
              <w:spacing/>
              <w:ind/>
              <w:rPr/>
            </w:pPr>
            <w:r>
              <w:t xml:space="preserve">Counters treating causal law as one metaphysical family</w:t>
            </w:r>
            <w:r/>
          </w:p>
        </w:tc>
        <w:tc>
          <w:tcPr>
            <w:shd w:val="clear" w:color="auto" w:fill="f7f9fa"/>
            <w:tcBorders/>
            <w:tcMar>
              <w:left w:w="70" w:type="dxa"/>
              <w:top w:w="60" w:type="dxa"/>
              <w:right w:w="70" w:type="dxa"/>
              <w:bottom w:w="60" w:type="dxa"/>
            </w:tcMar>
            <w:tcW w:w="1983" w:type="dxa"/>
            <w:vAlign w:val="top"/>
          </w:tcPr>
          <w:p>
            <w:pPr>
              <w:pStyle w:val="1297"/>
              <w:pBdr/>
              <w:spacing/>
              <w:ind/>
              <w:rPr/>
            </w:pPr>
            <w:r>
              <w:t xml:space="preserve">PASS</w:t>
            </w:r>
            <w:r/>
          </w:p>
        </w:tc>
        <w:tc>
          <w:tcPr>
            <w:shd w:val="clear" w:color="auto" w:fill="f7f9fa"/>
            <w:tcBorders/>
            <w:tcMar>
              <w:left w:w="70" w:type="dxa"/>
              <w:top w:w="60" w:type="dxa"/>
              <w:right w:w="70" w:type="dxa"/>
              <w:bottom w:w="60" w:type="dxa"/>
            </w:tcMar>
            <w:tcW w:w="3355" w:type="dxa"/>
            <w:vAlign w:val="top"/>
          </w:tcPr>
          <w:p>
            <w:pPr>
              <w:pStyle w:val="1297"/>
              <w:pBdr/>
              <w:spacing/>
              <w:ind/>
              <w:rPr/>
            </w:pPr>
            <w:r>
              <w:t xml:space="preserve">CD 4 | CL 5 | CC 3 | DR 3 | LR 5 | SF 5 | RF 5 | weighted 4.20/5</w:t>
            </w:r>
            <w:r/>
          </w:p>
        </w:tc>
        <w:tc>
          <w:tcPr>
            <w:shd w:val="clear" w:color="auto" w:fill="f7f9fa"/>
            <w:tcBorders/>
            <w:tcMar>
              <w:left w:w="70" w:type="dxa"/>
              <w:top w:w="60" w:type="dxa"/>
              <w:right w:w="70" w:type="dxa"/>
              <w:bottom w:w="60" w:type="dxa"/>
            </w:tcMar>
            <w:tcW w:w="2135" w:type="dxa"/>
            <w:vAlign w:val="top"/>
          </w:tcPr>
          <w:p>
            <w:pPr>
              <w:pStyle w:val="1297"/>
              <w:pBdr/>
              <w:spacing/>
              <w:ind/>
              <w:rPr/>
            </w:pPr>
            <w:r>
              <w:t xml:space="preserve">MAJOR COMPARATOR</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27</w:t>
            </w:r>
            <w:r/>
          </w:p>
        </w:tc>
        <w:tc>
          <w:tcPr>
            <w:tcBorders/>
            <w:tcMar>
              <w:left w:w="70" w:type="dxa"/>
              <w:top w:w="60" w:type="dxa"/>
              <w:right w:w="70" w:type="dxa"/>
              <w:bottom w:w="60" w:type="dxa"/>
            </w:tcMar>
            <w:tcW w:w="3356" w:type="dxa"/>
            <w:vAlign w:val="top"/>
          </w:tcPr>
          <w:p>
            <w:pPr>
              <w:pStyle w:val="1297"/>
              <w:pBdr/>
              <w:spacing/>
              <w:ind/>
              <w:rPr/>
            </w:pPr>
            <w:r>
              <w:t xml:space="preserve">Fundamental consciousness + agency; contrast with Advaita and micropsychism</w:t>
            </w:r>
            <w:r/>
          </w:p>
        </w:tc>
        <w:tc>
          <w:tcPr>
            <w:tcBorders/>
            <w:tcMar>
              <w:left w:w="70" w:type="dxa"/>
              <w:top w:w="60" w:type="dxa"/>
              <w:right w:w="70" w:type="dxa"/>
              <w:bottom w:w="60" w:type="dxa"/>
            </w:tcMar>
            <w:tcW w:w="3355" w:type="dxa"/>
            <w:vAlign w:val="top"/>
          </w:tcPr>
          <w:p>
            <w:pPr>
              <w:pStyle w:val="1297"/>
              <w:pBdr/>
              <w:spacing/>
              <w:ind/>
              <w:rPr/>
            </w:pPr>
            <w:r>
              <w:t xml:space="preserve">Blocks 'fundamental consciousness' as one solution type</w:t>
            </w:r>
            <w:r/>
          </w:p>
        </w:tc>
        <w:tc>
          <w:tcPr>
            <w:tcBorders/>
            <w:tcMar>
              <w:left w:w="70" w:type="dxa"/>
              <w:top w:w="60" w:type="dxa"/>
              <w:right w:w="70" w:type="dxa"/>
              <w:bottom w:w="60" w:type="dxa"/>
            </w:tcMar>
            <w:tcW w:w="1983" w:type="dxa"/>
            <w:vAlign w:val="top"/>
          </w:tcPr>
          <w:p>
            <w:pPr>
              <w:pStyle w:val="1297"/>
              <w:pBdr/>
              <w:spacing/>
              <w:ind/>
              <w:rPr/>
            </w:pPr>
            <w:r>
              <w:t xml:space="preserve">PASS</w:t>
            </w:r>
            <w:r/>
          </w:p>
        </w:tc>
        <w:tc>
          <w:tcPr>
            <w:tcBorders/>
            <w:tcMar>
              <w:left w:w="70" w:type="dxa"/>
              <w:top w:w="60" w:type="dxa"/>
              <w:right w:w="70" w:type="dxa"/>
              <w:bottom w:w="60" w:type="dxa"/>
            </w:tcMar>
            <w:tcW w:w="3355" w:type="dxa"/>
            <w:vAlign w:val="top"/>
          </w:tcPr>
          <w:p>
            <w:pPr>
              <w:pStyle w:val="1297"/>
              <w:pBdr/>
              <w:spacing/>
              <w:ind/>
              <w:rPr/>
            </w:pPr>
            <w:r>
              <w:t xml:space="preserve">CD 4 | CL 5 | CC 3 | DR 3 | LR 5 | SF 4 | RF 5 | weighted 4.10/5</w:t>
            </w:r>
            <w:r/>
          </w:p>
        </w:tc>
        <w:tc>
          <w:tcPr>
            <w:tcBorders/>
            <w:tcMar>
              <w:left w:w="70" w:type="dxa"/>
              <w:top w:w="60" w:type="dxa"/>
              <w:right w:w="70" w:type="dxa"/>
              <w:bottom w:w="60" w:type="dxa"/>
            </w:tcMar>
            <w:tcW w:w="2135" w:type="dxa"/>
            <w:vAlign w:val="top"/>
          </w:tcPr>
          <w:p>
            <w:pPr>
              <w:pStyle w:val="1297"/>
              <w:pBdr/>
              <w:spacing/>
              <w:ind/>
              <w:rPr/>
            </w:pPr>
            <w:r>
              <w:t xml:space="preserve">MAJOR COMPARATOR</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28</w:t>
            </w:r>
            <w:r/>
          </w:p>
        </w:tc>
        <w:tc>
          <w:tcPr>
            <w:shd w:val="clear" w:color="auto" w:fill="f7f9fa"/>
            <w:tcBorders/>
            <w:tcMar>
              <w:left w:w="70" w:type="dxa"/>
              <w:top w:w="60" w:type="dxa"/>
              <w:right w:w="70" w:type="dxa"/>
              <w:bottom w:w="60" w:type="dxa"/>
            </w:tcMar>
            <w:tcW w:w="3356" w:type="dxa"/>
            <w:vAlign w:val="top"/>
          </w:tcPr>
          <w:p>
            <w:pPr>
              <w:pStyle w:val="1297"/>
              <w:pBdr/>
              <w:spacing/>
              <w:ind/>
              <w:rPr/>
            </w:pPr>
            <w:r>
              <w:t xml:space="preserve">Personhood/value/praxis; comparator to Zhu Xi</w:t>
            </w:r>
            <w:r/>
          </w:p>
        </w:tc>
        <w:tc>
          <w:tcPr>
            <w:shd w:val="clear" w:color="auto" w:fill="f7f9fa"/>
            <w:tcBorders/>
            <w:tcMar>
              <w:left w:w="70" w:type="dxa"/>
              <w:top w:w="60" w:type="dxa"/>
              <w:right w:w="70" w:type="dxa"/>
              <w:bottom w:w="60" w:type="dxa"/>
            </w:tcMar>
            <w:tcW w:w="3355" w:type="dxa"/>
            <w:vAlign w:val="top"/>
          </w:tcPr>
          <w:p>
            <w:pPr>
              <w:pStyle w:val="1297"/>
              <w:pBdr/>
              <w:spacing/>
              <w:ind/>
              <w:rPr/>
            </w:pPr>
            <w:r>
              <w:t xml:space="preserve">Counters reducing Confucian material to metaphysics of lǐ/qì</w:t>
            </w:r>
            <w:r/>
          </w:p>
        </w:tc>
        <w:tc>
          <w:tcPr>
            <w:shd w:val="clear" w:color="auto" w:fill="f7f9fa"/>
            <w:tcBorders/>
            <w:tcMar>
              <w:left w:w="70" w:type="dxa"/>
              <w:top w:w="60" w:type="dxa"/>
              <w:right w:w="70" w:type="dxa"/>
              <w:bottom w:w="60" w:type="dxa"/>
            </w:tcMar>
            <w:tcW w:w="1983" w:type="dxa"/>
            <w:vAlign w:val="top"/>
          </w:tcPr>
          <w:p>
            <w:pPr>
              <w:pStyle w:val="1297"/>
              <w:pBdr/>
              <w:spacing/>
              <w:ind/>
              <w:rPr/>
            </w:pPr>
            <w:r>
              <w:t xml:space="preserve">PASS</w:t>
            </w:r>
            <w:r/>
          </w:p>
        </w:tc>
        <w:tc>
          <w:tcPr>
            <w:shd w:val="clear" w:color="auto" w:fill="f7f9fa"/>
            <w:tcBorders/>
            <w:tcMar>
              <w:left w:w="70" w:type="dxa"/>
              <w:top w:w="60" w:type="dxa"/>
              <w:right w:w="70" w:type="dxa"/>
              <w:bottom w:w="60" w:type="dxa"/>
            </w:tcMar>
            <w:tcW w:w="3355" w:type="dxa"/>
            <w:vAlign w:val="top"/>
          </w:tcPr>
          <w:p>
            <w:pPr>
              <w:pStyle w:val="1297"/>
              <w:pBdr/>
              <w:spacing/>
              <w:ind/>
              <w:rPr/>
            </w:pPr>
            <w:r>
              <w:t xml:space="preserve">CD 4 | CL 5 | CC 3 | DR 3 | LR 2 | SF 5 | RF 5 | weighted 3.90/5</w:t>
            </w:r>
            <w:r/>
          </w:p>
        </w:tc>
        <w:tc>
          <w:tcPr>
            <w:shd w:val="clear" w:color="auto" w:fill="f7f9fa"/>
            <w:tcBorders/>
            <w:tcMar>
              <w:left w:w="70" w:type="dxa"/>
              <w:top w:w="60" w:type="dxa"/>
              <w:right w:w="70" w:type="dxa"/>
              <w:bottom w:w="60" w:type="dxa"/>
            </w:tcMar>
            <w:tcW w:w="2135" w:type="dxa"/>
            <w:vAlign w:val="top"/>
          </w:tcPr>
          <w:p>
            <w:pPr>
              <w:pStyle w:val="1297"/>
              <w:pBdr/>
              <w:spacing/>
              <w:ind/>
              <w:rPr/>
            </w:pPr>
            <w:r>
              <w:t xml:space="preserve">MAJOR COMPARATOR</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29</w:t>
            </w:r>
            <w:r/>
          </w:p>
        </w:tc>
        <w:tc>
          <w:tcPr>
            <w:tcBorders/>
            <w:tcMar>
              <w:left w:w="70" w:type="dxa"/>
              <w:top w:w="60" w:type="dxa"/>
              <w:right w:w="70" w:type="dxa"/>
              <w:bottom w:w="60" w:type="dxa"/>
            </w:tcMar>
            <w:tcW w:w="3356" w:type="dxa"/>
            <w:vAlign w:val="top"/>
          </w:tcPr>
          <w:p>
            <w:pPr>
              <w:pStyle w:val="1297"/>
              <w:pBdr/>
              <w:spacing/>
              <w:ind/>
              <w:rPr/>
            </w:pPr>
            <w:r>
              <w:t xml:space="preserve">Personhood architecture; internal scholarly disagreement</w:t>
            </w:r>
            <w:r/>
          </w:p>
        </w:tc>
        <w:tc>
          <w:tcPr>
            <w:tcBorders/>
            <w:tcMar>
              <w:left w:w="70" w:type="dxa"/>
              <w:top w:w="60" w:type="dxa"/>
              <w:right w:w="70" w:type="dxa"/>
              <w:bottom w:w="60" w:type="dxa"/>
            </w:tcMar>
            <w:tcW w:w="3355" w:type="dxa"/>
            <w:vAlign w:val="top"/>
          </w:tcPr>
          <w:p>
            <w:pPr>
              <w:pStyle w:val="1297"/>
              <w:pBdr/>
              <w:spacing/>
              <w:ind/>
              <w:rPr/>
            </w:pPr>
            <w:r>
              <w:t xml:space="preserve">Category challenge for personhood as metaphysical vs normative</w:t>
            </w:r>
            <w:r/>
          </w:p>
        </w:tc>
        <w:tc>
          <w:tcPr>
            <w:tcBorders/>
            <w:tcMar>
              <w:left w:w="70" w:type="dxa"/>
              <w:top w:w="60" w:type="dxa"/>
              <w:right w:w="70" w:type="dxa"/>
              <w:bottom w:w="60" w:type="dxa"/>
            </w:tcMar>
            <w:tcW w:w="1983" w:type="dxa"/>
            <w:vAlign w:val="top"/>
          </w:tcPr>
          <w:p>
            <w:pPr>
              <w:pStyle w:val="1297"/>
              <w:pBdr/>
              <w:spacing/>
              <w:ind/>
              <w:rPr/>
            </w:pPr>
            <w:r>
              <w:t xml:space="preserve">PASS</w:t>
            </w:r>
            <w:r/>
          </w:p>
        </w:tc>
        <w:tc>
          <w:tcPr>
            <w:tcBorders/>
            <w:tcMar>
              <w:left w:w="70" w:type="dxa"/>
              <w:top w:w="60" w:type="dxa"/>
              <w:right w:w="70" w:type="dxa"/>
              <w:bottom w:w="60" w:type="dxa"/>
            </w:tcMar>
            <w:tcW w:w="3355" w:type="dxa"/>
            <w:vAlign w:val="top"/>
          </w:tcPr>
          <w:p>
            <w:pPr>
              <w:pStyle w:val="1297"/>
              <w:pBdr/>
              <w:spacing/>
              <w:ind/>
              <w:rPr/>
            </w:pPr>
            <w:r>
              <w:t xml:space="preserve">CD 4 | CL 5 | CC 3 | DR 5 | LR 5 | SF 4 | RF 5 | weighted 4.40/5</w:t>
            </w:r>
            <w:r/>
          </w:p>
        </w:tc>
        <w:tc>
          <w:tcPr>
            <w:tcBorders/>
            <w:tcMar>
              <w:left w:w="70" w:type="dxa"/>
              <w:top w:w="60" w:type="dxa"/>
              <w:right w:w="70" w:type="dxa"/>
              <w:bottom w:w="60" w:type="dxa"/>
            </w:tcMar>
            <w:tcW w:w="2135" w:type="dxa"/>
            <w:vAlign w:val="top"/>
          </w:tcPr>
          <w:p>
            <w:pPr>
              <w:pStyle w:val="1297"/>
              <w:pBdr/>
              <w:spacing/>
              <w:ind/>
              <w:rPr/>
            </w:pPr>
            <w:r>
              <w:t xml:space="preserve">MAJOR COMPARATOR</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30</w:t>
            </w:r>
            <w:r/>
          </w:p>
        </w:tc>
        <w:tc>
          <w:tcPr>
            <w:shd w:val="clear" w:color="auto" w:fill="f7f9fa"/>
            <w:tcBorders/>
            <w:tcMar>
              <w:left w:w="70" w:type="dxa"/>
              <w:top w:w="60" w:type="dxa"/>
              <w:right w:w="70" w:type="dxa"/>
              <w:bottom w:w="60" w:type="dxa"/>
            </w:tcMar>
            <w:tcW w:w="3356" w:type="dxa"/>
            <w:vAlign w:val="top"/>
          </w:tcPr>
          <w:p>
            <w:pPr>
              <w:pStyle w:val="1297"/>
              <w:pBdr/>
              <w:spacing/>
              <w:ind/>
              <w:rPr/>
            </w:pPr>
            <w:r>
              <w:t xml:space="preserve">Self/no-self comparison with strong genealogical independence</w:t>
            </w:r>
            <w:r/>
          </w:p>
        </w:tc>
        <w:tc>
          <w:tcPr>
            <w:shd w:val="clear" w:color="auto" w:fill="f7f9fa"/>
            <w:tcBorders/>
            <w:tcMar>
              <w:left w:w="70" w:type="dxa"/>
              <w:top w:w="60" w:type="dxa"/>
              <w:right w:w="70" w:type="dxa"/>
              <w:bottom w:w="60" w:type="dxa"/>
            </w:tcMar>
            <w:tcW w:w="3355" w:type="dxa"/>
            <w:vAlign w:val="top"/>
          </w:tcPr>
          <w:p>
            <w:pPr>
              <w:pStyle w:val="1297"/>
              <w:pBdr/>
              <w:spacing/>
              <w:ind/>
              <w:rPr/>
            </w:pPr>
            <w:r>
              <w:t xml:space="preserve">Counterexample against Buddhist-only no-substantial-self motif</w:t>
            </w:r>
            <w:r/>
          </w:p>
        </w:tc>
        <w:tc>
          <w:tcPr>
            <w:shd w:val="clear" w:color="auto" w:fill="f7f9fa"/>
            <w:tcBorders/>
            <w:tcMar>
              <w:left w:w="70" w:type="dxa"/>
              <w:top w:w="60" w:type="dxa"/>
              <w:right w:w="70" w:type="dxa"/>
              <w:bottom w:w="60" w:type="dxa"/>
            </w:tcMar>
            <w:tcW w:w="1983" w:type="dxa"/>
            <w:vAlign w:val="top"/>
          </w:tcPr>
          <w:p>
            <w:pPr>
              <w:pStyle w:val="1297"/>
              <w:pBdr/>
              <w:spacing/>
              <w:ind/>
              <w:rPr/>
            </w:pPr>
            <w:r>
              <w:t xml:space="preserve">PASS</w:t>
            </w:r>
            <w:r/>
          </w:p>
        </w:tc>
        <w:tc>
          <w:tcPr>
            <w:shd w:val="clear" w:color="auto" w:fill="f7f9fa"/>
            <w:tcBorders/>
            <w:tcMar>
              <w:left w:w="70" w:type="dxa"/>
              <w:top w:w="60" w:type="dxa"/>
              <w:right w:w="70" w:type="dxa"/>
              <w:bottom w:w="60" w:type="dxa"/>
            </w:tcMar>
            <w:tcW w:w="3355" w:type="dxa"/>
            <w:vAlign w:val="top"/>
          </w:tcPr>
          <w:p>
            <w:pPr>
              <w:pStyle w:val="1297"/>
              <w:pBdr/>
              <w:spacing/>
              <w:ind/>
              <w:rPr/>
            </w:pPr>
            <w:r>
              <w:t xml:space="preserve">CD 4 | CL 5 | CC 3 | DR 3 | LR 5 | SF 5 | RF 5 | weighted 4.20/5</w:t>
            </w:r>
            <w:r/>
          </w:p>
        </w:tc>
        <w:tc>
          <w:tcPr>
            <w:shd w:val="clear" w:color="auto" w:fill="f7f9fa"/>
            <w:tcBorders/>
            <w:tcMar>
              <w:left w:w="70" w:type="dxa"/>
              <w:top w:w="60" w:type="dxa"/>
              <w:right w:w="70" w:type="dxa"/>
              <w:bottom w:w="60" w:type="dxa"/>
            </w:tcMar>
            <w:tcW w:w="2135" w:type="dxa"/>
            <w:vAlign w:val="top"/>
          </w:tcPr>
          <w:p>
            <w:pPr>
              <w:pStyle w:val="1297"/>
              <w:pBdr/>
              <w:spacing/>
              <w:ind/>
              <w:rPr/>
            </w:pPr>
            <w:r>
              <w:t xml:space="preserve">MAJOR COMPARATOR</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31</w:t>
            </w:r>
            <w:r/>
          </w:p>
        </w:tc>
        <w:tc>
          <w:tcPr>
            <w:tcBorders/>
            <w:tcMar>
              <w:left w:w="70" w:type="dxa"/>
              <w:top w:w="60" w:type="dxa"/>
              <w:right w:w="70" w:type="dxa"/>
              <w:bottom w:w="60" w:type="dxa"/>
            </w:tcMar>
            <w:tcW w:w="3356" w:type="dxa"/>
            <w:vAlign w:val="top"/>
          </w:tcPr>
          <w:p>
            <w:pPr>
              <w:pStyle w:val="1297"/>
              <w:pBdr/>
              <w:spacing/>
              <w:ind/>
              <w:rPr/>
            </w:pPr>
            <w:r>
              <w:t xml:space="preserve">Physicalism/panpsychism fault line</w:t>
            </w:r>
            <w:r/>
          </w:p>
        </w:tc>
        <w:tc>
          <w:tcPr>
            <w:tcBorders/>
            <w:tcMar>
              <w:left w:w="70" w:type="dxa"/>
              <w:top w:w="60" w:type="dxa"/>
              <w:right w:w="70" w:type="dxa"/>
              <w:bottom w:w="60" w:type="dxa"/>
            </w:tcMar>
            <w:tcW w:w="3355" w:type="dxa"/>
            <w:vAlign w:val="top"/>
          </w:tcPr>
          <w:p>
            <w:pPr>
              <w:pStyle w:val="1297"/>
              <w:pBdr/>
              <w:spacing/>
              <w:ind/>
              <w:rPr/>
            </w:pPr>
            <w:r>
              <w:t xml:space="preserve">Counters binary physicalism vs spiritualism</w:t>
            </w:r>
            <w:r/>
          </w:p>
        </w:tc>
        <w:tc>
          <w:tcPr>
            <w:tcBorders/>
            <w:tcMar>
              <w:left w:w="70" w:type="dxa"/>
              <w:top w:w="60" w:type="dxa"/>
              <w:right w:w="70" w:type="dxa"/>
              <w:bottom w:w="60" w:type="dxa"/>
            </w:tcMar>
            <w:tcW w:w="1983" w:type="dxa"/>
            <w:vAlign w:val="top"/>
          </w:tcPr>
          <w:p>
            <w:pPr>
              <w:pStyle w:val="1297"/>
              <w:pBdr/>
              <w:spacing/>
              <w:ind/>
              <w:rPr/>
            </w:pPr>
            <w:r>
              <w:t xml:space="preserve">PASS</w:t>
            </w:r>
            <w:r/>
          </w:p>
        </w:tc>
        <w:tc>
          <w:tcPr>
            <w:tcBorders/>
            <w:tcMar>
              <w:left w:w="70" w:type="dxa"/>
              <w:top w:w="60" w:type="dxa"/>
              <w:right w:w="70" w:type="dxa"/>
              <w:bottom w:w="60" w:type="dxa"/>
            </w:tcMar>
            <w:tcW w:w="3355" w:type="dxa"/>
            <w:vAlign w:val="top"/>
          </w:tcPr>
          <w:p>
            <w:pPr>
              <w:pStyle w:val="1297"/>
              <w:pBdr/>
              <w:spacing/>
              <w:ind/>
              <w:rPr/>
            </w:pPr>
            <w:r>
              <w:t xml:space="preserve">CD 4 | CL 4 | CC 5 | DR 3 | LR 3 | SF 5 | RF 5 | weighted 4.10/5</w:t>
            </w:r>
            <w:r/>
          </w:p>
        </w:tc>
        <w:tc>
          <w:tcPr>
            <w:tcBorders/>
            <w:tcMar>
              <w:left w:w="70" w:type="dxa"/>
              <w:top w:w="60" w:type="dxa"/>
              <w:right w:w="70" w:type="dxa"/>
              <w:bottom w:w="60" w:type="dxa"/>
            </w:tcMar>
            <w:tcW w:w="2135" w:type="dxa"/>
            <w:vAlign w:val="top"/>
          </w:tcPr>
          <w:p>
            <w:pPr>
              <w:pStyle w:val="1297"/>
              <w:pBdr/>
              <w:spacing/>
              <w:ind/>
              <w:rPr/>
            </w:pPr>
            <w:r>
              <w:t xml:space="preserve">COUNTEREXAMPLE-STRESS</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32</w:t>
            </w:r>
            <w:r/>
          </w:p>
        </w:tc>
        <w:tc>
          <w:tcPr>
            <w:shd w:val="clear" w:color="auto" w:fill="f7f9fa"/>
            <w:tcBorders/>
            <w:tcMar>
              <w:left w:w="70" w:type="dxa"/>
              <w:top w:w="60" w:type="dxa"/>
              <w:right w:w="70" w:type="dxa"/>
              <w:bottom w:w="60" w:type="dxa"/>
            </w:tcMar>
            <w:tcW w:w="3356" w:type="dxa"/>
            <w:vAlign w:val="top"/>
          </w:tcPr>
          <w:p>
            <w:pPr>
              <w:pStyle w:val="1297"/>
              <w:pBdr/>
              <w:spacing/>
              <w:ind/>
              <w:rPr/>
            </w:pPr>
            <w:r>
              <w:t xml:space="preserve">Stress test for what 'consciousness fundamental' comparisons presuppose</w:t>
            </w:r>
            <w:r/>
          </w:p>
        </w:tc>
        <w:tc>
          <w:tcPr>
            <w:shd w:val="clear" w:color="auto" w:fill="f7f9fa"/>
            <w:tcBorders/>
            <w:tcMar>
              <w:left w:w="70" w:type="dxa"/>
              <w:top w:w="60" w:type="dxa"/>
              <w:right w:w="70" w:type="dxa"/>
              <w:bottom w:w="60" w:type="dxa"/>
            </w:tcMar>
            <w:tcW w:w="3355" w:type="dxa"/>
            <w:vAlign w:val="top"/>
          </w:tcPr>
          <w:p>
            <w:pPr>
              <w:pStyle w:val="1297"/>
              <w:pBdr/>
              <w:spacing/>
              <w:ind/>
              <w:rPr/>
            </w:pPr>
            <w:r>
              <w:t xml:space="preserve">Strong DEN/REF leverage</w:t>
            </w:r>
            <w:r/>
          </w:p>
        </w:tc>
        <w:tc>
          <w:tcPr>
            <w:shd w:val="clear" w:color="auto" w:fill="f7f9fa"/>
            <w:tcBorders/>
            <w:tcMar>
              <w:left w:w="70" w:type="dxa"/>
              <w:top w:w="60" w:type="dxa"/>
              <w:right w:w="70" w:type="dxa"/>
              <w:bottom w:w="60" w:type="dxa"/>
            </w:tcMar>
            <w:tcW w:w="1983" w:type="dxa"/>
            <w:vAlign w:val="top"/>
          </w:tcPr>
          <w:p>
            <w:pPr>
              <w:pStyle w:val="1297"/>
              <w:pBdr/>
              <w:spacing/>
              <w:ind/>
              <w:rPr/>
            </w:pPr>
            <w:r>
              <w:t xml:space="preserve">PASS</w:t>
            </w:r>
            <w:r/>
          </w:p>
        </w:tc>
        <w:tc>
          <w:tcPr>
            <w:shd w:val="clear" w:color="auto" w:fill="f7f9fa"/>
            <w:tcBorders/>
            <w:tcMar>
              <w:left w:w="70" w:type="dxa"/>
              <w:top w:w="60" w:type="dxa"/>
              <w:right w:w="70" w:type="dxa"/>
              <w:bottom w:w="60" w:type="dxa"/>
            </w:tcMar>
            <w:tcW w:w="3355" w:type="dxa"/>
            <w:vAlign w:val="top"/>
          </w:tcPr>
          <w:p>
            <w:pPr>
              <w:pStyle w:val="1297"/>
              <w:pBdr/>
              <w:spacing/>
              <w:ind/>
              <w:rPr/>
            </w:pPr>
            <w:r>
              <w:t xml:space="preserve">CD 4 | CL 4 | CC 5 | DR 3 | LR 5 | SF 4 | RF 5 | weighted 4.20/5</w:t>
            </w:r>
            <w:r/>
          </w:p>
        </w:tc>
        <w:tc>
          <w:tcPr>
            <w:shd w:val="clear" w:color="auto" w:fill="f7f9fa"/>
            <w:tcBorders/>
            <w:tcMar>
              <w:left w:w="70" w:type="dxa"/>
              <w:top w:w="60" w:type="dxa"/>
              <w:right w:w="70" w:type="dxa"/>
              <w:bottom w:w="60" w:type="dxa"/>
            </w:tcMar>
            <w:tcW w:w="2135" w:type="dxa"/>
            <w:vAlign w:val="top"/>
          </w:tcPr>
          <w:p>
            <w:pPr>
              <w:pStyle w:val="1297"/>
              <w:pBdr/>
              <w:spacing/>
              <w:ind/>
              <w:rPr/>
            </w:pPr>
            <w:r>
              <w:t xml:space="preserve">COUNTEREXAMPLE-STRESS</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33</w:t>
            </w:r>
            <w:r/>
          </w:p>
        </w:tc>
        <w:tc>
          <w:tcPr>
            <w:tcBorders/>
            <w:tcMar>
              <w:left w:w="70" w:type="dxa"/>
              <w:top w:w="60" w:type="dxa"/>
              <w:right w:w="70" w:type="dxa"/>
              <w:bottom w:w="60" w:type="dxa"/>
            </w:tcMar>
            <w:tcW w:w="3356" w:type="dxa"/>
            <w:vAlign w:val="top"/>
          </w:tcPr>
          <w:p>
            <w:pPr>
              <w:pStyle w:val="1297"/>
              <w:pBdr/>
              <w:spacing/>
              <w:ind/>
              <w:rPr/>
            </w:pPr>
            <w:r>
              <w:t xml:space="preserve">Counterpressure on Mencius and later Confucian cultivation narratives</w:t>
            </w:r>
            <w:r/>
          </w:p>
        </w:tc>
        <w:tc>
          <w:tcPr>
            <w:tcBorders/>
            <w:tcMar>
              <w:left w:w="70" w:type="dxa"/>
              <w:top w:w="60" w:type="dxa"/>
              <w:right w:w="70" w:type="dxa"/>
              <w:bottom w:w="60" w:type="dxa"/>
            </w:tcMar>
            <w:tcW w:w="3355" w:type="dxa"/>
            <w:vAlign w:val="top"/>
          </w:tcPr>
          <w:p>
            <w:pPr>
              <w:pStyle w:val="1297"/>
              <w:pBdr/>
              <w:spacing/>
              <w:ind/>
              <w:rPr/>
            </w:pPr>
            <w:r>
              <w:t xml:space="preserve">Internal-tradition pluralism test</w:t>
            </w:r>
            <w:r/>
          </w:p>
        </w:tc>
        <w:tc>
          <w:tcPr>
            <w:tcBorders/>
            <w:tcMar>
              <w:left w:w="70" w:type="dxa"/>
              <w:top w:w="60" w:type="dxa"/>
              <w:right w:w="70" w:type="dxa"/>
              <w:bottom w:w="60" w:type="dxa"/>
            </w:tcMar>
            <w:tcW w:w="1983" w:type="dxa"/>
            <w:vAlign w:val="top"/>
          </w:tcPr>
          <w:p>
            <w:pPr>
              <w:pStyle w:val="1297"/>
              <w:pBdr/>
              <w:spacing/>
              <w:ind/>
              <w:rPr/>
            </w:pPr>
            <w:r>
              <w:t xml:space="preserve">PASS</w:t>
            </w:r>
            <w:r/>
          </w:p>
        </w:tc>
        <w:tc>
          <w:tcPr>
            <w:tcBorders/>
            <w:tcMar>
              <w:left w:w="70" w:type="dxa"/>
              <w:top w:w="60" w:type="dxa"/>
              <w:right w:w="70" w:type="dxa"/>
              <w:bottom w:w="60" w:type="dxa"/>
            </w:tcMar>
            <w:tcW w:w="3355" w:type="dxa"/>
            <w:vAlign w:val="top"/>
          </w:tcPr>
          <w:p>
            <w:pPr>
              <w:pStyle w:val="1297"/>
              <w:pBdr/>
              <w:spacing/>
              <w:ind/>
              <w:rPr/>
            </w:pPr>
            <w:r>
              <w:t xml:space="preserve">CD 4 | CL 4 | CC 5 | DR 3 | LR 3 | SF 5 | RF 5 | weighted 4.10/5</w:t>
            </w:r>
            <w:r/>
          </w:p>
        </w:tc>
        <w:tc>
          <w:tcPr>
            <w:tcBorders/>
            <w:tcMar>
              <w:left w:w="70" w:type="dxa"/>
              <w:top w:w="60" w:type="dxa"/>
              <w:right w:w="70" w:type="dxa"/>
              <w:bottom w:w="60" w:type="dxa"/>
            </w:tcMar>
            <w:tcW w:w="2135" w:type="dxa"/>
            <w:vAlign w:val="top"/>
          </w:tcPr>
          <w:p>
            <w:pPr>
              <w:pStyle w:val="1297"/>
              <w:pBdr/>
              <w:spacing/>
              <w:ind/>
              <w:rPr/>
            </w:pPr>
            <w:r>
              <w:t xml:space="preserve">COUNTEREXAMPLE-STRESS</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34</w:t>
            </w:r>
            <w:r/>
          </w:p>
        </w:tc>
        <w:tc>
          <w:tcPr>
            <w:shd w:val="clear" w:color="auto" w:fill="f7f9fa"/>
            <w:tcBorders/>
            <w:tcMar>
              <w:left w:w="70" w:type="dxa"/>
              <w:top w:w="60" w:type="dxa"/>
              <w:right w:w="70" w:type="dxa"/>
              <w:bottom w:w="60" w:type="dxa"/>
            </w:tcMar>
            <w:tcW w:w="3356" w:type="dxa"/>
            <w:vAlign w:val="top"/>
          </w:tcPr>
          <w:p>
            <w:pPr>
              <w:pStyle w:val="1297"/>
              <w:pBdr/>
              <w:spacing/>
              <w:ind/>
              <w:rPr/>
            </w:pPr>
            <w:r>
              <w:t xml:space="preserve">Materiality category comparator</w:t>
            </w:r>
            <w:r/>
          </w:p>
        </w:tc>
        <w:tc>
          <w:tcPr>
            <w:shd w:val="clear" w:color="auto" w:fill="f7f9fa"/>
            <w:tcBorders/>
            <w:tcMar>
              <w:left w:w="70" w:type="dxa"/>
              <w:top w:w="60" w:type="dxa"/>
              <w:right w:w="70" w:type="dxa"/>
              <w:bottom w:w="60" w:type="dxa"/>
            </w:tcMar>
            <w:tcW w:w="3355" w:type="dxa"/>
            <w:vAlign w:val="top"/>
          </w:tcPr>
          <w:p>
            <w:pPr>
              <w:pStyle w:val="1297"/>
              <w:pBdr/>
              <w:spacing/>
              <w:ind/>
              <w:rPr/>
            </w:pPr>
            <w:r>
              <w:t xml:space="preserve">Counters material/immaterial assumptions without panpsychism</w:t>
            </w:r>
            <w:r/>
          </w:p>
        </w:tc>
        <w:tc>
          <w:tcPr>
            <w:shd w:val="clear" w:color="auto" w:fill="f7f9fa"/>
            <w:tcBorders/>
            <w:tcMar>
              <w:left w:w="70" w:type="dxa"/>
              <w:top w:w="60" w:type="dxa"/>
              <w:right w:w="70" w:type="dxa"/>
              <w:bottom w:w="60" w:type="dxa"/>
            </w:tcMar>
            <w:tcW w:w="1983" w:type="dxa"/>
            <w:vAlign w:val="top"/>
          </w:tcPr>
          <w:p>
            <w:pPr>
              <w:pStyle w:val="1297"/>
              <w:pBdr/>
              <w:spacing/>
              <w:ind/>
              <w:rPr/>
            </w:pPr>
            <w:r>
              <w:t xml:space="preserve">PASS</w:t>
            </w:r>
            <w:r/>
          </w:p>
        </w:tc>
        <w:tc>
          <w:tcPr>
            <w:shd w:val="clear" w:color="auto" w:fill="f7f9fa"/>
            <w:tcBorders/>
            <w:tcMar>
              <w:left w:w="70" w:type="dxa"/>
              <w:top w:w="60" w:type="dxa"/>
              <w:right w:w="70" w:type="dxa"/>
              <w:bottom w:w="60" w:type="dxa"/>
            </w:tcMar>
            <w:tcW w:w="3355" w:type="dxa"/>
            <w:vAlign w:val="top"/>
          </w:tcPr>
          <w:p>
            <w:pPr>
              <w:pStyle w:val="1297"/>
              <w:pBdr/>
              <w:spacing/>
              <w:ind/>
              <w:rPr/>
            </w:pPr>
            <w:r>
              <w:t xml:space="preserve">CD 3 | CL 3 | CC 3 | DR 3 | LR 3 | SF 5 | RF 5 | weighted 3.40/5</w:t>
            </w:r>
            <w:r/>
          </w:p>
        </w:tc>
        <w:tc>
          <w:tcPr>
            <w:shd w:val="clear" w:color="auto" w:fill="f7f9fa"/>
            <w:tcBorders/>
            <w:tcMar>
              <w:left w:w="70" w:type="dxa"/>
              <w:top w:w="60" w:type="dxa"/>
              <w:right w:w="70" w:type="dxa"/>
              <w:bottom w:w="60" w:type="dxa"/>
            </w:tcMar>
            <w:tcW w:w="2135" w:type="dxa"/>
            <w:vAlign w:val="top"/>
          </w:tcPr>
          <w:p>
            <w:pPr>
              <w:pStyle w:val="1297"/>
              <w:pBdr/>
              <w:spacing/>
              <w:ind/>
              <w:rPr/>
            </w:pPr>
            <w:r>
              <w:t xml:space="preserve">DIGITAL-REFERENCE</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35</w:t>
            </w:r>
            <w:r/>
          </w:p>
        </w:tc>
        <w:tc>
          <w:tcPr>
            <w:tcBorders/>
            <w:tcMar>
              <w:left w:w="70" w:type="dxa"/>
              <w:top w:w="60" w:type="dxa"/>
              <w:right w:w="70" w:type="dxa"/>
              <w:bottom w:w="60" w:type="dxa"/>
            </w:tcMar>
            <w:tcW w:w="3356" w:type="dxa"/>
            <w:vAlign w:val="top"/>
          </w:tcPr>
          <w:p>
            <w:pPr>
              <w:pStyle w:val="1297"/>
              <w:pBdr/>
              <w:spacing/>
              <w:ind/>
              <w:rPr/>
            </w:pPr>
            <w:r>
              <w:t xml:space="preserve">Context/comparator for Gregory, Avicenna, Maimonides</w:t>
            </w:r>
            <w:r/>
          </w:p>
        </w:tc>
        <w:tc>
          <w:tcPr>
            <w:tcBorders/>
            <w:tcMar>
              <w:left w:w="70" w:type="dxa"/>
              <w:top w:w="60" w:type="dxa"/>
              <w:right w:w="70" w:type="dxa"/>
              <w:bottom w:w="60" w:type="dxa"/>
            </w:tcMar>
            <w:tcW w:w="3355" w:type="dxa"/>
            <w:vAlign w:val="top"/>
          </w:tcPr>
          <w:p>
            <w:pPr>
              <w:pStyle w:val="1297"/>
              <w:pBdr/>
              <w:spacing/>
              <w:ind/>
              <w:rPr/>
            </w:pPr>
            <w:r>
              <w:t xml:space="preserve">Strong genealogy node but redundant in core narrative</w:t>
            </w:r>
            <w:r/>
          </w:p>
        </w:tc>
        <w:tc>
          <w:tcPr>
            <w:tcBorders/>
            <w:tcMar>
              <w:left w:w="70" w:type="dxa"/>
              <w:top w:w="60" w:type="dxa"/>
              <w:right w:w="70" w:type="dxa"/>
              <w:bottom w:w="60" w:type="dxa"/>
            </w:tcMar>
            <w:tcW w:w="1983" w:type="dxa"/>
            <w:vAlign w:val="top"/>
          </w:tcPr>
          <w:p>
            <w:pPr>
              <w:pStyle w:val="1297"/>
              <w:pBdr/>
              <w:spacing/>
              <w:ind/>
              <w:rPr/>
            </w:pPr>
            <w:r>
              <w:t xml:space="preserve">PASS</w:t>
            </w:r>
            <w:r/>
          </w:p>
        </w:tc>
        <w:tc>
          <w:tcPr>
            <w:tcBorders/>
            <w:tcMar>
              <w:left w:w="70" w:type="dxa"/>
              <w:top w:w="60" w:type="dxa"/>
              <w:right w:w="70" w:type="dxa"/>
              <w:bottom w:w="60" w:type="dxa"/>
            </w:tcMar>
            <w:tcW w:w="3355" w:type="dxa"/>
            <w:vAlign w:val="top"/>
          </w:tcPr>
          <w:p>
            <w:pPr>
              <w:pStyle w:val="1297"/>
              <w:pBdr/>
              <w:spacing/>
              <w:ind/>
              <w:rPr/>
            </w:pPr>
            <w:r>
              <w:t xml:space="preserve">CD 3 | CL 3 | CC 3 | DR 3 | LR 2 | SF 5 | RF 5 | weighted 3.30/5</w:t>
            </w:r>
            <w:r/>
          </w:p>
        </w:tc>
        <w:tc>
          <w:tcPr>
            <w:tcBorders/>
            <w:tcMar>
              <w:left w:w="70" w:type="dxa"/>
              <w:top w:w="60" w:type="dxa"/>
              <w:right w:w="70" w:type="dxa"/>
              <w:bottom w:w="60" w:type="dxa"/>
            </w:tcMar>
            <w:tcW w:w="2135" w:type="dxa"/>
            <w:vAlign w:val="top"/>
          </w:tcPr>
          <w:p>
            <w:pPr>
              <w:pStyle w:val="1297"/>
              <w:pBdr/>
              <w:spacing/>
              <w:ind/>
              <w:rPr/>
            </w:pPr>
            <w:r>
              <w:t xml:space="preserve">DIGITAL-REFERENCE</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36</w:t>
            </w:r>
            <w:r/>
          </w:p>
        </w:tc>
        <w:tc>
          <w:tcPr>
            <w:shd w:val="clear" w:color="auto" w:fill="f7f9fa"/>
            <w:tcBorders/>
            <w:tcMar>
              <w:left w:w="70" w:type="dxa"/>
              <w:top w:w="60" w:type="dxa"/>
              <w:right w:w="70" w:type="dxa"/>
              <w:bottom w:w="60" w:type="dxa"/>
            </w:tcMar>
            <w:tcW w:w="3356" w:type="dxa"/>
            <w:vAlign w:val="top"/>
          </w:tcPr>
          <w:p>
            <w:pPr>
              <w:pStyle w:val="1297"/>
              <w:pBdr/>
              <w:spacing/>
              <w:ind/>
              <w:rPr/>
            </w:pPr>
            <w:r>
              <w:t xml:space="preserve">Tests Zhu Xi-centered Confucian story</w:t>
            </w:r>
            <w:r/>
          </w:p>
        </w:tc>
        <w:tc>
          <w:tcPr>
            <w:shd w:val="clear" w:color="auto" w:fill="f7f9fa"/>
            <w:tcBorders/>
            <w:tcMar>
              <w:left w:w="70" w:type="dxa"/>
              <w:top w:w="60" w:type="dxa"/>
              <w:right w:w="70" w:type="dxa"/>
              <w:bottom w:w="60" w:type="dxa"/>
            </w:tcMar>
            <w:tcW w:w="3355" w:type="dxa"/>
            <w:vAlign w:val="top"/>
          </w:tcPr>
          <w:p>
            <w:pPr>
              <w:pStyle w:val="1297"/>
              <w:pBdr/>
              <w:spacing/>
              <w:ind/>
              <w:rPr/>
            </w:pPr>
            <w:r>
              <w:t xml:space="preserve">Internal plurality leverage</w:t>
            </w:r>
            <w:r/>
          </w:p>
        </w:tc>
        <w:tc>
          <w:tcPr>
            <w:shd w:val="clear" w:color="auto" w:fill="f7f9fa"/>
            <w:tcBorders/>
            <w:tcMar>
              <w:left w:w="70" w:type="dxa"/>
              <w:top w:w="60" w:type="dxa"/>
              <w:right w:w="70" w:type="dxa"/>
              <w:bottom w:w="60" w:type="dxa"/>
            </w:tcMar>
            <w:tcW w:w="1983" w:type="dxa"/>
            <w:vAlign w:val="top"/>
          </w:tcPr>
          <w:p>
            <w:pPr>
              <w:pStyle w:val="1297"/>
              <w:pBdr/>
              <w:spacing/>
              <w:ind/>
              <w:rPr/>
            </w:pPr>
            <w:r>
              <w:t xml:space="preserve">PASS</w:t>
            </w:r>
            <w:r/>
          </w:p>
        </w:tc>
        <w:tc>
          <w:tcPr>
            <w:shd w:val="clear" w:color="auto" w:fill="f7f9fa"/>
            <w:tcBorders/>
            <w:tcMar>
              <w:left w:w="70" w:type="dxa"/>
              <w:top w:w="60" w:type="dxa"/>
              <w:right w:w="70" w:type="dxa"/>
              <w:bottom w:w="60" w:type="dxa"/>
            </w:tcMar>
            <w:tcW w:w="3355" w:type="dxa"/>
            <w:vAlign w:val="top"/>
          </w:tcPr>
          <w:p>
            <w:pPr>
              <w:pStyle w:val="1297"/>
              <w:pBdr/>
              <w:spacing/>
              <w:ind/>
              <w:rPr/>
            </w:pPr>
            <w:r>
              <w:t xml:space="preserve">CD 3 | CL 3 | CC 3 | DR 3 | LR 3 | SF 5 | RF 5 | weighted 3.40/5</w:t>
            </w:r>
            <w:r/>
          </w:p>
        </w:tc>
        <w:tc>
          <w:tcPr>
            <w:shd w:val="clear" w:color="auto" w:fill="f7f9fa"/>
            <w:tcBorders/>
            <w:tcMar>
              <w:left w:w="70" w:type="dxa"/>
              <w:top w:w="60" w:type="dxa"/>
              <w:right w:w="70" w:type="dxa"/>
              <w:bottom w:w="60" w:type="dxa"/>
            </w:tcMar>
            <w:tcW w:w="2135" w:type="dxa"/>
            <w:vAlign w:val="top"/>
          </w:tcPr>
          <w:p>
            <w:pPr>
              <w:pStyle w:val="1297"/>
              <w:pBdr/>
              <w:spacing/>
              <w:ind/>
              <w:rPr/>
            </w:pPr>
            <w:r>
              <w:t xml:space="preserve">DIGITAL-REFERENCE</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37</w:t>
            </w:r>
            <w:r/>
          </w:p>
        </w:tc>
        <w:tc>
          <w:tcPr>
            <w:tcBorders/>
            <w:tcMar>
              <w:left w:w="70" w:type="dxa"/>
              <w:top w:w="60" w:type="dxa"/>
              <w:right w:w="70" w:type="dxa"/>
              <w:bottom w:w="60" w:type="dxa"/>
            </w:tcMar>
            <w:tcW w:w="3356" w:type="dxa"/>
            <w:vAlign w:val="top"/>
          </w:tcPr>
          <w:p>
            <w:pPr>
              <w:pStyle w:val="1297"/>
              <w:pBdr/>
              <w:spacing/>
              <w:ind/>
              <w:rPr/>
            </w:pPr>
            <w:r>
              <w:t xml:space="preserve">Oral-philosophy and individual-position boundary test</w:t>
            </w:r>
            <w:r/>
          </w:p>
        </w:tc>
        <w:tc>
          <w:tcPr>
            <w:tcBorders/>
            <w:tcMar>
              <w:left w:w="70" w:type="dxa"/>
              <w:top w:w="60" w:type="dxa"/>
              <w:right w:w="70" w:type="dxa"/>
              <w:bottom w:w="60" w:type="dxa"/>
            </w:tcMar>
            <w:tcW w:w="3355" w:type="dxa"/>
            <w:vAlign w:val="top"/>
          </w:tcPr>
          <w:p>
            <w:pPr>
              <w:pStyle w:val="1297"/>
              <w:pBdr/>
              <w:spacing/>
              <w:ind/>
              <w:rPr/>
            </w:pPr>
            <w:r>
              <w:t xml:space="preserve">High provenance/translation/researcher-mediation leverage</w:t>
            </w:r>
            <w:r/>
          </w:p>
        </w:tc>
        <w:tc>
          <w:tcPr>
            <w:tcBorders/>
            <w:tcMar>
              <w:left w:w="70" w:type="dxa"/>
              <w:top w:w="60" w:type="dxa"/>
              <w:right w:w="70" w:type="dxa"/>
              <w:bottom w:w="60" w:type="dxa"/>
            </w:tcMar>
            <w:tcW w:w="1983" w:type="dxa"/>
            <w:vAlign w:val="top"/>
          </w:tcPr>
          <w:p>
            <w:pPr>
              <w:pStyle w:val="1297"/>
              <w:pBdr/>
              <w:spacing/>
              <w:ind/>
              <w:rPr/>
            </w:pPr>
            <w:r>
              <w:t xml:space="preserve">PASS — DIGITAL-REFERENCE scope; oral-source unit review still applies</w:t>
            </w:r>
            <w:r/>
          </w:p>
        </w:tc>
        <w:tc>
          <w:tcPr>
            <w:tcBorders/>
            <w:tcMar>
              <w:left w:w="70" w:type="dxa"/>
              <w:top w:w="60" w:type="dxa"/>
              <w:right w:w="70" w:type="dxa"/>
              <w:bottom w:w="60" w:type="dxa"/>
            </w:tcMar>
            <w:tcW w:w="3355" w:type="dxa"/>
            <w:vAlign w:val="top"/>
          </w:tcPr>
          <w:p>
            <w:pPr>
              <w:pStyle w:val="1297"/>
              <w:pBdr/>
              <w:spacing/>
              <w:ind/>
              <w:rPr/>
            </w:pPr>
            <w:r>
              <w:t xml:space="preserve">CD 3 | CL 3 | CC 3 | DR 3 | LR 5 | SF 3 | RF 5 | weighted 3.40/5</w:t>
            </w:r>
            <w:r/>
          </w:p>
        </w:tc>
        <w:tc>
          <w:tcPr>
            <w:tcBorders/>
            <w:tcMar>
              <w:left w:w="70" w:type="dxa"/>
              <w:top w:w="60" w:type="dxa"/>
              <w:right w:w="70" w:type="dxa"/>
              <w:bottom w:w="60" w:type="dxa"/>
            </w:tcMar>
            <w:tcW w:w="2135" w:type="dxa"/>
            <w:vAlign w:val="top"/>
          </w:tcPr>
          <w:p>
            <w:pPr>
              <w:pStyle w:val="1297"/>
              <w:pBdr/>
              <w:spacing/>
              <w:ind/>
              <w:rPr/>
            </w:pPr>
            <w:r>
              <w:t xml:space="preserve">DIGITAL-REFERENCE</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38</w:t>
            </w:r>
            <w:r/>
          </w:p>
        </w:tc>
        <w:tc>
          <w:tcPr>
            <w:shd w:val="clear" w:color="auto" w:fill="f7f9fa"/>
            <w:tcBorders/>
            <w:tcMar>
              <w:left w:w="70" w:type="dxa"/>
              <w:top w:w="60" w:type="dxa"/>
              <w:right w:w="70" w:type="dxa"/>
              <w:bottom w:w="60" w:type="dxa"/>
            </w:tcMar>
            <w:tcW w:w="3356" w:type="dxa"/>
            <w:vAlign w:val="top"/>
          </w:tcPr>
          <w:p>
            <w:pPr>
              <w:pStyle w:val="1297"/>
              <w:pBdr/>
              <w:spacing/>
              <w:ind/>
              <w:rPr/>
            </w:pPr>
            <w:r>
              <w:t xml:space="preserve">Praxis/telos; challenges knowledge-then-transformation sequence</w:t>
            </w:r>
            <w:r/>
          </w:p>
        </w:tc>
        <w:tc>
          <w:tcPr>
            <w:shd w:val="clear" w:color="auto" w:fill="f7f9fa"/>
            <w:tcBorders/>
            <w:tcMar>
              <w:left w:w="70" w:type="dxa"/>
              <w:top w:w="60" w:type="dxa"/>
              <w:right w:w="70" w:type="dxa"/>
              <w:bottom w:w="60" w:type="dxa"/>
            </w:tcMar>
            <w:tcW w:w="3355" w:type="dxa"/>
            <w:vAlign w:val="top"/>
          </w:tcPr>
          <w:p>
            <w:pPr>
              <w:pStyle w:val="1297"/>
              <w:pBdr/>
              <w:spacing/>
              <w:ind/>
              <w:rPr/>
            </w:pPr>
            <w:r>
              <w:t xml:space="preserve">Translation/category leverage</w:t>
            </w:r>
            <w:r/>
          </w:p>
        </w:tc>
        <w:tc>
          <w:tcPr>
            <w:shd w:val="clear" w:color="auto" w:fill="f7f9fa"/>
            <w:tcBorders/>
            <w:tcMar>
              <w:left w:w="70" w:type="dxa"/>
              <w:top w:w="60" w:type="dxa"/>
              <w:right w:w="70" w:type="dxa"/>
              <w:bottom w:w="60" w:type="dxa"/>
            </w:tcMar>
            <w:tcW w:w="1983" w:type="dxa"/>
            <w:vAlign w:val="top"/>
          </w:tcPr>
          <w:p>
            <w:pPr>
              <w:pStyle w:val="1297"/>
              <w:pBdr/>
              <w:spacing/>
              <w:ind/>
              <w:rPr/>
            </w:pPr>
            <w:r>
              <w:t xml:space="preserve">PASS</w:t>
            </w:r>
            <w:r/>
          </w:p>
        </w:tc>
        <w:tc>
          <w:tcPr>
            <w:shd w:val="clear" w:color="auto" w:fill="f7f9fa"/>
            <w:tcBorders/>
            <w:tcMar>
              <w:left w:w="70" w:type="dxa"/>
              <w:top w:w="60" w:type="dxa"/>
              <w:right w:w="70" w:type="dxa"/>
              <w:bottom w:w="60" w:type="dxa"/>
            </w:tcMar>
            <w:tcW w:w="3355" w:type="dxa"/>
            <w:vAlign w:val="top"/>
          </w:tcPr>
          <w:p>
            <w:pPr>
              <w:pStyle w:val="1297"/>
              <w:pBdr/>
              <w:spacing/>
              <w:ind/>
              <w:rPr/>
            </w:pPr>
            <w:r>
              <w:t xml:space="preserve">CD 3 | CL 3 | CC 3 | DR 3 | LR 5 | SF 4 | RF 5 | weighted 3.50/5</w:t>
            </w:r>
            <w:r/>
          </w:p>
        </w:tc>
        <w:tc>
          <w:tcPr>
            <w:shd w:val="clear" w:color="auto" w:fill="f7f9fa"/>
            <w:tcBorders/>
            <w:tcMar>
              <w:left w:w="70" w:type="dxa"/>
              <w:top w:w="60" w:type="dxa"/>
              <w:right w:w="70" w:type="dxa"/>
              <w:bottom w:w="60" w:type="dxa"/>
            </w:tcMar>
            <w:tcW w:w="2135" w:type="dxa"/>
            <w:vAlign w:val="top"/>
          </w:tcPr>
          <w:p>
            <w:pPr>
              <w:pStyle w:val="1297"/>
              <w:pBdr/>
              <w:spacing/>
              <w:ind/>
              <w:rPr/>
            </w:pPr>
            <w:r>
              <w:t xml:space="preserve">DIGITAL-REFERENCE</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39</w:t>
            </w:r>
            <w:r/>
          </w:p>
        </w:tc>
        <w:tc>
          <w:tcPr>
            <w:tcBorders/>
            <w:tcMar>
              <w:left w:w="70" w:type="dxa"/>
              <w:top w:w="60" w:type="dxa"/>
              <w:right w:w="70" w:type="dxa"/>
              <w:bottom w:w="60" w:type="dxa"/>
            </w:tcMar>
            <w:tcW w:w="3356" w:type="dxa"/>
            <w:vAlign w:val="top"/>
          </w:tcPr>
          <w:p>
            <w:pPr>
              <w:pStyle w:val="1297"/>
              <w:pBdr/>
              <w:spacing/>
              <w:ind/>
              <w:rPr/>
            </w:pPr>
            <w:r>
              <w:t xml:space="preserve">Potential major process/non-Western ontology comparator</w:t>
            </w:r>
            <w:r/>
          </w:p>
        </w:tc>
        <w:tc>
          <w:tcPr>
            <w:tcBorders/>
            <w:tcMar>
              <w:left w:w="70" w:type="dxa"/>
              <w:top w:w="60" w:type="dxa"/>
              <w:right w:w="70" w:type="dxa"/>
              <w:bottom w:w="60" w:type="dxa"/>
            </w:tcMar>
            <w:tcW w:w="3355" w:type="dxa"/>
            <w:vAlign w:val="top"/>
          </w:tcPr>
          <w:p>
            <w:pPr>
              <w:pStyle w:val="1297"/>
              <w:pBdr/>
              <w:spacing/>
              <w:ind/>
              <w:rPr/>
            </w:pPr>
            <w:r>
              <w:t xml:space="preserve">High mediation/translation controversy; avoid monolithic 'Aztec philosophy'</w:t>
            </w:r>
            <w:r/>
          </w:p>
        </w:tc>
        <w:tc>
          <w:tcPr>
            <w:tcBorders/>
            <w:tcMar>
              <w:left w:w="70" w:type="dxa"/>
              <w:top w:w="60" w:type="dxa"/>
              <w:right w:w="70" w:type="dxa"/>
              <w:bottom w:w="60" w:type="dxa"/>
            </w:tcMar>
            <w:tcW w:w="1983" w:type="dxa"/>
            <w:vAlign w:val="top"/>
          </w:tcPr>
          <w:p>
            <w:pPr>
              <w:pStyle w:val="1297"/>
              <w:pBdr/>
              <w:spacing/>
              <w:ind/>
              <w:rPr/>
            </w:pPr>
            <w:r>
              <w:t xml:space="preserve">PASS — HOLD-FUTURE research scope only; release feasibility unresolved</w:t>
            </w:r>
            <w:r/>
          </w:p>
        </w:tc>
        <w:tc>
          <w:tcPr>
            <w:tcBorders/>
            <w:tcMar>
              <w:left w:w="70" w:type="dxa"/>
              <w:top w:w="60" w:type="dxa"/>
              <w:right w:w="70" w:type="dxa"/>
              <w:bottom w:w="60" w:type="dxa"/>
            </w:tcMar>
            <w:tcW w:w="3355" w:type="dxa"/>
            <w:vAlign w:val="top"/>
          </w:tcPr>
          <w:p>
            <w:pPr>
              <w:pStyle w:val="1297"/>
              <w:pBdr/>
              <w:spacing/>
              <w:ind/>
              <w:rPr/>
            </w:pPr>
            <w:r>
              <w:t xml:space="preserve">CD 3 | CL 3 | CC 5 | DR 5 | LR 5 | SF 3 | RF 2 | weighted 3.70/5</w:t>
            </w:r>
            <w:r/>
          </w:p>
        </w:tc>
        <w:tc>
          <w:tcPr>
            <w:tcBorders/>
            <w:tcMar>
              <w:left w:w="70" w:type="dxa"/>
              <w:top w:w="60" w:type="dxa"/>
              <w:right w:w="70" w:type="dxa"/>
              <w:bottom w:w="60" w:type="dxa"/>
            </w:tcMar>
            <w:tcW w:w="2135" w:type="dxa"/>
            <w:vAlign w:val="top"/>
          </w:tcPr>
          <w:p>
            <w:pPr>
              <w:pStyle w:val="1297"/>
              <w:pBdr/>
              <w:spacing/>
              <w:ind/>
              <w:rPr/>
            </w:pPr>
            <w:r>
              <w:t xml:space="preserve">HOLD-FUTURE</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40</w:t>
            </w:r>
            <w:r/>
          </w:p>
        </w:tc>
        <w:tc>
          <w:tcPr>
            <w:shd w:val="clear" w:color="auto" w:fill="f7f9fa"/>
            <w:tcBorders/>
            <w:tcMar>
              <w:left w:w="70" w:type="dxa"/>
              <w:top w:w="60" w:type="dxa"/>
              <w:right w:w="70" w:type="dxa"/>
              <w:bottom w:w="60" w:type="dxa"/>
            </w:tcMar>
            <w:tcW w:w="3356" w:type="dxa"/>
            <w:vAlign w:val="top"/>
          </w:tcPr>
          <w:p>
            <w:pPr>
              <w:pStyle w:val="1297"/>
              <w:pBdr/>
              <w:spacing/>
              <w:ind/>
              <w:rPr/>
            </w:pPr>
            <w:r>
              <w:t xml:space="preserve">Potential relational-personhood/world-partitioning comparator</w:t>
            </w:r>
            <w:r/>
          </w:p>
        </w:tc>
        <w:tc>
          <w:tcPr>
            <w:shd w:val="clear" w:color="auto" w:fill="f7f9fa"/>
            <w:tcBorders/>
            <w:tcMar>
              <w:left w:w="70" w:type="dxa"/>
              <w:top w:w="60" w:type="dxa"/>
              <w:right w:w="70" w:type="dxa"/>
              <w:bottom w:w="60" w:type="dxa"/>
            </w:tcMar>
            <w:tcW w:w="3355" w:type="dxa"/>
            <w:vAlign w:val="top"/>
          </w:tcPr>
          <w:p>
            <w:pPr>
              <w:pStyle w:val="1297"/>
              <w:pBdr/>
              <w:spacing/>
              <w:ind/>
              <w:rPr/>
            </w:pPr>
            <w:r>
              <w:t xml:space="preserve">High community-authority and internal-plurality burden</w:t>
            </w:r>
            <w:r/>
          </w:p>
        </w:tc>
        <w:tc>
          <w:tcPr>
            <w:shd w:val="clear" w:color="auto" w:fill="f7f9fa"/>
            <w:tcBorders/>
            <w:tcMar>
              <w:left w:w="70" w:type="dxa"/>
              <w:top w:w="60" w:type="dxa"/>
              <w:right w:w="70" w:type="dxa"/>
              <w:bottom w:w="60" w:type="dxa"/>
            </w:tcMar>
            <w:tcW w:w="1983" w:type="dxa"/>
            <w:vAlign w:val="top"/>
          </w:tcPr>
          <w:p>
            <w:pPr>
              <w:pStyle w:val="1297"/>
              <w:pBdr/>
              <w:spacing/>
              <w:ind/>
              <w:rPr/>
            </w:pPr>
            <w:r>
              <w:t xml:space="preserve">PASS — HOLD-FUTURE research scope only; release feasibility unresolved</w:t>
            </w:r>
            <w:r/>
          </w:p>
        </w:tc>
        <w:tc>
          <w:tcPr>
            <w:shd w:val="clear" w:color="auto" w:fill="f7f9fa"/>
            <w:tcBorders/>
            <w:tcMar>
              <w:left w:w="70" w:type="dxa"/>
              <w:top w:w="60" w:type="dxa"/>
              <w:right w:w="70" w:type="dxa"/>
              <w:bottom w:w="60" w:type="dxa"/>
            </w:tcMar>
            <w:tcW w:w="3355" w:type="dxa"/>
            <w:vAlign w:val="top"/>
          </w:tcPr>
          <w:p>
            <w:pPr>
              <w:pStyle w:val="1297"/>
              <w:pBdr/>
              <w:spacing/>
              <w:ind/>
              <w:rPr/>
            </w:pPr>
            <w:r>
              <w:t xml:space="preserve">CD 3 | CL 3 | CC 5 | DR 5 | LR 5 | SF 3 | RF 2 | weighted 3.70/5</w:t>
            </w:r>
            <w:r/>
          </w:p>
        </w:tc>
        <w:tc>
          <w:tcPr>
            <w:shd w:val="clear" w:color="auto" w:fill="f7f9fa"/>
            <w:tcBorders/>
            <w:tcMar>
              <w:left w:w="70" w:type="dxa"/>
              <w:top w:w="60" w:type="dxa"/>
              <w:right w:w="70" w:type="dxa"/>
              <w:bottom w:w="60" w:type="dxa"/>
            </w:tcMar>
            <w:tcW w:w="2135" w:type="dxa"/>
            <w:vAlign w:val="top"/>
          </w:tcPr>
          <w:p>
            <w:pPr>
              <w:pStyle w:val="1297"/>
              <w:pBdr/>
              <w:spacing/>
              <w:ind/>
              <w:rPr/>
            </w:pPr>
            <w:r>
              <w:t xml:space="preserve">HOLD-FUTURE</w:t>
            </w:r>
            <w:r/>
          </w:p>
        </w:tc>
      </w:tr>
    </w:tbl>
    <w:p>
      <w:pPr>
        <w:pStyle w:val="1300"/>
        <w:pBdr/>
        <w:spacing/>
        <w:ind/>
        <w:rPr/>
      </w:pPr>
      <w:r/>
      <w:r/>
    </w:p>
    <w:p>
      <w:pPr>
        <w:pStyle w:val="1136"/>
        <w:keepNext w:val="true"/>
        <w:keepLines w:val="true"/>
        <w:pBdr/>
        <w:spacing/>
        <w:ind/>
        <w:rPr/>
      </w:pPr>
      <w:r/>
      <w:bookmarkStart w:id="187" w:name="A4"/>
      <w:r>
        <w:t xml:space="preserve">A4. Candidate feasibility and rationale view</w:t>
      </w:r>
      <w:bookmarkEnd w:id="187"/>
      <w:r/>
      <w:r/>
    </w:p>
    <w:p>
      <w:pPr>
        <w:pStyle w:val="1184"/>
        <w:keepNext w:val="true"/>
        <w:keepLines w:val="true"/>
        <w:pBdr/>
        <w:spacing/>
        <w:ind/>
        <w:rPr/>
      </w:pPr>
      <w:r/>
      <w:bookmarkStart w:id="188" w:name="T_CANDIDATE_RATIONALE"/>
      <w:r>
        <w:t xml:space="preserve">Historical snapshot — Candidate feasibility and role rationale as of 28 July 2026</w:t>
      </w:r>
      <w:bookmarkEnd w:id="188"/>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1068"/>
        <w:gridCol w:w="5949"/>
        <w:gridCol w:w="8238"/>
      </w:tblGrid>
      <w:tr>
        <w:trPr>
          <w:cantSplit/>
          <w:tblHeader/>
        </w:trPr>
        <w:tc>
          <w:tcPr>
            <w:shd w:val="clear" w:color="auto" w:fill="1f5a73"/>
            <w:tcBorders/>
            <w:tcMar>
              <w:left w:w="70" w:type="dxa"/>
              <w:top w:w="60" w:type="dxa"/>
              <w:right w:w="70" w:type="dxa"/>
              <w:bottom w:w="60" w:type="dxa"/>
            </w:tcMar>
            <w:tcW w:w="1068" w:type="dxa"/>
            <w:vAlign w:val="top"/>
          </w:tcPr>
          <w:p>
            <w:pPr>
              <w:pStyle w:val="1299"/>
              <w:pBdr/>
              <w:spacing/>
              <w:ind/>
              <w:rPr/>
            </w:pPr>
            <w:r>
              <w:t xml:space="preserve">Candidate</w:t>
            </w:r>
            <w:r/>
          </w:p>
        </w:tc>
        <w:tc>
          <w:tcPr>
            <w:shd w:val="clear" w:color="auto" w:fill="1f5a73"/>
            <w:tcBorders/>
            <w:tcMar>
              <w:left w:w="70" w:type="dxa"/>
              <w:top w:w="60" w:type="dxa"/>
              <w:right w:w="70" w:type="dxa"/>
              <w:bottom w:w="60" w:type="dxa"/>
            </w:tcMar>
            <w:tcW w:w="5949" w:type="dxa"/>
            <w:vAlign w:val="top"/>
          </w:tcPr>
          <w:p>
            <w:pPr>
              <w:pStyle w:val="1299"/>
              <w:pBdr/>
              <w:spacing/>
              <w:ind/>
              <w:rPr/>
            </w:pPr>
            <w:r>
              <w:t xml:space="preserve">Feasibility, representation and redundancy</w:t>
            </w:r>
            <w:r/>
          </w:p>
        </w:tc>
        <w:tc>
          <w:tcPr>
            <w:shd w:val="clear" w:color="auto" w:fill="1f5a73"/>
            <w:tcBorders/>
            <w:tcMar>
              <w:left w:w="70" w:type="dxa"/>
              <w:top w:w="60" w:type="dxa"/>
              <w:right w:w="70" w:type="dxa"/>
              <w:bottom w:w="60" w:type="dxa"/>
            </w:tcMar>
            <w:tcW w:w="8238" w:type="dxa"/>
            <w:vAlign w:val="top"/>
          </w:tcPr>
          <w:p>
            <w:pPr>
              <w:pStyle w:val="1299"/>
              <w:pBdr/>
              <w:spacing/>
              <w:ind/>
              <w:rPr/>
            </w:pPr>
            <w:r>
              <w:t xml:space="preserve">Role rationale</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1</w:t>
            </w:r>
            <w:r/>
          </w:p>
        </w:tc>
        <w:tc>
          <w:tcPr>
            <w:tcBorders/>
            <w:tcMar>
              <w:left w:w="70" w:type="dxa"/>
              <w:top w:w="60" w:type="dxa"/>
              <w:right w:w="70" w:type="dxa"/>
              <w:bottom w:w="60" w:type="dxa"/>
            </w:tcMar>
            <w:tcW w:w="5949" w:type="dxa"/>
            <w:vAlign w:val="top"/>
          </w:tcPr>
          <w:p>
            <w:pPr>
              <w:pStyle w:val="1297"/>
              <w:pBdr/>
              <w:spacing/>
              <w:ind/>
              <w:rPr/>
            </w:pPr>
            <w:r>
              <w:t xml:space="preserve">Source: High; representation: Standard scholarly source/rights review; redundancy: Low</w:t>
            </w:r>
            <w:r/>
          </w:p>
        </w:tc>
        <w:tc>
          <w:tcPr>
            <w:tcBorders/>
            <w:tcMar>
              <w:left w:w="70" w:type="dxa"/>
              <w:top w:w="60" w:type="dxa"/>
              <w:right w:w="70" w:type="dxa"/>
              <w:bottom w:w="60" w:type="dxa"/>
            </w:tcMar>
            <w:tcW w:w="8238" w:type="dxa"/>
            <w:vAlign w:val="top"/>
          </w:tcPr>
          <w:p>
            <w:pPr>
              <w:pStyle w:val="1297"/>
              <w:pBdr/>
              <w:spacing/>
              <w:ind/>
              <w:rPr/>
            </w:pPr>
            <w:r>
              <w:t xml:space="preserve">Created-good/defective-world fault line; exit orientation Counterexample/category leverage: Counters creation-goodness; translation and recension pressure</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2</w:t>
            </w:r>
            <w:r/>
          </w:p>
        </w:tc>
        <w:tc>
          <w:tcPr>
            <w:shd w:val="clear" w:color="auto" w:fill="f7f9fa"/>
            <w:tcBorders/>
            <w:tcMar>
              <w:left w:w="70" w:type="dxa"/>
              <w:top w:w="60" w:type="dxa"/>
              <w:right w:w="70" w:type="dxa"/>
              <w:bottom w:w="60" w:type="dxa"/>
            </w:tcMar>
            <w:tcW w:w="5949" w:type="dxa"/>
            <w:vAlign w:val="top"/>
          </w:tcPr>
          <w:p>
            <w:pPr>
              <w:pStyle w:val="1297"/>
              <w:pBdr/>
              <w:spacing/>
              <w:ind/>
              <w:rPr/>
            </w:pPr>
            <w:r>
              <w:t xml:space="preserve">Source: Very high; representation: Standard scholarly source/rights review; redundancy: Low</w:t>
            </w:r>
            <w:r/>
          </w:p>
        </w:tc>
        <w:tc>
          <w:tcPr>
            <w:shd w:val="clear" w:color="auto" w:fill="f7f9fa"/>
            <w:tcBorders/>
            <w:tcMar>
              <w:left w:w="70" w:type="dxa"/>
              <w:top w:w="60" w:type="dxa"/>
              <w:right w:w="70" w:type="dxa"/>
              <w:bottom w:w="60" w:type="dxa"/>
            </w:tcMar>
            <w:tcW w:w="8238" w:type="dxa"/>
            <w:vAlign w:val="top"/>
          </w:tcPr>
          <w:p>
            <w:pPr>
              <w:pStyle w:val="1297"/>
              <w:pBdr/>
              <w:spacing/>
              <w:ind/>
              <w:rPr/>
            </w:pPr>
            <w:r>
              <w:t xml:space="preserve">Embodiment/death/telos; direct counter to Sethian world rejection Counterexample/category leverage: Counters body-prison models</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3</w:t>
            </w:r>
            <w:r/>
          </w:p>
        </w:tc>
        <w:tc>
          <w:tcPr>
            <w:tcBorders/>
            <w:tcMar>
              <w:left w:w="70" w:type="dxa"/>
              <w:top w:w="60" w:type="dxa"/>
              <w:right w:w="70" w:type="dxa"/>
              <w:bottom w:w="60" w:type="dxa"/>
            </w:tcMar>
            <w:tcW w:w="5949" w:type="dxa"/>
            <w:vAlign w:val="top"/>
          </w:tcPr>
          <w:p>
            <w:pPr>
              <w:pStyle w:val="1297"/>
              <w:pBdr/>
              <w:spacing/>
              <w:ind/>
              <w:rPr/>
            </w:pPr>
            <w:r>
              <w:t xml:space="preserve">Source: Very high; representation: Standard scholarly source/rights review; redundancy: Low</w:t>
            </w:r>
            <w:r/>
          </w:p>
        </w:tc>
        <w:tc>
          <w:tcPr>
            <w:tcBorders/>
            <w:tcMar>
              <w:left w:w="70" w:type="dxa"/>
              <w:top w:w="60" w:type="dxa"/>
              <w:right w:w="70" w:type="dxa"/>
              <w:bottom w:w="60" w:type="dxa"/>
            </w:tcMar>
            <w:tcW w:w="8238" w:type="dxa"/>
            <w:vAlign w:val="top"/>
          </w:tcPr>
          <w:p>
            <w:pPr>
              <w:pStyle w:val="1297"/>
              <w:pBdr/>
              <w:spacing/>
              <w:ind/>
              <w:rPr/>
            </w:pPr>
            <w:r>
              <w:t xml:space="preserve">Ultimate Self vs emptiness/no-self; appearance/ignorance Counterexample/category leverage: Strong translation hazard around self/consciousness/illusion</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4</w:t>
            </w:r>
            <w:r/>
          </w:p>
        </w:tc>
        <w:tc>
          <w:tcPr>
            <w:shd w:val="clear" w:color="auto" w:fill="f7f9fa"/>
            <w:tcBorders/>
            <w:tcMar>
              <w:left w:w="70" w:type="dxa"/>
              <w:top w:w="60" w:type="dxa"/>
              <w:right w:w="70" w:type="dxa"/>
              <w:bottom w:w="60" w:type="dxa"/>
            </w:tcMar>
            <w:tcW w:w="5949" w:type="dxa"/>
            <w:vAlign w:val="top"/>
          </w:tcPr>
          <w:p>
            <w:pPr>
              <w:pStyle w:val="1297"/>
              <w:pBdr/>
              <w:spacing/>
              <w:ind/>
              <w:rPr/>
            </w:pPr>
            <w:r>
              <w:t xml:space="preserve">Source: Very high; representation: Standard scholarly source/rights review; redundancy: Low</w:t>
            </w:r>
            <w:r/>
          </w:p>
        </w:tc>
        <w:tc>
          <w:tcPr>
            <w:shd w:val="clear" w:color="auto" w:fill="f7f9fa"/>
            <w:tcBorders/>
            <w:tcMar>
              <w:left w:w="70" w:type="dxa"/>
              <w:top w:w="60" w:type="dxa"/>
              <w:right w:w="70" w:type="dxa"/>
              <w:bottom w:w="60" w:type="dxa"/>
            </w:tcMar>
            <w:tcW w:w="8238" w:type="dxa"/>
            <w:vAlign w:val="top"/>
          </w:tcPr>
          <w:p>
            <w:pPr>
              <w:pStyle w:val="1297"/>
              <w:pBdr/>
              <w:spacing/>
              <w:ind/>
              <w:rPr/>
            </w:pPr>
            <w:r>
              <w:t xml:space="preserve">Groundlessness; Advaita fault line; category-refusal leverage Counterexample/category leverage: Counters substance/ultimate-entity framing</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5</w:t>
            </w:r>
            <w:r/>
          </w:p>
        </w:tc>
        <w:tc>
          <w:tcPr>
            <w:tcBorders/>
            <w:tcMar>
              <w:left w:w="70" w:type="dxa"/>
              <w:top w:w="60" w:type="dxa"/>
              <w:right w:w="70" w:type="dxa"/>
              <w:bottom w:w="60" w:type="dxa"/>
            </w:tcMar>
            <w:tcW w:w="5949" w:type="dxa"/>
            <w:vAlign w:val="top"/>
          </w:tcPr>
          <w:p>
            <w:pPr>
              <w:pStyle w:val="1297"/>
              <w:pBdr/>
              <w:spacing/>
              <w:ind/>
              <w:rPr/>
            </w:pPr>
            <w:r>
              <w:t xml:space="preserve">Source: Very high; representation: Standard scholarly source/rights review; redundancy: Moderate with later Daoism</w:t>
            </w:r>
            <w:r/>
          </w:p>
        </w:tc>
        <w:tc>
          <w:tcPr>
            <w:tcBorders/>
            <w:tcMar>
              <w:left w:w="70" w:type="dxa"/>
              <w:top w:w="60" w:type="dxa"/>
              <w:right w:w="70" w:type="dxa"/>
              <w:bottom w:w="60" w:type="dxa"/>
            </w:tcMar>
            <w:tcW w:w="8238" w:type="dxa"/>
            <w:vAlign w:val="top"/>
          </w:tcPr>
          <w:p>
            <w:pPr>
              <w:pStyle w:val="1297"/>
              <w:pBdr/>
              <w:spacing/>
              <w:ind/>
              <w:rPr/>
            </w:pPr>
            <w:r>
              <w:t xml:space="preserve">Knowing/agency/world-relation; anti-fixity comparator Counterexample/category leverage: Category pressure on stable self, value, purposive praxis</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6</w:t>
            </w:r>
            <w:r/>
          </w:p>
        </w:tc>
        <w:tc>
          <w:tcPr>
            <w:shd w:val="clear" w:color="auto" w:fill="f7f9fa"/>
            <w:tcBorders/>
            <w:tcMar>
              <w:left w:w="70" w:type="dxa"/>
              <w:top w:w="60" w:type="dxa"/>
              <w:right w:w="70" w:type="dxa"/>
              <w:bottom w:w="60" w:type="dxa"/>
            </w:tcMar>
            <w:tcW w:w="5949" w:type="dxa"/>
            <w:vAlign w:val="top"/>
          </w:tcPr>
          <w:p>
            <w:pPr>
              <w:pStyle w:val="1297"/>
              <w:pBdr/>
              <w:spacing/>
              <w:ind/>
              <w:rPr/>
            </w:pPr>
            <w:r>
              <w:t xml:space="preserve">Source: Very high; representation: Standard scholarly source/rights review; redundancy: Moderate with Mencius/Wang</w:t>
            </w:r>
            <w:r/>
          </w:p>
        </w:tc>
        <w:tc>
          <w:tcPr>
            <w:shd w:val="clear" w:color="auto" w:fill="f7f9fa"/>
            <w:tcBorders/>
            <w:tcMar>
              <w:left w:w="70" w:type="dxa"/>
              <w:top w:w="60" w:type="dxa"/>
              <w:right w:w="70" w:type="dxa"/>
              <w:bottom w:w="60" w:type="dxa"/>
            </w:tcMar>
            <w:tcW w:w="8238" w:type="dxa"/>
            <w:vAlign w:val="top"/>
          </w:tcPr>
          <w:p>
            <w:pPr>
              <w:pStyle w:val="1297"/>
              <w:pBdr/>
              <w:spacing/>
              <w:ind/>
              <w:rPr/>
            </w:pPr>
            <w:r>
              <w:t xml:space="preserve">Patterned immanence; cultivation; knowledge-transformation Counterexample/category leverage: Counters simple transcendence/immanence binary</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7</w:t>
            </w:r>
            <w:r/>
          </w:p>
        </w:tc>
        <w:tc>
          <w:tcPr>
            <w:tcBorders/>
            <w:tcMar>
              <w:left w:w="70" w:type="dxa"/>
              <w:top w:w="60" w:type="dxa"/>
              <w:right w:w="70" w:type="dxa"/>
              <w:bottom w:w="60" w:type="dxa"/>
            </w:tcMar>
            <w:tcW w:w="5949" w:type="dxa"/>
            <w:vAlign w:val="top"/>
          </w:tcPr>
          <w:p>
            <w:pPr>
              <w:pStyle w:val="1297"/>
              <w:pBdr/>
              <w:spacing/>
              <w:ind/>
              <w:rPr/>
            </w:pPr>
            <w:r>
              <w:t xml:space="preserve">Source: High; representation: Standard scholarly source/rights review; redundancy: Low</w:t>
            </w:r>
            <w:r/>
          </w:p>
        </w:tc>
        <w:tc>
          <w:tcPr>
            <w:tcBorders/>
            <w:tcMar>
              <w:left w:w="70" w:type="dxa"/>
              <w:top w:w="60" w:type="dxa"/>
              <w:right w:w="70" w:type="dxa"/>
              <w:bottom w:w="60" w:type="dxa"/>
            </w:tcMar>
            <w:tcW w:w="8238" w:type="dxa"/>
            <w:vAlign w:val="top"/>
          </w:tcPr>
          <w:p>
            <w:pPr>
              <w:pStyle w:val="1297"/>
              <w:pBdr/>
              <w:spacing/>
              <w:ind/>
              <w:rPr/>
            </w:pPr>
            <w:r>
              <w:t xml:space="preserve">Disclosure/participation motif; unity-with-difference Counterexample/category leverage: Translation hazard: waḥdat, tajallī; not generic monism</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8</w:t>
            </w:r>
            <w:r/>
          </w:p>
        </w:tc>
        <w:tc>
          <w:tcPr>
            <w:shd w:val="clear" w:color="auto" w:fill="f7f9fa"/>
            <w:tcBorders/>
            <w:tcMar>
              <w:left w:w="70" w:type="dxa"/>
              <w:top w:w="60" w:type="dxa"/>
              <w:right w:w="70" w:type="dxa"/>
              <w:bottom w:w="60" w:type="dxa"/>
            </w:tcMar>
            <w:tcW w:w="5949" w:type="dxa"/>
            <w:vAlign w:val="top"/>
          </w:tcPr>
          <w:p>
            <w:pPr>
              <w:pStyle w:val="1297"/>
              <w:pBdr/>
              <w:spacing/>
              <w:ind/>
              <w:rPr/>
            </w:pPr>
            <w:r>
              <w:t xml:space="preserve">Source: Research high; release contingent; representation: Community/provenance gated (G4/G5); redundancy: Low</w:t>
            </w:r>
            <w:r/>
          </w:p>
        </w:tc>
        <w:tc>
          <w:tcPr>
            <w:shd w:val="clear" w:color="auto" w:fill="f7f9fa"/>
            <w:tcBorders/>
            <w:tcMar>
              <w:left w:w="70" w:type="dxa"/>
              <w:top w:w="60" w:type="dxa"/>
              <w:right w:w="70" w:type="dxa"/>
              <w:bottom w:w="60" w:type="dxa"/>
            </w:tcMar>
            <w:tcW w:w="8238" w:type="dxa"/>
            <w:vAlign w:val="top"/>
          </w:tcPr>
          <w:p>
            <w:pPr>
              <w:pStyle w:val="1297"/>
              <w:pBdr/>
              <w:spacing/>
              <w:ind/>
              <w:rPr/>
            </w:pPr>
            <w:r>
              <w:t xml:space="preserve">Non-textual authority; </w:t>
            </w:r>
            <w:r>
              <w:t xml:space="preserve">agency/fate; performed knowledge Counterexample/category leverage: Category and provenance stress; cannot generalize to all Yorùbá thought Editorial-role exception: unique oral/performance, epistemic and coverage-debt function; dependencies are not waived.</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9</w:t>
            </w:r>
            <w:r/>
          </w:p>
        </w:tc>
        <w:tc>
          <w:tcPr>
            <w:tcBorders/>
            <w:tcMar>
              <w:left w:w="70" w:type="dxa"/>
              <w:top w:w="60" w:type="dxa"/>
              <w:right w:w="70" w:type="dxa"/>
              <w:bottom w:w="60" w:type="dxa"/>
            </w:tcMar>
            <w:tcW w:w="5949" w:type="dxa"/>
            <w:vAlign w:val="top"/>
          </w:tcPr>
          <w:p>
            <w:pPr>
              <w:pStyle w:val="1297"/>
              <w:pBdr/>
              <w:spacing/>
              <w:ind/>
              <w:rPr/>
            </w:pPr>
            <w:r>
              <w:t xml:space="preserve">Source: Low for release; representation: Not release-grade; direct/community supplementation required; redundancy: Low</w:t>
            </w:r>
            <w:r/>
          </w:p>
        </w:tc>
        <w:tc>
          <w:tcPr>
            <w:tcBorders/>
            <w:tcMar>
              <w:left w:w="70" w:type="dxa"/>
              <w:top w:w="60" w:type="dxa"/>
              <w:right w:w="70" w:type="dxa"/>
              <w:bottom w:w="60" w:type="dxa"/>
            </w:tcMar>
            <w:tcW w:w="8238" w:type="dxa"/>
            <w:vAlign w:val="top"/>
          </w:tcPr>
          <w:p>
            <w:pPr>
              <w:pStyle w:val="1297"/>
              <w:pBdr/>
              <w:spacing/>
              <w:ind/>
              <w:rPr/>
            </w:pPr>
            <w:r>
              <w:t xml:space="preserve">Human/nonhuman subjecthood counterexample Counterexample/category leverage: High category leverage but mediated voice risk</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10</w:t>
            </w:r>
            <w:r/>
          </w:p>
        </w:tc>
        <w:tc>
          <w:tcPr>
            <w:shd w:val="clear" w:color="auto" w:fill="f7f9fa"/>
            <w:tcBorders/>
            <w:tcMar>
              <w:left w:w="70" w:type="dxa"/>
              <w:top w:w="60" w:type="dxa"/>
              <w:right w:w="70" w:type="dxa"/>
              <w:bottom w:w="60" w:type="dxa"/>
            </w:tcMar>
            <w:tcW w:w="5949" w:type="dxa"/>
            <w:vAlign w:val="top"/>
          </w:tcPr>
          <w:p>
            <w:pPr>
              <w:pStyle w:val="1297"/>
              <w:pBdr/>
              <w:spacing/>
              <w:ind/>
              <w:rPr/>
            </w:pPr>
            <w:r>
              <w:t xml:space="preserve">Source: Very high; representation: Standard scholarly source/rights review; redundancy: Low</w:t>
            </w:r>
            <w:r/>
          </w:p>
        </w:tc>
        <w:tc>
          <w:tcPr>
            <w:shd w:val="clear" w:color="auto" w:fill="f7f9fa"/>
            <w:tcBorders/>
            <w:tcMar>
              <w:left w:w="70" w:type="dxa"/>
              <w:top w:w="60" w:type="dxa"/>
              <w:right w:w="70" w:type="dxa"/>
              <w:bottom w:w="60" w:type="dxa"/>
            </w:tcMar>
            <w:tcW w:w="8238" w:type="dxa"/>
            <w:vAlign w:val="top"/>
          </w:tcPr>
          <w:p>
            <w:pPr>
              <w:pStyle w:val="1297"/>
              <w:pBdr/>
              <w:spacing/>
              <w:ind/>
              <w:rPr/>
            </w:pPr>
            <w:r>
              <w:t xml:space="preserve">Freedom/telos; self as project; secular comparator Counterexample/category leverage: Counters essentialist/person-substance models</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11</w:t>
            </w:r>
            <w:r/>
          </w:p>
        </w:tc>
        <w:tc>
          <w:tcPr>
            <w:tcBorders/>
            <w:tcMar>
              <w:left w:w="70" w:type="dxa"/>
              <w:top w:w="60" w:type="dxa"/>
              <w:right w:w="70" w:type="dxa"/>
              <w:bottom w:w="60" w:type="dxa"/>
            </w:tcMar>
            <w:tcW w:w="5949" w:type="dxa"/>
            <w:vAlign w:val="top"/>
          </w:tcPr>
          <w:p>
            <w:pPr>
              <w:pStyle w:val="1297"/>
              <w:pBdr/>
              <w:spacing/>
              <w:ind/>
              <w:rPr/>
            </w:pPr>
            <w:r>
              <w:t xml:space="preserve">Source: Very high; representation: Standard scholarly source/rights review; redundancy: Moderate with other physicalisms</w:t>
            </w:r>
            <w:r/>
          </w:p>
        </w:tc>
        <w:tc>
          <w:tcPr>
            <w:tcBorders/>
            <w:tcMar>
              <w:left w:w="70" w:type="dxa"/>
              <w:top w:w="60" w:type="dxa"/>
              <w:right w:w="70" w:type="dxa"/>
              <w:bottom w:w="60" w:type="dxa"/>
            </w:tcMar>
            <w:tcW w:w="8238" w:type="dxa"/>
            <w:vAlign w:val="top"/>
          </w:tcPr>
          <w:p>
            <w:pPr>
              <w:pStyle w:val="1297"/>
              <w:pBdr/>
              <w:spacing/>
              <w:ind/>
              <w:rPr/>
            </w:pPr>
            <w:r>
              <w:t xml:space="preserve">Science/metaphysics boundary; physicalism vs panpsychism/dualism Counterexample/category leverage: Stress test for UND and partial positions</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12</w:t>
            </w:r>
            <w:r/>
          </w:p>
        </w:tc>
        <w:tc>
          <w:tcPr>
            <w:shd w:val="clear" w:color="auto" w:fill="f7f9fa"/>
            <w:tcBorders/>
            <w:tcMar>
              <w:left w:w="70" w:type="dxa"/>
              <w:top w:w="60" w:type="dxa"/>
              <w:right w:w="70" w:type="dxa"/>
              <w:bottom w:w="60" w:type="dxa"/>
            </w:tcMar>
            <w:tcW w:w="5949" w:type="dxa"/>
            <w:vAlign w:val="top"/>
          </w:tcPr>
          <w:p>
            <w:pPr>
              <w:pStyle w:val="1297"/>
              <w:pBdr/>
              <w:spacing/>
              <w:ind/>
              <w:rPr/>
            </w:pPr>
            <w:r>
              <w:t xml:space="preserve">Source: Very high; representation: Standard scholarly source/rights review; redundancy: Moderate with panpsychism variants</w:t>
            </w:r>
            <w:r/>
          </w:p>
        </w:tc>
        <w:tc>
          <w:tcPr>
            <w:shd w:val="clear" w:color="auto" w:fill="f7f9fa"/>
            <w:tcBorders/>
            <w:tcMar>
              <w:left w:w="70" w:type="dxa"/>
              <w:top w:w="60" w:type="dxa"/>
              <w:right w:w="70" w:type="dxa"/>
              <w:bottom w:w="60" w:type="dxa"/>
            </w:tcMar>
            <w:tcW w:w="8238" w:type="dxa"/>
            <w:vAlign w:val="top"/>
          </w:tcPr>
          <w:p>
            <w:pPr>
              <w:pStyle w:val="1297"/>
              <w:pBdr/>
              <w:spacing/>
              <w:ind/>
              <w:rPr/>
            </w:pPr>
            <w:r>
              <w:t xml:space="preserve">Fundamental-consciousness fault line; combination problem Counterexample/category leverage: Counters emergent physicalism without implying spirituality</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13</w:t>
            </w:r>
            <w:r/>
          </w:p>
        </w:tc>
        <w:tc>
          <w:tcPr>
            <w:tcBorders/>
            <w:tcMar>
              <w:left w:w="70" w:type="dxa"/>
              <w:top w:w="60" w:type="dxa"/>
              <w:right w:w="70" w:type="dxa"/>
              <w:bottom w:w="60" w:type="dxa"/>
            </w:tcMar>
            <w:tcW w:w="5949" w:type="dxa"/>
            <w:vAlign w:val="top"/>
          </w:tcPr>
          <w:p>
            <w:pPr>
              <w:pStyle w:val="1297"/>
              <w:pBdr/>
              <w:spacing/>
              <w:ind/>
              <w:rPr/>
            </w:pPr>
            <w:r>
              <w:t xml:space="preserve">Source: Very high; representation: Standard scholarly source/rights review; redundancy: Low</w:t>
            </w:r>
            <w:r/>
          </w:p>
        </w:tc>
        <w:tc>
          <w:tcPr>
            <w:tcBorders/>
            <w:tcMar>
              <w:left w:w="70" w:type="dxa"/>
              <w:top w:w="60" w:type="dxa"/>
              <w:right w:w="70" w:type="dxa"/>
              <w:bottom w:w="60" w:type="dxa"/>
            </w:tcMar>
            <w:tcW w:w="8238" w:type="dxa"/>
            <w:vAlign w:val="top"/>
          </w:tcPr>
          <w:p>
            <w:pPr>
              <w:pStyle w:val="1297"/>
              <w:pBdr/>
              <w:spacing/>
              <w:ind/>
              <w:rPr/>
            </w:pPr>
            <w:r>
              <w:t xml:space="preserve">Plural consciousness; causation; liberation; cont</w:t>
            </w:r>
            <w:r>
              <w:t xml:space="preserve">rast with Advaita Counterexample/category leverage: Counters both physicalism and monistic consciousness models Adopted-core rationale: Adds plural conscious witnesses and a dual-principle causal architecture neither Advaita nor Cartesian dualism supplies.</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14</w:t>
            </w:r>
            <w:r/>
          </w:p>
        </w:tc>
        <w:tc>
          <w:tcPr>
            <w:shd w:val="clear" w:color="auto" w:fill="f7f9fa"/>
            <w:tcBorders/>
            <w:tcMar>
              <w:left w:w="70" w:type="dxa"/>
              <w:top w:w="60" w:type="dxa"/>
              <w:right w:w="70" w:type="dxa"/>
              <w:bottom w:w="60" w:type="dxa"/>
            </w:tcMar>
            <w:tcW w:w="5949" w:type="dxa"/>
            <w:vAlign w:val="top"/>
          </w:tcPr>
          <w:p>
            <w:pPr>
              <w:pStyle w:val="1297"/>
              <w:pBdr/>
              <w:spacing/>
              <w:ind/>
              <w:rPr/>
            </w:pPr>
            <w:r>
              <w:t xml:space="preserve">Source: Very high; representation: Standard scholarly source/rights review; redundancy: Low</w:t>
            </w:r>
            <w:r/>
          </w:p>
        </w:tc>
        <w:tc>
          <w:tcPr>
            <w:shd w:val="clear" w:color="auto" w:fill="f7f9fa"/>
            <w:tcBorders/>
            <w:tcMar>
              <w:left w:w="70" w:type="dxa"/>
              <w:top w:w="60" w:type="dxa"/>
              <w:right w:w="70" w:type="dxa"/>
              <w:bottom w:w="60" w:type="dxa"/>
            </w:tcMar>
            <w:tcW w:w="8238" w:type="dxa"/>
            <w:vAlign w:val="top"/>
          </w:tcPr>
          <w:p>
            <w:pPr>
              <w:pStyle w:val="1297"/>
              <w:pBdr/>
              <w:spacing/>
              <w:ind/>
              <w:rPr/>
            </w:pPr>
            <w:r>
              <w:t xml:space="preserve">Self/karma/agency/death; pluralism; non-Buddhist South Asian counterexam</w:t>
            </w:r>
            <w:r>
              <w:t xml:space="preserve">ple Counterexample/category leverage: Challenges simple self/no-self binary and material/mental partitions Adopted-core rationale: Adds enduring plural selves, karmic materiality and many-sided epistemology; breaks a simple South Asian Self/no-self binary.</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15</w:t>
            </w:r>
            <w:r/>
          </w:p>
        </w:tc>
        <w:tc>
          <w:tcPr>
            <w:tcBorders/>
            <w:tcMar>
              <w:left w:w="70" w:type="dxa"/>
              <w:top w:w="60" w:type="dxa"/>
              <w:right w:w="70" w:type="dxa"/>
              <w:bottom w:w="60" w:type="dxa"/>
            </w:tcMar>
            <w:tcW w:w="5949" w:type="dxa"/>
            <w:vAlign w:val="top"/>
          </w:tcPr>
          <w:p>
            <w:pPr>
              <w:pStyle w:val="1297"/>
              <w:pBdr/>
              <w:spacing/>
              <w:ind/>
              <w:rPr/>
            </w:pPr>
            <w:r>
              <w:t xml:space="preserve">Source: Very high; representation: Standard scholarly source/rights review; redundancy: Low</w:t>
            </w:r>
            <w:r/>
          </w:p>
        </w:tc>
        <w:tc>
          <w:tcPr>
            <w:tcBorders/>
            <w:tcMar>
              <w:left w:w="70" w:type="dxa"/>
              <w:top w:w="60" w:type="dxa"/>
              <w:right w:w="70" w:type="dxa"/>
              <w:bottom w:w="60" w:type="dxa"/>
            </w:tcMar>
            <w:tcW w:w="8238" w:type="dxa"/>
            <w:vAlign w:val="top"/>
          </w:tcPr>
          <w:p>
            <w:pPr>
              <w:pStyle w:val="1297"/>
              <w:pBdr/>
              <w:spacing/>
              <w:ind/>
              <w:rPr/>
            </w:pPr>
            <w:r>
              <w:t xml:space="preserve">Mind-world relation; no-self with conscio</w:t>
            </w:r>
            <w:r>
              <w:t xml:space="preserve">usness architecture Counterexample/category leverage: Counters equation of Buddhism with one Madhyamaka ontology Adopted-core rationale: Prevents Buddhism from being represented by Madhyamaka alone and creates a distinct mind/world/continuity architecture.</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16</w:t>
            </w:r>
            <w:r/>
          </w:p>
        </w:tc>
        <w:tc>
          <w:tcPr>
            <w:shd w:val="clear" w:color="auto" w:fill="f7f9fa"/>
            <w:tcBorders/>
            <w:tcMar>
              <w:left w:w="70" w:type="dxa"/>
              <w:top w:w="60" w:type="dxa"/>
              <w:right w:w="70" w:type="dxa"/>
              <w:bottom w:w="60" w:type="dxa"/>
            </w:tcMar>
            <w:tcW w:w="5949" w:type="dxa"/>
            <w:vAlign w:val="top"/>
          </w:tcPr>
          <w:p>
            <w:pPr>
              <w:pStyle w:val="1297"/>
              <w:pBdr/>
              <w:spacing/>
              <w:ind/>
              <w:rPr/>
            </w:pPr>
            <w:r>
              <w:t xml:space="preserve">Source: High; representation: Community-sensitive interpretation; standard published-source rights; redundancy: Low</w:t>
            </w:r>
            <w:r/>
          </w:p>
        </w:tc>
        <w:tc>
          <w:tcPr>
            <w:shd w:val="clear" w:color="auto" w:fill="f7f9fa"/>
            <w:tcBorders/>
            <w:tcMar>
              <w:left w:w="70" w:type="dxa"/>
              <w:top w:w="60" w:type="dxa"/>
              <w:right w:w="70" w:type="dxa"/>
              <w:bottom w:w="60" w:type="dxa"/>
            </w:tcMar>
            <w:tcW w:w="8238" w:type="dxa"/>
            <w:vAlign w:val="top"/>
          </w:tcPr>
          <w:p>
            <w:pPr>
              <w:pStyle w:val="1297"/>
              <w:pBdr/>
              <w:spacing/>
              <w:ind/>
              <w:rPr/>
            </w:pPr>
            <w:r>
              <w:t xml:space="preserve">Immanence/transcendence; order/agency; praxis; world-affirming liberati</w:t>
            </w:r>
            <w:r>
              <w:t xml:space="preserve">on Counterexample/category leverage: Counters renunciation=liberation template; language-control needed Adopted-core rationale: Adds a strongly world-engaged liberation architecture with hukam, remembrance and grace; important South Asian and Sikh absence.</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17</w:t>
            </w:r>
            <w:r/>
          </w:p>
        </w:tc>
        <w:tc>
          <w:tcPr>
            <w:tcBorders/>
            <w:tcMar>
              <w:left w:w="70" w:type="dxa"/>
              <w:top w:w="60" w:type="dxa"/>
              <w:right w:w="70" w:type="dxa"/>
              <w:bottom w:w="60" w:type="dxa"/>
            </w:tcMar>
            <w:tcW w:w="5949" w:type="dxa"/>
            <w:vAlign w:val="top"/>
          </w:tcPr>
          <w:p>
            <w:pPr>
              <w:pStyle w:val="1297"/>
              <w:pBdr/>
              <w:spacing/>
              <w:ind/>
              <w:rPr/>
            </w:pPr>
            <w:r>
              <w:t xml:space="preserve">Source: Very high; representation: Standard scholarly source/rights review; redundancy: Low</w:t>
            </w:r>
            <w:r/>
          </w:p>
        </w:tc>
        <w:tc>
          <w:tcPr>
            <w:tcBorders/>
            <w:tcMar>
              <w:left w:w="70" w:type="dxa"/>
              <w:top w:w="60" w:type="dxa"/>
              <w:right w:w="70" w:type="dxa"/>
              <w:bottom w:w="60" w:type="dxa"/>
            </w:tcMar>
            <w:tcW w:w="8238" w:type="dxa"/>
            <w:vAlign w:val="top"/>
          </w:tcPr>
          <w:p>
            <w:pPr>
              <w:pStyle w:val="1297"/>
              <w:pBdr/>
              <w:spacing/>
              <w:ind/>
              <w:rPr/>
            </w:pPr>
            <w:r>
              <w:t xml:space="preserve">Necessary existence; causation; sou</w:t>
            </w:r>
            <w:r>
              <w:t xml:space="preserve">l; major genealogy node Counterexample/category leverage: Counters both creation-ex-nihilo simplification and monism Adopted-core rationale: Adds Necessary Existent, emanative causal structure and philosophical soul theory; major historical genealogy node.</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18</w:t>
            </w:r>
            <w:r/>
          </w:p>
        </w:tc>
        <w:tc>
          <w:tcPr>
            <w:shd w:val="clear" w:color="auto" w:fill="f7f9fa"/>
            <w:tcBorders/>
            <w:tcMar>
              <w:left w:w="70" w:type="dxa"/>
              <w:top w:w="60" w:type="dxa"/>
              <w:right w:w="70" w:type="dxa"/>
              <w:bottom w:w="60" w:type="dxa"/>
            </w:tcMar>
            <w:tcW w:w="5949" w:type="dxa"/>
            <w:vAlign w:val="top"/>
          </w:tcPr>
          <w:p>
            <w:pPr>
              <w:pStyle w:val="1297"/>
              <w:pBdr/>
              <w:spacing/>
              <w:ind/>
              <w:rPr/>
            </w:pPr>
            <w:r>
              <w:t xml:space="preserve">Source: Very high; representation: Standard scholarly source/rights review; redundancy: Low</w:t>
            </w:r>
            <w:r/>
          </w:p>
        </w:tc>
        <w:tc>
          <w:tcPr>
            <w:shd w:val="clear" w:color="auto" w:fill="f7f9fa"/>
            <w:tcBorders/>
            <w:tcMar>
              <w:left w:w="70" w:type="dxa"/>
              <w:top w:w="60" w:type="dxa"/>
              <w:right w:w="70" w:type="dxa"/>
              <w:bottom w:w="60" w:type="dxa"/>
            </w:tcMar>
            <w:tcW w:w="8238" w:type="dxa"/>
            <w:vAlign w:val="top"/>
          </w:tcPr>
          <w:p>
            <w:pPr>
              <w:pStyle w:val="1297"/>
              <w:pBdr/>
              <w:spacing/>
              <w:ind/>
              <w:rPr/>
            </w:pPr>
            <w:r>
              <w:t xml:space="preserve">Negative theology; revelation/reason; creation</w:t>
            </w:r>
            <w:r>
              <w:t xml:space="preserve"> uncertainty Counterexample/category leverage: Category pressure on positive ultimacy description Adopted-core rationale: Adds negative theology and a disciplined limit on positive ultimacy description; tests epistemic reserve against anti-foundationalism.</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19</w:t>
            </w:r>
            <w:r/>
          </w:p>
        </w:tc>
        <w:tc>
          <w:tcPr>
            <w:tcBorders/>
            <w:tcMar>
              <w:left w:w="70" w:type="dxa"/>
              <w:top w:w="60" w:type="dxa"/>
              <w:right w:w="70" w:type="dxa"/>
              <w:bottom w:w="60" w:type="dxa"/>
            </w:tcMar>
            <w:tcW w:w="5949" w:type="dxa"/>
            <w:vAlign w:val="top"/>
          </w:tcPr>
          <w:p>
            <w:pPr>
              <w:pStyle w:val="1297"/>
              <w:pBdr/>
              <w:spacing/>
              <w:ind/>
              <w:rPr/>
            </w:pPr>
            <w:r>
              <w:t xml:space="preserve">Source: Very high; representation: Standard scholarly source/rights review; redundancy: Low</w:t>
            </w:r>
            <w:r/>
          </w:p>
        </w:tc>
        <w:tc>
          <w:tcPr>
            <w:tcBorders/>
            <w:tcMar>
              <w:left w:w="70" w:type="dxa"/>
              <w:top w:w="60" w:type="dxa"/>
              <w:right w:w="70" w:type="dxa"/>
              <w:bottom w:w="60" w:type="dxa"/>
            </w:tcMar>
            <w:tcW w:w="8238" w:type="dxa"/>
            <w:vAlign w:val="top"/>
          </w:tcPr>
          <w:p>
            <w:pPr>
              <w:pStyle w:val="1297"/>
              <w:pBdr/>
              <w:spacing/>
              <w:ind/>
              <w:rPr/>
            </w:pPr>
            <w:r>
              <w:t xml:space="preserve">Monism/order/freedom; potent comparator to Advaita w</w:t>
            </w:r>
            <w:r>
              <w:t xml:space="preserve">ithout equivalence Counterexample/category leverage: Counters libertarian freedom and creator/creation dualism Adopted-core rationale: Adds immanent monism, necessity and freedom-as-understanding; unusually high comparative leverage across D1, D10 and D11.</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20</w:t>
            </w:r>
            <w:r/>
          </w:p>
        </w:tc>
        <w:tc>
          <w:tcPr>
            <w:shd w:val="clear" w:color="auto" w:fill="f7f9fa"/>
            <w:tcBorders/>
            <w:tcMar>
              <w:left w:w="70" w:type="dxa"/>
              <w:top w:w="60" w:type="dxa"/>
              <w:right w:w="70" w:type="dxa"/>
              <w:bottom w:w="60" w:type="dxa"/>
            </w:tcMar>
            <w:tcW w:w="5949" w:type="dxa"/>
            <w:vAlign w:val="top"/>
          </w:tcPr>
          <w:p>
            <w:pPr>
              <w:pStyle w:val="1297"/>
              <w:pBdr/>
              <w:spacing/>
              <w:ind/>
              <w:rPr/>
            </w:pPr>
            <w:r>
              <w:t xml:space="preserve">Source: Very high; representation: Standard scholarly source/rights review; redundancy: Moderate with Ibn Arabi/Apocryphon</w:t>
            </w:r>
            <w:r/>
          </w:p>
        </w:tc>
        <w:tc>
          <w:tcPr>
            <w:shd w:val="clear" w:color="auto" w:fill="f7f9fa"/>
            <w:tcBorders/>
            <w:tcMar>
              <w:left w:w="70" w:type="dxa"/>
              <w:top w:w="60" w:type="dxa"/>
              <w:right w:w="70" w:type="dxa"/>
              <w:bottom w:w="60" w:type="dxa"/>
            </w:tcMar>
            <w:tcW w:w="8238" w:type="dxa"/>
            <w:vAlign w:val="top"/>
          </w:tcPr>
          <w:p>
            <w:pPr>
              <w:pStyle w:val="1297"/>
              <w:pBdr/>
              <w:spacing/>
              <w:ind/>
              <w:rPr/>
            </w:pPr>
            <w:r>
              <w:t xml:space="preserve">Genealogical/structural bridge for emanation and return Counterexample/category leverage: Prevents ahistorical direct equivalence among emanative systems</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21</w:t>
            </w:r>
            <w:r/>
          </w:p>
        </w:tc>
        <w:tc>
          <w:tcPr>
            <w:tcBorders/>
            <w:tcMar>
              <w:left w:w="70" w:type="dxa"/>
              <w:top w:w="60" w:type="dxa"/>
              <w:right w:w="70" w:type="dxa"/>
              <w:bottom w:w="60" w:type="dxa"/>
            </w:tcMar>
            <w:tcW w:w="5949" w:type="dxa"/>
            <w:vAlign w:val="top"/>
          </w:tcPr>
          <w:p>
            <w:pPr>
              <w:pStyle w:val="1297"/>
              <w:pBdr/>
              <w:spacing/>
              <w:ind/>
              <w:rPr/>
            </w:pPr>
            <w:r>
              <w:t xml:space="preserve">Source: Very high; representation: Standard scholarly source/rights review; redundancy: Moderate textbook familiarity</w:t>
            </w:r>
            <w:r/>
          </w:p>
        </w:tc>
        <w:tc>
          <w:tcPr>
            <w:tcBorders/>
            <w:tcMar>
              <w:left w:w="70" w:type="dxa"/>
              <w:top w:w="60" w:type="dxa"/>
              <w:right w:w="70" w:type="dxa"/>
              <w:bottom w:w="60" w:type="dxa"/>
            </w:tcMar>
            <w:tcW w:w="8238" w:type="dxa"/>
            <w:vAlign w:val="top"/>
          </w:tcPr>
          <w:p>
            <w:pPr>
              <w:pStyle w:val="1297"/>
              <w:pBdr/>
              <w:spacing/>
              <w:ind/>
              <w:rPr/>
            </w:pPr>
            <w:r>
              <w:t xml:space="preserve">Mind/body and subjecthood benchmark Counterexample/category leverage: Sharp counter to no-self and constitutive physicalism</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22</w:t>
            </w:r>
            <w:r/>
          </w:p>
        </w:tc>
        <w:tc>
          <w:tcPr>
            <w:shd w:val="clear" w:color="auto" w:fill="f7f9fa"/>
            <w:tcBorders/>
            <w:tcMar>
              <w:left w:w="70" w:type="dxa"/>
              <w:top w:w="60" w:type="dxa"/>
              <w:right w:w="70" w:type="dxa"/>
              <w:bottom w:w="60" w:type="dxa"/>
            </w:tcMar>
            <w:tcW w:w="5949" w:type="dxa"/>
            <w:vAlign w:val="top"/>
          </w:tcPr>
          <w:p>
            <w:pPr>
              <w:pStyle w:val="1297"/>
              <w:pBdr/>
              <w:spacing/>
              <w:ind/>
              <w:rPr/>
            </w:pPr>
            <w:r>
              <w:t xml:space="preserve">Source: Very high; representation: Standard scholarly source/rights review; redundancy: Low</w:t>
            </w:r>
            <w:r/>
          </w:p>
        </w:tc>
        <w:tc>
          <w:tcPr>
            <w:shd w:val="clear" w:color="auto" w:fill="f7f9fa"/>
            <w:tcBorders/>
            <w:tcMar>
              <w:left w:w="70" w:type="dxa"/>
              <w:top w:w="60" w:type="dxa"/>
              <w:right w:w="70" w:type="dxa"/>
              <w:bottom w:w="60" w:type="dxa"/>
            </w:tcMar>
            <w:tcW w:w="8238" w:type="dxa"/>
            <w:vAlign w:val="top"/>
          </w:tcPr>
          <w:p>
            <w:pPr>
              <w:pStyle w:val="1297"/>
              <w:pBdr/>
              <w:spacing/>
              <w:ind/>
              <w:rPr/>
            </w:pPr>
            <w:r>
              <w:t xml:space="preserve">Distributed perception; causal architecture; comparison with panpsychism Counterexample/category leverage: Tests false genealogy/equivalence from shared 'panpsychist' vocabulary</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23</w:t>
            </w:r>
            <w:r/>
          </w:p>
        </w:tc>
        <w:tc>
          <w:tcPr>
            <w:tcBorders/>
            <w:tcMar>
              <w:left w:w="70" w:type="dxa"/>
              <w:top w:w="60" w:type="dxa"/>
              <w:right w:w="70" w:type="dxa"/>
              <w:bottom w:w="60" w:type="dxa"/>
            </w:tcMar>
            <w:tcW w:w="5949" w:type="dxa"/>
            <w:vAlign w:val="top"/>
          </w:tcPr>
          <w:p>
            <w:pPr>
              <w:pStyle w:val="1297"/>
              <w:pBdr/>
              <w:spacing/>
              <w:ind/>
              <w:rPr/>
            </w:pPr>
            <w:r>
              <w:t xml:space="preserve">Source: High; representation: Standard scholarly source/rights review; redundancy: Low</w:t>
            </w:r>
            <w:r/>
          </w:p>
        </w:tc>
        <w:tc>
          <w:tcPr>
            <w:tcBorders/>
            <w:tcMar>
              <w:left w:w="70" w:type="dxa"/>
              <w:top w:w="60" w:type="dxa"/>
              <w:right w:w="70" w:type="dxa"/>
              <w:bottom w:w="60" w:type="dxa"/>
            </w:tcMar>
            <w:tcW w:w="8238" w:type="dxa"/>
            <w:vAlign w:val="top"/>
          </w:tcPr>
          <w:p>
            <w:pPr>
              <w:pStyle w:val="1297"/>
              <w:pBdr/>
              <w:spacing/>
              <w:ind/>
              <w:rPr/>
            </w:pPr>
            <w:r>
              <w:t xml:space="preserve">Process ontology; consciousness/fundamentality; world relation Counterexample/category leverage: Counters substance default; complicates panpsychism taxonomy</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24</w:t>
            </w:r>
            <w:r/>
          </w:p>
        </w:tc>
        <w:tc>
          <w:tcPr>
            <w:shd w:val="clear" w:color="auto" w:fill="f7f9fa"/>
            <w:tcBorders/>
            <w:tcMar>
              <w:left w:w="70" w:type="dxa"/>
              <w:top w:w="60" w:type="dxa"/>
              <w:right w:w="70" w:type="dxa"/>
              <w:bottom w:w="60" w:type="dxa"/>
            </w:tcMar>
            <w:tcW w:w="5949" w:type="dxa"/>
            <w:vAlign w:val="top"/>
          </w:tcPr>
          <w:p>
            <w:pPr>
              <w:pStyle w:val="1297"/>
              <w:pBdr/>
              <w:spacing/>
              <w:ind/>
              <w:rPr/>
            </w:pPr>
            <w:r>
              <w:t xml:space="preserve">Source: Very high; representation: Standard scholarly source/rights review; redundancy: Low</w:t>
            </w:r>
            <w:r/>
          </w:p>
        </w:tc>
        <w:tc>
          <w:tcPr>
            <w:shd w:val="clear" w:color="auto" w:fill="f7f9fa"/>
            <w:tcBorders/>
            <w:tcMar>
              <w:left w:w="70" w:type="dxa"/>
              <w:top w:w="60" w:type="dxa"/>
              <w:right w:w="70" w:type="dxa"/>
              <w:bottom w:w="60" w:type="dxa"/>
            </w:tcMar>
            <w:tcW w:w="8238" w:type="dxa"/>
            <w:vAlign w:val="top"/>
          </w:tcPr>
          <w:p>
            <w:pPr>
              <w:pStyle w:val="1297"/>
              <w:pBdr/>
              <w:spacing/>
              <w:ind/>
              <w:rPr/>
            </w:pPr>
            <w:r>
              <w:t xml:space="preserve">Ancient naturalism; death; anti-teleology Counterexample/category leverage: Counters modern-only secular/naturalist framing</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25</w:t>
            </w:r>
            <w:r/>
          </w:p>
        </w:tc>
        <w:tc>
          <w:tcPr>
            <w:tcBorders/>
            <w:tcMar>
              <w:left w:w="70" w:type="dxa"/>
              <w:top w:w="60" w:type="dxa"/>
              <w:right w:w="70" w:type="dxa"/>
              <w:bottom w:w="60" w:type="dxa"/>
            </w:tcMar>
            <w:tcW w:w="5949" w:type="dxa"/>
            <w:vAlign w:val="top"/>
          </w:tcPr>
          <w:p>
            <w:pPr>
              <w:pStyle w:val="1297"/>
              <w:pBdr/>
              <w:spacing/>
              <w:ind/>
              <w:rPr/>
            </w:pPr>
            <w:r>
              <w:t xml:space="preserve">Source: High; representation: Standard scholarly source/rights review; redundancy: Low</w:t>
            </w:r>
            <w:r/>
          </w:p>
        </w:tc>
        <w:tc>
          <w:tcPr>
            <w:tcBorders/>
            <w:tcMar>
              <w:left w:w="70" w:type="dxa"/>
              <w:top w:w="60" w:type="dxa"/>
              <w:right w:w="70" w:type="dxa"/>
              <w:bottom w:w="60" w:type="dxa"/>
            </w:tcMar>
            <w:tcW w:w="8238" w:type="dxa"/>
            <w:vAlign w:val="top"/>
          </w:tcPr>
          <w:p>
            <w:pPr>
              <w:pStyle w:val="1297"/>
              <w:pBdr/>
              <w:spacing/>
              <w:ind/>
              <w:rPr/>
            </w:pPr>
            <w:r>
              <w:t xml:space="preserve">Fate/freedom; world participation Counterexample/category leverage: Counter to both Sartrean radical freedom and fatalism</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26</w:t>
            </w:r>
            <w:r/>
          </w:p>
        </w:tc>
        <w:tc>
          <w:tcPr>
            <w:shd w:val="clear" w:color="auto" w:fill="f7f9fa"/>
            <w:tcBorders/>
            <w:tcMar>
              <w:left w:w="70" w:type="dxa"/>
              <w:top w:w="60" w:type="dxa"/>
              <w:right w:w="70" w:type="dxa"/>
              <w:bottom w:w="60" w:type="dxa"/>
            </w:tcMar>
            <w:tcW w:w="5949" w:type="dxa"/>
            <w:vAlign w:val="top"/>
          </w:tcPr>
          <w:p>
            <w:pPr>
              <w:pStyle w:val="1297"/>
              <w:pBdr/>
              <w:spacing/>
              <w:ind/>
              <w:rPr/>
            </w:pPr>
            <w:r>
              <w:t xml:space="preserve">Source: Very high; representation: Standard scholarly source/rights review; redundancy: Low</w:t>
            </w:r>
            <w:r/>
          </w:p>
        </w:tc>
        <w:tc>
          <w:tcPr>
            <w:shd w:val="clear" w:color="auto" w:fill="f7f9fa"/>
            <w:tcBorders/>
            <w:tcMar>
              <w:left w:w="70" w:type="dxa"/>
              <w:top w:w="60" w:type="dxa"/>
              <w:right w:w="70" w:type="dxa"/>
              <w:bottom w:w="60" w:type="dxa"/>
            </w:tcMar>
            <w:tcW w:w="8238" w:type="dxa"/>
            <w:vAlign w:val="top"/>
          </w:tcPr>
          <w:p>
            <w:pPr>
              <w:pStyle w:val="1297"/>
              <w:pBdr/>
              <w:spacing/>
              <w:ind/>
              <w:rPr/>
            </w:pPr>
            <w:r>
              <w:t xml:space="preserve">Causation/agency fault line and Avicennan genealogy Counterexample/category leverage: Counters treating causal law as one metaphysical family</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27</w:t>
            </w:r>
            <w:r/>
          </w:p>
        </w:tc>
        <w:tc>
          <w:tcPr>
            <w:tcBorders/>
            <w:tcMar>
              <w:left w:w="70" w:type="dxa"/>
              <w:top w:w="60" w:type="dxa"/>
              <w:right w:w="70" w:type="dxa"/>
              <w:bottom w:w="60" w:type="dxa"/>
            </w:tcMar>
            <w:tcW w:w="5949" w:type="dxa"/>
            <w:vAlign w:val="top"/>
          </w:tcPr>
          <w:p>
            <w:pPr>
              <w:pStyle w:val="1297"/>
              <w:pBdr/>
              <w:spacing/>
              <w:ind/>
              <w:rPr/>
            </w:pPr>
            <w:r>
              <w:t xml:space="preserve">Source: High; representation: Standard scholarly source/rights review; redundancy: Low</w:t>
            </w:r>
            <w:r/>
          </w:p>
        </w:tc>
        <w:tc>
          <w:tcPr>
            <w:tcBorders/>
            <w:tcMar>
              <w:left w:w="70" w:type="dxa"/>
              <w:top w:w="60" w:type="dxa"/>
              <w:right w:w="70" w:type="dxa"/>
              <w:bottom w:w="60" w:type="dxa"/>
            </w:tcMar>
            <w:tcW w:w="8238" w:type="dxa"/>
            <w:vAlign w:val="top"/>
          </w:tcPr>
          <w:p>
            <w:pPr>
              <w:pStyle w:val="1297"/>
              <w:pBdr/>
              <w:spacing/>
              <w:ind/>
              <w:rPr/>
            </w:pPr>
            <w:r>
              <w:t xml:space="preserve">Fundamental consciousness + agency; contrast with Advaita and micropsychism Counterexample/category leverage: Blocks 'fundamental consciousness' as one solution type</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28</w:t>
            </w:r>
            <w:r/>
          </w:p>
        </w:tc>
        <w:tc>
          <w:tcPr>
            <w:shd w:val="clear" w:color="auto" w:fill="f7f9fa"/>
            <w:tcBorders/>
            <w:tcMar>
              <w:left w:w="70" w:type="dxa"/>
              <w:top w:w="60" w:type="dxa"/>
              <w:right w:w="70" w:type="dxa"/>
              <w:bottom w:w="60" w:type="dxa"/>
            </w:tcMar>
            <w:tcW w:w="5949" w:type="dxa"/>
            <w:vAlign w:val="top"/>
          </w:tcPr>
          <w:p>
            <w:pPr>
              <w:pStyle w:val="1297"/>
              <w:pBdr/>
              <w:spacing/>
              <w:ind/>
              <w:rPr/>
            </w:pPr>
            <w:r>
              <w:t xml:space="preserve">Source: Very high; representation: Standard scholarly source/rights review; redundancy: Moderate with Zhu Xi</w:t>
            </w:r>
            <w:r/>
          </w:p>
        </w:tc>
        <w:tc>
          <w:tcPr>
            <w:shd w:val="clear" w:color="auto" w:fill="f7f9fa"/>
            <w:tcBorders/>
            <w:tcMar>
              <w:left w:w="70" w:type="dxa"/>
              <w:top w:w="60" w:type="dxa"/>
              <w:right w:w="70" w:type="dxa"/>
              <w:bottom w:w="60" w:type="dxa"/>
            </w:tcMar>
            <w:tcW w:w="8238" w:type="dxa"/>
            <w:vAlign w:val="top"/>
          </w:tcPr>
          <w:p>
            <w:pPr>
              <w:pStyle w:val="1297"/>
              <w:pBdr/>
              <w:spacing/>
              <w:ind/>
              <w:rPr/>
            </w:pPr>
            <w:r>
              <w:t xml:space="preserve">Personhood/value/praxis; comparator to Zhu Xi Counterexample/category leverage: Counters reducing Confucian material to metaphysics of lǐ/qì</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29</w:t>
            </w:r>
            <w:r/>
          </w:p>
        </w:tc>
        <w:tc>
          <w:tcPr>
            <w:tcBorders/>
            <w:tcMar>
              <w:left w:w="70" w:type="dxa"/>
              <w:top w:w="60" w:type="dxa"/>
              <w:right w:w="70" w:type="dxa"/>
              <w:bottom w:w="60" w:type="dxa"/>
            </w:tcMar>
            <w:tcW w:w="5949" w:type="dxa"/>
            <w:vAlign w:val="top"/>
          </w:tcPr>
          <w:p>
            <w:pPr>
              <w:pStyle w:val="1297"/>
              <w:pBdr/>
              <w:spacing/>
              <w:ind/>
              <w:rPr/>
            </w:pPr>
            <w:r>
              <w:t xml:space="preserve">Source: High; representation: Specialist/contextual review; avoid community-totalization; redundancy: Low</w:t>
            </w:r>
            <w:r/>
          </w:p>
        </w:tc>
        <w:tc>
          <w:tcPr>
            <w:tcBorders/>
            <w:tcMar>
              <w:left w:w="70" w:type="dxa"/>
              <w:top w:w="60" w:type="dxa"/>
              <w:right w:w="70" w:type="dxa"/>
              <w:bottom w:w="60" w:type="dxa"/>
            </w:tcMar>
            <w:tcW w:w="8238" w:type="dxa"/>
            <w:vAlign w:val="top"/>
          </w:tcPr>
          <w:p>
            <w:pPr>
              <w:pStyle w:val="1297"/>
              <w:pBdr/>
              <w:spacing/>
              <w:ind/>
              <w:rPr/>
            </w:pPr>
            <w:r>
              <w:t xml:space="preserve">Personhood architecture; internal scholarly disagreement Counterexample/category leverage: Category challenge for personhood as metaphysical vs normative</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30</w:t>
            </w:r>
            <w:r/>
          </w:p>
        </w:tc>
        <w:tc>
          <w:tcPr>
            <w:shd w:val="clear" w:color="auto" w:fill="f7f9fa"/>
            <w:tcBorders/>
            <w:tcMar>
              <w:left w:w="70" w:type="dxa"/>
              <w:top w:w="60" w:type="dxa"/>
              <w:right w:w="70" w:type="dxa"/>
              <w:bottom w:w="60" w:type="dxa"/>
            </w:tcMar>
            <w:tcW w:w="5949" w:type="dxa"/>
            <w:vAlign w:val="top"/>
          </w:tcPr>
          <w:p>
            <w:pPr>
              <w:pStyle w:val="1297"/>
              <w:pBdr/>
              <w:spacing/>
              <w:ind/>
              <w:rPr/>
            </w:pPr>
            <w:r>
              <w:t xml:space="preserve">Source: Very high; representation: Standard scholarly source/rights review; redundancy: Low</w:t>
            </w:r>
            <w:r/>
          </w:p>
        </w:tc>
        <w:tc>
          <w:tcPr>
            <w:shd w:val="clear" w:color="auto" w:fill="f7f9fa"/>
            <w:tcBorders/>
            <w:tcMar>
              <w:left w:w="70" w:type="dxa"/>
              <w:top w:w="60" w:type="dxa"/>
              <w:right w:w="70" w:type="dxa"/>
              <w:bottom w:w="60" w:type="dxa"/>
            </w:tcMar>
            <w:tcW w:w="8238" w:type="dxa"/>
            <w:vAlign w:val="top"/>
          </w:tcPr>
          <w:p>
            <w:pPr>
              <w:pStyle w:val="1297"/>
              <w:pBdr/>
              <w:spacing/>
              <w:ind/>
              <w:rPr/>
            </w:pPr>
            <w:r>
              <w:t xml:space="preserve">Self/no-self comparison with strong genealogical independence Counterexample/category leverage: Counterexample against Buddhist-only no-substantial-self motif</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31</w:t>
            </w:r>
            <w:r/>
          </w:p>
        </w:tc>
        <w:tc>
          <w:tcPr>
            <w:tcBorders/>
            <w:tcMar>
              <w:left w:w="70" w:type="dxa"/>
              <w:top w:w="60" w:type="dxa"/>
              <w:right w:w="70" w:type="dxa"/>
              <w:bottom w:w="60" w:type="dxa"/>
            </w:tcMar>
            <w:tcW w:w="5949" w:type="dxa"/>
            <w:vAlign w:val="top"/>
          </w:tcPr>
          <w:p>
            <w:pPr>
              <w:pStyle w:val="1297"/>
              <w:pBdr/>
              <w:spacing/>
              <w:ind/>
              <w:rPr/>
            </w:pPr>
            <w:r>
              <w:t xml:space="preserve">Source: Very high; representation: Standard scholarly source/rights review; redundancy: Moderate</w:t>
            </w:r>
            <w:r/>
          </w:p>
        </w:tc>
        <w:tc>
          <w:tcPr>
            <w:tcBorders/>
            <w:tcMar>
              <w:left w:w="70" w:type="dxa"/>
              <w:top w:w="60" w:type="dxa"/>
              <w:right w:w="70" w:type="dxa"/>
              <w:bottom w:w="60" w:type="dxa"/>
            </w:tcMar>
            <w:tcW w:w="8238" w:type="dxa"/>
            <w:vAlign w:val="top"/>
          </w:tcPr>
          <w:p>
            <w:pPr>
              <w:pStyle w:val="1297"/>
              <w:pBdr/>
              <w:spacing/>
              <w:ind/>
              <w:rPr/>
            </w:pPr>
            <w:r>
              <w:t xml:space="preserve">Physicalism/panpsychism fault line Counterexample/category leverage: Counters binary physicalism vs spiritualism</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32</w:t>
            </w:r>
            <w:r/>
          </w:p>
        </w:tc>
        <w:tc>
          <w:tcPr>
            <w:shd w:val="clear" w:color="auto" w:fill="f7f9fa"/>
            <w:tcBorders/>
            <w:tcMar>
              <w:left w:w="70" w:type="dxa"/>
              <w:top w:w="60" w:type="dxa"/>
              <w:right w:w="70" w:type="dxa"/>
              <w:bottom w:w="60" w:type="dxa"/>
            </w:tcMar>
            <w:tcW w:w="5949" w:type="dxa"/>
            <w:vAlign w:val="top"/>
          </w:tcPr>
          <w:p>
            <w:pPr>
              <w:pStyle w:val="1297"/>
              <w:pBdr/>
              <w:spacing/>
              <w:ind/>
              <w:rPr/>
            </w:pPr>
            <w:r>
              <w:t xml:space="preserve">Source: High; representation: Standard scholarly source/rights review; redundancy: Low</w:t>
            </w:r>
            <w:r/>
          </w:p>
        </w:tc>
        <w:tc>
          <w:tcPr>
            <w:shd w:val="clear" w:color="auto" w:fill="f7f9fa"/>
            <w:tcBorders/>
            <w:tcMar>
              <w:left w:w="70" w:type="dxa"/>
              <w:top w:w="60" w:type="dxa"/>
              <w:right w:w="70" w:type="dxa"/>
              <w:bottom w:w="60" w:type="dxa"/>
            </w:tcMar>
            <w:tcW w:w="8238" w:type="dxa"/>
            <w:vAlign w:val="top"/>
          </w:tcPr>
          <w:p>
            <w:pPr>
              <w:pStyle w:val="1297"/>
              <w:pBdr/>
              <w:spacing/>
              <w:ind/>
              <w:rPr/>
            </w:pPr>
            <w:r>
              <w:t xml:space="preserve">Stress test for what 'consciousness fundamental' comparisons presuppose Counterexample/category leverage: Strong DEN/REF leverage</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33</w:t>
            </w:r>
            <w:r/>
          </w:p>
        </w:tc>
        <w:tc>
          <w:tcPr>
            <w:tcBorders/>
            <w:tcMar>
              <w:left w:w="70" w:type="dxa"/>
              <w:top w:w="60" w:type="dxa"/>
              <w:right w:w="70" w:type="dxa"/>
              <w:bottom w:w="60" w:type="dxa"/>
            </w:tcMar>
            <w:tcW w:w="5949" w:type="dxa"/>
            <w:vAlign w:val="top"/>
          </w:tcPr>
          <w:p>
            <w:pPr>
              <w:pStyle w:val="1297"/>
              <w:pBdr/>
              <w:spacing/>
              <w:ind/>
              <w:rPr/>
            </w:pPr>
            <w:r>
              <w:t xml:space="preserve">Source: Very high; representation: Standard scholarly source/rights review; redundancy: Moderate</w:t>
            </w:r>
            <w:r/>
          </w:p>
        </w:tc>
        <w:tc>
          <w:tcPr>
            <w:tcBorders/>
            <w:tcMar>
              <w:left w:w="70" w:type="dxa"/>
              <w:top w:w="60" w:type="dxa"/>
              <w:right w:w="70" w:type="dxa"/>
              <w:bottom w:w="60" w:type="dxa"/>
            </w:tcMar>
            <w:tcW w:w="8238" w:type="dxa"/>
            <w:vAlign w:val="top"/>
          </w:tcPr>
          <w:p>
            <w:pPr>
              <w:pStyle w:val="1297"/>
              <w:pBdr/>
              <w:spacing/>
              <w:ind/>
              <w:rPr/>
            </w:pPr>
            <w:r>
              <w:t xml:space="preserve">Counterpressure on Mencius and later Confucian cultivation narratives Counterexample/category leverage: Internal-tradition pluralism test</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34</w:t>
            </w:r>
            <w:r/>
          </w:p>
        </w:tc>
        <w:tc>
          <w:tcPr>
            <w:shd w:val="clear" w:color="auto" w:fill="f7f9fa"/>
            <w:tcBorders/>
            <w:tcMar>
              <w:left w:w="70" w:type="dxa"/>
              <w:top w:w="60" w:type="dxa"/>
              <w:right w:w="70" w:type="dxa"/>
              <w:bottom w:w="60" w:type="dxa"/>
            </w:tcMar>
            <w:tcW w:w="5949" w:type="dxa"/>
            <w:vAlign w:val="top"/>
          </w:tcPr>
          <w:p>
            <w:pPr>
              <w:pStyle w:val="1297"/>
              <w:pBdr/>
              <w:spacing/>
              <w:ind/>
              <w:rPr/>
            </w:pPr>
            <w:r>
              <w:t xml:space="preserve">Source: Very high; representation: Standard scholarly source/rights review; redundancy: Moderate</w:t>
            </w:r>
            <w:r/>
          </w:p>
        </w:tc>
        <w:tc>
          <w:tcPr>
            <w:shd w:val="clear" w:color="auto" w:fill="f7f9fa"/>
            <w:tcBorders/>
            <w:tcMar>
              <w:left w:w="70" w:type="dxa"/>
              <w:top w:w="60" w:type="dxa"/>
              <w:right w:w="70" w:type="dxa"/>
              <w:bottom w:w="60" w:type="dxa"/>
            </w:tcMar>
            <w:tcW w:w="8238" w:type="dxa"/>
            <w:vAlign w:val="top"/>
          </w:tcPr>
          <w:p>
            <w:pPr>
              <w:pStyle w:val="1297"/>
              <w:pBdr/>
              <w:spacing/>
              <w:ind/>
              <w:rPr/>
            </w:pPr>
            <w:r>
              <w:t xml:space="preserve">Materiality category comparator Counterexample/category leverage: Counters material/immaterial assumptions without panpsychism</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35</w:t>
            </w:r>
            <w:r/>
          </w:p>
        </w:tc>
        <w:tc>
          <w:tcPr>
            <w:tcBorders/>
            <w:tcMar>
              <w:left w:w="70" w:type="dxa"/>
              <w:top w:w="60" w:type="dxa"/>
              <w:right w:w="70" w:type="dxa"/>
              <w:bottom w:w="60" w:type="dxa"/>
            </w:tcMar>
            <w:tcW w:w="5949" w:type="dxa"/>
            <w:vAlign w:val="top"/>
          </w:tcPr>
          <w:p>
            <w:pPr>
              <w:pStyle w:val="1297"/>
              <w:pBdr/>
              <w:spacing/>
              <w:ind/>
              <w:rPr/>
            </w:pPr>
            <w:r>
              <w:t xml:space="preserve">Source: Very high; representation: Standard scholarly source/rights review; redundancy: High with Abrahamic metaphysics</w:t>
            </w:r>
            <w:r/>
          </w:p>
        </w:tc>
        <w:tc>
          <w:tcPr>
            <w:tcBorders/>
            <w:tcMar>
              <w:left w:w="70" w:type="dxa"/>
              <w:top w:w="60" w:type="dxa"/>
              <w:right w:w="70" w:type="dxa"/>
              <w:bottom w:w="60" w:type="dxa"/>
            </w:tcMar>
            <w:tcW w:w="8238" w:type="dxa"/>
            <w:vAlign w:val="top"/>
          </w:tcPr>
          <w:p>
            <w:pPr>
              <w:pStyle w:val="1297"/>
              <w:pBdr/>
              <w:spacing/>
              <w:ind/>
              <w:rPr/>
            </w:pPr>
            <w:r>
              <w:t xml:space="preserve">Context/comparator for Gregory, Avicenna, Maimonides Counterexample/category leverage: Strong genealogy node but redundant in core narrative</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36</w:t>
            </w:r>
            <w:r/>
          </w:p>
        </w:tc>
        <w:tc>
          <w:tcPr>
            <w:shd w:val="clear" w:color="auto" w:fill="f7f9fa"/>
            <w:tcBorders/>
            <w:tcMar>
              <w:left w:w="70" w:type="dxa"/>
              <w:top w:w="60" w:type="dxa"/>
              <w:right w:w="70" w:type="dxa"/>
              <w:bottom w:w="60" w:type="dxa"/>
            </w:tcMar>
            <w:tcW w:w="5949" w:type="dxa"/>
            <w:vAlign w:val="top"/>
          </w:tcPr>
          <w:p>
            <w:pPr>
              <w:pStyle w:val="1297"/>
              <w:pBdr/>
              <w:spacing/>
              <w:ind/>
              <w:rPr/>
            </w:pPr>
            <w:r>
              <w:t xml:space="preserve">Source: Very high; representation: Standard scholarly source/rights review; redundancy: Moderate</w:t>
            </w:r>
            <w:r/>
          </w:p>
        </w:tc>
        <w:tc>
          <w:tcPr>
            <w:shd w:val="clear" w:color="auto" w:fill="f7f9fa"/>
            <w:tcBorders/>
            <w:tcMar>
              <w:left w:w="70" w:type="dxa"/>
              <w:top w:w="60" w:type="dxa"/>
              <w:right w:w="70" w:type="dxa"/>
              <w:bottom w:w="60" w:type="dxa"/>
            </w:tcMar>
            <w:tcW w:w="8238" w:type="dxa"/>
            <w:vAlign w:val="top"/>
          </w:tcPr>
          <w:p>
            <w:pPr>
              <w:pStyle w:val="1297"/>
              <w:pBdr/>
              <w:spacing/>
              <w:ind/>
              <w:rPr/>
            </w:pPr>
            <w:r>
              <w:t xml:space="preserve">Tests Zhu Xi-centered Confucian story Counterexample/category leverage: Internal plurality leverage</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37</w:t>
            </w:r>
            <w:r/>
          </w:p>
        </w:tc>
        <w:tc>
          <w:tcPr>
            <w:tcBorders/>
            <w:tcMar>
              <w:left w:w="70" w:type="dxa"/>
              <w:top w:w="60" w:type="dxa"/>
              <w:right w:w="70" w:type="dxa"/>
              <w:bottom w:w="60" w:type="dxa"/>
            </w:tcMar>
            <w:tcW w:w="5949" w:type="dxa"/>
            <w:vAlign w:val="top"/>
          </w:tcPr>
          <w:p>
            <w:pPr>
              <w:pStyle w:val="1297"/>
              <w:pBdr/>
              <w:spacing/>
              <w:ind/>
              <w:rPr/>
            </w:pPr>
            <w:r>
              <w:t xml:space="preserve">Source: Moderate; representation: Interview/oral provenance and rights review; redundancy: Low</w:t>
            </w:r>
            <w:r/>
          </w:p>
        </w:tc>
        <w:tc>
          <w:tcPr>
            <w:tcBorders/>
            <w:tcMar>
              <w:left w:w="70" w:type="dxa"/>
              <w:top w:w="60" w:type="dxa"/>
              <w:right w:w="70" w:type="dxa"/>
              <w:bottom w:w="60" w:type="dxa"/>
            </w:tcMar>
            <w:tcW w:w="8238" w:type="dxa"/>
            <w:vAlign w:val="top"/>
          </w:tcPr>
          <w:p>
            <w:pPr>
              <w:pStyle w:val="1297"/>
              <w:pBdr/>
              <w:spacing/>
              <w:ind/>
              <w:rPr/>
            </w:pPr>
            <w:r>
              <w:t xml:space="preserve">Oral-philosophy and individual-position boundary test Counterexample/category leverage: High provenance/translation/researcher-mediation leverage</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38</w:t>
            </w:r>
            <w:r/>
          </w:p>
        </w:tc>
        <w:tc>
          <w:tcPr>
            <w:shd w:val="clear" w:color="auto" w:fill="f7f9fa"/>
            <w:tcBorders/>
            <w:tcMar>
              <w:left w:w="70" w:type="dxa"/>
              <w:top w:w="60" w:type="dxa"/>
              <w:right w:w="70" w:type="dxa"/>
              <w:bottom w:w="60" w:type="dxa"/>
            </w:tcMar>
            <w:tcW w:w="5949" w:type="dxa"/>
            <w:vAlign w:val="top"/>
          </w:tcPr>
          <w:p>
            <w:pPr>
              <w:pStyle w:val="1297"/>
              <w:pBdr/>
              <w:spacing/>
              <w:ind/>
              <w:rPr/>
            </w:pPr>
            <w:r>
              <w:t xml:space="preserve">Source: High; representation: Standard scholarly source/rights review; redundancy: Low</w:t>
            </w:r>
            <w:r/>
          </w:p>
        </w:tc>
        <w:tc>
          <w:tcPr>
            <w:shd w:val="clear" w:color="auto" w:fill="f7f9fa"/>
            <w:tcBorders/>
            <w:tcMar>
              <w:left w:w="70" w:type="dxa"/>
              <w:top w:w="60" w:type="dxa"/>
              <w:right w:w="70" w:type="dxa"/>
              <w:bottom w:w="60" w:type="dxa"/>
            </w:tcMar>
            <w:tcW w:w="8238" w:type="dxa"/>
            <w:vAlign w:val="top"/>
          </w:tcPr>
          <w:p>
            <w:pPr>
              <w:pStyle w:val="1297"/>
              <w:pBdr/>
              <w:spacing/>
              <w:ind/>
              <w:rPr/>
            </w:pPr>
            <w:r>
              <w:t xml:space="preserve">Praxis/telos; challenges knowledge-then-transformation sequence Counterexample/category leverage: Translation/category leverage</w:t>
            </w:r>
            <w:r/>
          </w:p>
        </w:tc>
      </w:tr>
      <w:tr>
        <w:trPr>
          <w:cantSplit/>
        </w:trPr>
        <w:tc>
          <w:tcPr>
            <w:tcBorders/>
            <w:tcMar>
              <w:left w:w="70" w:type="dxa"/>
              <w:top w:w="60" w:type="dxa"/>
              <w:right w:w="70" w:type="dxa"/>
              <w:bottom w:w="60" w:type="dxa"/>
            </w:tcMar>
            <w:tcW w:w="1068" w:type="dxa"/>
            <w:vAlign w:val="top"/>
          </w:tcPr>
          <w:p>
            <w:pPr>
              <w:pStyle w:val="1297"/>
              <w:pBdr/>
              <w:spacing/>
              <w:ind/>
              <w:rPr/>
            </w:pPr>
            <w:r>
              <w:t xml:space="preserve">39</w:t>
            </w:r>
            <w:r/>
          </w:p>
        </w:tc>
        <w:tc>
          <w:tcPr>
            <w:tcBorders/>
            <w:tcMar>
              <w:left w:w="70" w:type="dxa"/>
              <w:top w:w="60" w:type="dxa"/>
              <w:right w:w="70" w:type="dxa"/>
              <w:bottom w:w="60" w:type="dxa"/>
            </w:tcMar>
            <w:tcW w:w="5949" w:type="dxa"/>
            <w:vAlign w:val="top"/>
          </w:tcPr>
          <w:p>
            <w:pPr>
              <w:pStyle w:val="1297"/>
              <w:pBdr/>
              <w:spacing/>
              <w:ind/>
              <w:rPr/>
            </w:pPr>
            <w:r>
              <w:t xml:space="preserve">Source: Moderate; representation: High mediation/philology burden; community/context review desirable; redundancy: Low</w:t>
            </w:r>
            <w:r/>
          </w:p>
        </w:tc>
        <w:tc>
          <w:tcPr>
            <w:tcBorders/>
            <w:tcMar>
              <w:left w:w="70" w:type="dxa"/>
              <w:top w:w="60" w:type="dxa"/>
              <w:right w:w="70" w:type="dxa"/>
              <w:bottom w:w="60" w:type="dxa"/>
            </w:tcMar>
            <w:tcW w:w="8238" w:type="dxa"/>
            <w:vAlign w:val="top"/>
          </w:tcPr>
          <w:p>
            <w:pPr>
              <w:pStyle w:val="1297"/>
              <w:pBdr/>
              <w:spacing/>
              <w:ind/>
              <w:rPr/>
            </w:pPr>
            <w:r>
              <w:t xml:space="preserve">Potential major process/non-Western ontology comparator Counterexample/category leverage: High mediation/translation controversy; avoid monolithic 'Aztec philosophy'</w:t>
            </w:r>
            <w:r/>
          </w:p>
        </w:tc>
      </w:tr>
      <w:tr>
        <w:trPr>
          <w:cantSplit/>
        </w:trPr>
        <w:tc>
          <w:tcPr>
            <w:shd w:val="clear" w:color="auto" w:fill="f7f9fa"/>
            <w:tcBorders/>
            <w:tcMar>
              <w:left w:w="70" w:type="dxa"/>
              <w:top w:w="60" w:type="dxa"/>
              <w:right w:w="70" w:type="dxa"/>
              <w:bottom w:w="60" w:type="dxa"/>
            </w:tcMar>
            <w:tcW w:w="1068" w:type="dxa"/>
            <w:vAlign w:val="top"/>
          </w:tcPr>
          <w:p>
            <w:pPr>
              <w:pStyle w:val="1297"/>
              <w:pBdr/>
              <w:spacing/>
              <w:ind/>
              <w:rPr/>
            </w:pPr>
            <w:r>
              <w:t xml:space="preserve">40</w:t>
            </w:r>
            <w:r/>
          </w:p>
        </w:tc>
        <w:tc>
          <w:tcPr>
            <w:shd w:val="clear" w:color="auto" w:fill="f7f9fa"/>
            <w:tcBorders/>
            <w:tcMar>
              <w:left w:w="70" w:type="dxa"/>
              <w:top w:w="60" w:type="dxa"/>
              <w:right w:w="70" w:type="dxa"/>
              <w:bottom w:w="60" w:type="dxa"/>
            </w:tcMar>
            <w:tcW w:w="5949" w:type="dxa"/>
            <w:vAlign w:val="top"/>
          </w:tcPr>
          <w:p>
            <w:pPr>
              <w:pStyle w:val="1297"/>
              <w:pBdr/>
              <w:spacing/>
              <w:ind/>
              <w:rPr/>
            </w:pPr>
            <w:r>
              <w:t xml:space="preserve">Source: Moderate; representation: Community-authority/rights review required; redundancy: Low</w:t>
            </w:r>
            <w:r/>
          </w:p>
        </w:tc>
        <w:tc>
          <w:tcPr>
            <w:shd w:val="clear" w:color="auto" w:fill="f7f9fa"/>
            <w:tcBorders/>
            <w:tcMar>
              <w:left w:w="70" w:type="dxa"/>
              <w:top w:w="60" w:type="dxa"/>
              <w:right w:w="70" w:type="dxa"/>
              <w:bottom w:w="60" w:type="dxa"/>
            </w:tcMar>
            <w:tcW w:w="8238" w:type="dxa"/>
            <w:vAlign w:val="top"/>
          </w:tcPr>
          <w:p>
            <w:pPr>
              <w:pStyle w:val="1297"/>
              <w:pBdr/>
              <w:spacing/>
              <w:ind/>
              <w:rPr/>
            </w:pPr>
            <w:r>
              <w:t xml:space="preserve">Potential relational-personhood/world-partitioning comparator Counterexample/category leverage: High community-authority and internal-plurality burden</w:t>
            </w:r>
            <w:r/>
          </w:p>
        </w:tc>
      </w:tr>
    </w:tbl>
    <w:p>
      <w:pPr>
        <w:pStyle w:val="1300"/>
        <w:pBdr/>
        <w:spacing/>
        <w:ind/>
        <w:rPr/>
      </w:pPr>
      <w:r/>
      <w:r/>
    </w:p>
    <w:p>
      <w:pPr>
        <w:pBdr/>
        <w:spacing/>
        <w:ind/>
        <w:rPr/>
        <w:sectPr>
          <w:headerReference w:type="default" r:id="rId15"/>
          <w:footerReference w:type="default" r:id="rId26"/>
          <w:footnotePr/>
          <w:endnotePr/>
          <w:type w:val="nextPage"/>
          <w:pgSz w:h="11906" w:orient="landscape" w:w="16838"/>
          <w:pgMar w:top="792" w:right="792" w:bottom="792" w:left="792" w:header="403" w:footer="403" w:gutter="0"/>
          <w:cols w:num="1" w:sep="0" w:space="720" w:equalWidth="1"/>
        </w:sectPr>
      </w:pPr>
      <w:r/>
      <w:r/>
    </w:p>
    <w:p>
      <w:pPr>
        <w:pStyle w:val="1135"/>
        <w:keepNext w:val="true"/>
        <w:keepLines w:val="true"/>
        <w:pBdr/>
        <w:spacing/>
        <w:ind/>
        <w:rPr/>
      </w:pPr>
      <w:r/>
      <w:bookmarkStart w:id="189" w:name="ANNEX_B"/>
      <w:r>
        <w:t xml:space="preserve">Annex B — Coverage, crosswalks and manifests</w:t>
      </w:r>
      <w:bookmarkEnd w:id="189"/>
      <w:r/>
      <w:r/>
    </w:p>
    <w:p>
      <w:pPr>
        <w:pStyle w:val="1184"/>
        <w:keepNext w:val="true"/>
        <w:keepLines w:val="true"/>
        <w:pBdr/>
        <w:spacing/>
        <w:ind/>
        <w:rPr/>
      </w:pPr>
      <w:r>
        <w:t xml:space="preserve">Derived — Annex B front door</w:t>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3648"/>
        <w:gridCol w:w="11606"/>
      </w:tblGrid>
      <w:tr>
        <w:trPr>
          <w:cantSplit/>
          <w:tblHeader/>
        </w:trPr>
        <w:tc>
          <w:tcPr>
            <w:shd w:val="clear" w:color="auto" w:fill="1f5a73"/>
            <w:tcBorders/>
            <w:tcMar>
              <w:left w:w="70" w:type="dxa"/>
              <w:top w:w="60" w:type="dxa"/>
              <w:right w:w="70" w:type="dxa"/>
              <w:bottom w:w="60" w:type="dxa"/>
            </w:tcMar>
            <w:tcW w:w="3648" w:type="dxa"/>
            <w:vAlign w:val="top"/>
          </w:tcPr>
          <w:p>
            <w:pPr>
              <w:pStyle w:val="1298"/>
              <w:pBdr/>
              <w:spacing/>
              <w:ind/>
              <w:rPr/>
            </w:pPr>
            <w:r>
              <w:t xml:space="preserve">Field</w:t>
            </w:r>
            <w:r/>
          </w:p>
        </w:tc>
        <w:tc>
          <w:tcPr>
            <w:shd w:val="clear" w:color="auto" w:fill="1f5a73"/>
            <w:tcBorders/>
            <w:tcMar>
              <w:left w:w="70" w:type="dxa"/>
              <w:top w:w="60" w:type="dxa"/>
              <w:right w:w="70" w:type="dxa"/>
              <w:bottom w:w="60" w:type="dxa"/>
            </w:tcMar>
            <w:tcW w:w="11606" w:type="dxa"/>
            <w:vAlign w:val="top"/>
          </w:tcPr>
          <w:p>
            <w:pPr>
              <w:pStyle w:val="1298"/>
              <w:pBdr/>
              <w:spacing/>
              <w:ind/>
              <w:rPr/>
            </w:pPr>
            <w:r>
              <w:t xml:space="preserve">Required content</w:t>
            </w:r>
            <w:r/>
          </w:p>
        </w:tc>
      </w:tr>
      <w:tr>
        <w:trPr>
          <w:cantSplit/>
        </w:trPr>
        <w:tc>
          <w:tcPr>
            <w:tcBorders/>
            <w:tcMar>
              <w:left w:w="70" w:type="dxa"/>
              <w:top w:w="60" w:type="dxa"/>
              <w:right w:w="70" w:type="dxa"/>
              <w:bottom w:w="60" w:type="dxa"/>
            </w:tcMar>
            <w:tcW w:w="3648" w:type="dxa"/>
            <w:vAlign w:val="top"/>
          </w:tcPr>
          <w:p>
            <w:pPr>
              <w:pStyle w:val="1296"/>
              <w:pBdr/>
              <w:spacing/>
              <w:ind/>
              <w:rPr/>
            </w:pPr>
            <w:r>
              <w:t xml:space="preserve">Purpose</w:t>
            </w:r>
            <w:r/>
          </w:p>
        </w:tc>
        <w:tc>
          <w:tcPr>
            <w:tcBorders/>
            <w:tcMar>
              <w:left w:w="70" w:type="dxa"/>
              <w:top w:w="60" w:type="dxa"/>
              <w:right w:w="70" w:type="dxa"/>
              <w:bottom w:w="60" w:type="dxa"/>
            </w:tcMar>
            <w:tcW w:w="11606" w:type="dxa"/>
            <w:vAlign w:val="top"/>
          </w:tcPr>
          <w:p>
            <w:pPr>
              <w:pStyle w:val="1296"/>
              <w:pBdr/>
              <w:spacing/>
              <w:ind/>
              <w:rPr/>
            </w:pPr>
            <w:r>
              <w:t xml:space="preserve">Provide full coverage-debt and generated editorial/production views from the authoritative corpus and chapter briefs.</w:t>
            </w:r>
            <w:r/>
          </w:p>
        </w:tc>
      </w:tr>
      <w:tr>
        <w:trPr>
          <w:cantSplit/>
        </w:trPr>
        <w:tc>
          <w:tcPr>
            <w:shd w:val="clear" w:color="auto" w:fill="f7f9fa"/>
            <w:tcBorders/>
            <w:tcMar>
              <w:left w:w="70" w:type="dxa"/>
              <w:top w:w="60" w:type="dxa"/>
              <w:right w:w="70" w:type="dxa"/>
              <w:bottom w:w="60" w:type="dxa"/>
            </w:tcMar>
            <w:tcW w:w="3648" w:type="dxa"/>
            <w:vAlign w:val="top"/>
          </w:tcPr>
          <w:p>
            <w:pPr>
              <w:pStyle w:val="1296"/>
              <w:pBdr/>
              <w:spacing/>
              <w:ind/>
              <w:rPr/>
            </w:pPr>
            <w:r>
              <w:t xml:space="preserve">Authority status</w:t>
            </w:r>
            <w:r/>
          </w:p>
        </w:tc>
        <w:tc>
          <w:tcPr>
            <w:shd w:val="clear" w:color="auto" w:fill="f7f9fa"/>
            <w:tcBorders/>
            <w:tcMar>
              <w:left w:w="70" w:type="dxa"/>
              <w:top w:w="60" w:type="dxa"/>
              <w:right w:w="70" w:type="dxa"/>
              <w:bottom w:w="60" w:type="dxa"/>
            </w:tcMar>
            <w:tcW w:w="11606" w:type="dxa"/>
            <w:vAlign w:val="top"/>
          </w:tcPr>
          <w:p>
            <w:pPr>
              <w:pStyle w:val="1296"/>
              <w:pBdr/>
              <w:spacing/>
              <w:ind/>
              <w:rPr/>
            </w:pPr>
            <w:r>
              <w:t xml:space="preserve">Coverage judgments are dated planning views. Crosswalks and manifests are derived and carry no independent facts.</w:t>
            </w:r>
            <w:r/>
          </w:p>
        </w:tc>
      </w:tr>
      <w:tr>
        <w:trPr>
          <w:cantSplit/>
        </w:trPr>
        <w:tc>
          <w:tcPr>
            <w:tcBorders/>
            <w:tcMar>
              <w:left w:w="70" w:type="dxa"/>
              <w:top w:w="60" w:type="dxa"/>
              <w:right w:w="70" w:type="dxa"/>
              <w:bottom w:w="60" w:type="dxa"/>
            </w:tcMar>
            <w:tcW w:w="3648" w:type="dxa"/>
            <w:vAlign w:val="top"/>
          </w:tcPr>
          <w:p>
            <w:pPr>
              <w:pStyle w:val="1296"/>
              <w:pBdr/>
              <w:spacing/>
              <w:ind/>
              <w:rPr/>
            </w:pPr>
            <w:r>
              <w:t xml:space="preserve">Regeneration rule</w:t>
            </w:r>
            <w:r/>
          </w:p>
        </w:tc>
        <w:tc>
          <w:tcPr>
            <w:tcBorders/>
            <w:tcMar>
              <w:left w:w="70" w:type="dxa"/>
              <w:top w:w="60" w:type="dxa"/>
              <w:right w:w="70" w:type="dxa"/>
              <w:bottom w:w="60" w:type="dxa"/>
            </w:tcMar>
            <w:tcW w:w="11606" w:type="dxa"/>
            <w:vAlign w:val="top"/>
          </w:tcPr>
          <w:p>
            <w:pPr>
              <w:pStyle w:val="1296"/>
              <w:pBdr/>
              <w:spacing/>
              <w:ind/>
              <w:rPr/>
            </w:pPr>
            <w:r>
              <w:t xml:space="preserve">Any change to a chapter brief, corpus role or dependency ID requires regeneration of the affected view.</w:t>
            </w:r>
            <w:r/>
          </w:p>
        </w:tc>
      </w:tr>
    </w:tbl>
    <w:p>
      <w:pPr>
        <w:pBdr/>
        <w:spacing/>
        <w:ind/>
        <w:rPr/>
      </w:pPr>
      <w:r>
        <w:t xml:space="preserve">Specification-derived editorial views identify their authoritative chapter, corpus or dependency source </w:t>
      </w:r>
      <w:r>
        <w:t xml:space="preserve">and the specification version. Factual Generated Evidence Views identify the canonical build and generation metadata required by Research Specification. An editorial crosswalk is not evidence that a canonical production build or G7 regeneration run exists.</w:t>
      </w:r>
      <w:r/>
    </w:p>
    <w:p>
      <w:pPr>
        <w:pStyle w:val="1300"/>
        <w:pBdr/>
        <w:spacing/>
        <w:ind/>
        <w:rPr/>
      </w:pPr>
      <w:r>
        <w:t xml:space="preserve">The editorial views in §§B2–B5 derive from specification version PA-2026-10-15: Part II chapter briefs, the adopted corpus in §5 and the dependency rules in §12. Historical coverage-debt entries in §B1 retain their stated date.</w:t>
      </w:r>
      <w:r/>
    </w:p>
    <w:p>
      <w:pPr>
        <w:pStyle w:val="1300"/>
        <w:pBdr/>
        <w:spacing/>
        <w:ind/>
        <w:rPr/>
      </w:pPr>
      <w:r/>
      <w:r/>
    </w:p>
    <w:p>
      <w:pPr>
        <w:pStyle w:val="1136"/>
        <w:keepNext w:val="true"/>
        <w:keepLines w:val="true"/>
        <w:pBdr/>
        <w:spacing/>
        <w:ind/>
        <w:rPr/>
      </w:pPr>
      <w:r/>
      <w:bookmarkStart w:id="190" w:name="B1"/>
      <w:r>
        <w:t xml:space="preserve">B1. Full coverage-debt audit</w:t>
      </w:r>
      <w:bookmarkEnd w:id="190"/>
      <w:r/>
      <w:r/>
    </w:p>
    <w:p>
      <w:pPr>
        <w:pStyle w:val="1184"/>
        <w:keepNext w:val="true"/>
        <w:keepLines w:val="true"/>
        <w:pBdr/>
        <w:spacing/>
        <w:ind/>
        <w:rPr/>
      </w:pPr>
      <w:r/>
      <w:bookmarkStart w:id="191" w:name="T_FULL_DEBT"/>
      <w:r>
        <w:t xml:space="preserve">Historical snapshot — Full coverage-debt audit as of 28 July 2026</w:t>
      </w:r>
      <w:bookmarkEnd w:id="191"/>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3036"/>
        <w:gridCol w:w="4961"/>
        <w:gridCol w:w="1110"/>
        <w:gridCol w:w="6145"/>
      </w:tblGrid>
      <w:tr>
        <w:trPr>
          <w:cantSplit/>
          <w:tblHeader/>
        </w:trPr>
        <w:tc>
          <w:tcPr>
            <w:shd w:val="clear" w:color="auto" w:fill="1f5a73"/>
            <w:tcBorders/>
            <w:tcMar>
              <w:left w:w="70" w:type="dxa"/>
              <w:top w:w="60" w:type="dxa"/>
              <w:right w:w="70" w:type="dxa"/>
              <w:bottom w:w="60" w:type="dxa"/>
            </w:tcMar>
            <w:tcW w:w="3036" w:type="dxa"/>
            <w:vAlign w:val="top"/>
          </w:tcPr>
          <w:p>
            <w:pPr>
              <w:pStyle w:val="1299"/>
              <w:pBdr/>
              <w:spacing/>
              <w:ind/>
              <w:rPr/>
            </w:pPr>
            <w:r>
              <w:t xml:space="preserve">Dimension</w:t>
            </w:r>
            <w:r/>
          </w:p>
        </w:tc>
        <w:tc>
          <w:tcPr>
            <w:shd w:val="clear" w:color="auto" w:fill="1f5a73"/>
            <w:tcBorders/>
            <w:tcMar>
              <w:left w:w="70" w:type="dxa"/>
              <w:top w:w="60" w:type="dxa"/>
              <w:right w:w="70" w:type="dxa"/>
              <w:bottom w:w="60" w:type="dxa"/>
            </w:tcMar>
            <w:tcW w:w="4961" w:type="dxa"/>
            <w:vAlign w:val="top"/>
          </w:tcPr>
          <w:p>
            <w:pPr>
              <w:pStyle w:val="1299"/>
              <w:pBdr/>
              <w:spacing/>
              <w:ind/>
              <w:rPr/>
            </w:pPr>
            <w:r>
              <w:t xml:space="preserve">State after adopted corpus</w:t>
            </w:r>
            <w:r/>
          </w:p>
        </w:tc>
        <w:tc>
          <w:tcPr>
            <w:shd w:val="clear" w:color="auto" w:fill="1f5a73"/>
            <w:tcBorders/>
            <w:tcMar>
              <w:left w:w="70" w:type="dxa"/>
              <w:top w:w="60" w:type="dxa"/>
              <w:right w:w="70" w:type="dxa"/>
              <w:bottom w:w="60" w:type="dxa"/>
            </w:tcMar>
            <w:tcW w:w="1110" w:type="dxa"/>
            <w:vAlign w:val="top"/>
          </w:tcPr>
          <w:p>
            <w:pPr>
              <w:pStyle w:val="1299"/>
              <w:pBdr/>
              <w:spacing/>
              <w:ind/>
              <w:rPr/>
            </w:pPr>
            <w:r>
              <w:t xml:space="preserve">Debt</w:t>
            </w:r>
            <w:r/>
          </w:p>
        </w:tc>
        <w:tc>
          <w:tcPr>
            <w:shd w:val="clear" w:color="auto" w:fill="1f5a73"/>
            <w:tcBorders/>
            <w:tcMar>
              <w:left w:w="70" w:type="dxa"/>
              <w:top w:w="60" w:type="dxa"/>
              <w:right w:w="70" w:type="dxa"/>
              <w:bottom w:w="60" w:type="dxa"/>
            </w:tcMar>
            <w:tcW w:w="6145" w:type="dxa"/>
            <w:vAlign w:val="top"/>
          </w:tcPr>
          <w:p>
            <w:pPr>
              <w:pStyle w:val="1299"/>
              <w:pBdr/>
              <w:spacing/>
              <w:ind/>
              <w:rPr/>
            </w:pPr>
            <w:r>
              <w:t xml:space="preserve">Research implication</w:t>
            </w:r>
            <w:r/>
          </w:p>
        </w:tc>
      </w:tr>
      <w:tr>
        <w:trPr>
          <w:cantSplit/>
        </w:trPr>
        <w:tc>
          <w:tcPr>
            <w:tcBorders/>
            <w:tcMar>
              <w:left w:w="70" w:type="dxa"/>
              <w:top w:w="60" w:type="dxa"/>
              <w:right w:w="70" w:type="dxa"/>
              <w:bottom w:w="60" w:type="dxa"/>
            </w:tcMar>
            <w:tcW w:w="3036" w:type="dxa"/>
            <w:vAlign w:val="top"/>
          </w:tcPr>
          <w:p>
            <w:pPr>
              <w:pStyle w:val="1297"/>
              <w:pBdr/>
              <w:spacing/>
              <w:ind/>
              <w:rPr/>
            </w:pPr>
            <w:r>
              <w:t xml:space="preserve">Macro-region</w:t>
            </w:r>
            <w:r/>
          </w:p>
        </w:tc>
        <w:tc>
          <w:tcPr>
            <w:tcBorders/>
            <w:tcMar>
              <w:left w:w="70" w:type="dxa"/>
              <w:top w:w="60" w:type="dxa"/>
              <w:right w:w="70" w:type="dxa"/>
              <w:bottom w:w="60" w:type="dxa"/>
            </w:tcMar>
            <w:tcW w:w="4961" w:type="dxa"/>
            <w:vAlign w:val="top"/>
          </w:tcPr>
          <w:p>
            <w:pPr>
              <w:pStyle w:val="1297"/>
              <w:pBdr/>
              <w:spacing/>
              <w:ind/>
              <w:rPr/>
            </w:pPr>
            <w:r>
              <w:t xml:space="preserve">Europe/Mediterranean, South Asia, East Asia, Islamic world, West Africa represented; Americas/Oceania weak in release-grade core</w:t>
            </w:r>
            <w:r/>
          </w:p>
        </w:tc>
        <w:tc>
          <w:tcPr>
            <w:tcBorders/>
            <w:tcMar>
              <w:left w:w="70" w:type="dxa"/>
              <w:top w:w="60" w:type="dxa"/>
              <w:right w:w="70" w:type="dxa"/>
              <w:bottom w:w="60" w:type="dxa"/>
            </w:tcMar>
            <w:tcW w:w="1110" w:type="dxa"/>
            <w:vAlign w:val="top"/>
          </w:tcPr>
          <w:p>
            <w:pPr>
              <w:pStyle w:val="1297"/>
              <w:pBdr/>
              <w:spacing/>
              <w:ind/>
              <w:rPr/>
            </w:pPr>
            <w:r>
              <w:t xml:space="preserve">High</w:t>
            </w:r>
            <w:r/>
          </w:p>
        </w:tc>
        <w:tc>
          <w:tcPr>
            <w:tcBorders/>
            <w:tcMar>
              <w:left w:w="70" w:type="dxa"/>
              <w:top w:w="60" w:type="dxa"/>
              <w:right w:w="70" w:type="dxa"/>
              <w:bottom w:w="60" w:type="dxa"/>
            </w:tcMar>
            <w:tcW w:w="6145" w:type="dxa"/>
            <w:vAlign w:val="top"/>
          </w:tcPr>
          <w:p>
            <w:pPr>
              <w:pStyle w:val="1297"/>
              <w:pBdr/>
              <w:spacing/>
              <w:ind/>
              <w:rPr/>
            </w:pPr>
            <w:r>
              <w:t xml:space="preserve">Keep Nahua/Māori/Achuar as explicit HOLD research priorities; do not fill quotas with weak evidence.</w:t>
            </w:r>
            <w:r/>
          </w:p>
        </w:tc>
      </w:tr>
      <w:tr>
        <w:trPr>
          <w:cantSplit/>
        </w:trPr>
        <w:tc>
          <w:tcPr>
            <w:shd w:val="clear" w:color="auto" w:fill="f7f9fa"/>
            <w:tcBorders/>
            <w:tcMar>
              <w:left w:w="70" w:type="dxa"/>
              <w:top w:w="60" w:type="dxa"/>
              <w:right w:w="70" w:type="dxa"/>
              <w:bottom w:w="60" w:type="dxa"/>
            </w:tcMar>
            <w:tcW w:w="3036" w:type="dxa"/>
            <w:vAlign w:val="top"/>
          </w:tcPr>
          <w:p>
            <w:pPr>
              <w:pStyle w:val="1297"/>
              <w:pBdr/>
              <w:spacing/>
              <w:ind/>
              <w:rPr/>
            </w:pPr>
            <w:r>
              <w:t xml:space="preserve">Period</w:t>
            </w:r>
            <w:r/>
          </w:p>
        </w:tc>
        <w:tc>
          <w:tcPr>
            <w:shd w:val="clear" w:color="auto" w:fill="f7f9fa"/>
            <w:tcBorders/>
            <w:tcMar>
              <w:left w:w="70" w:type="dxa"/>
              <w:top w:w="60" w:type="dxa"/>
              <w:right w:w="70" w:type="dxa"/>
              <w:bottom w:w="60" w:type="dxa"/>
            </w:tcMar>
            <w:tcW w:w="4961" w:type="dxa"/>
            <w:vAlign w:val="top"/>
          </w:tcPr>
          <w:p>
            <w:pPr>
              <w:pStyle w:val="1297"/>
              <w:pBdr/>
              <w:spacing/>
              <w:ind/>
              <w:rPr/>
            </w:pPr>
            <w:r>
              <w:t xml:space="preserve">Ancient, medieval, early modern, modern/contemporary well distributed</w:t>
            </w:r>
            <w:r/>
          </w:p>
        </w:tc>
        <w:tc>
          <w:tcPr>
            <w:shd w:val="clear" w:color="auto" w:fill="f7f9fa"/>
            <w:tcBorders/>
            <w:tcMar>
              <w:left w:w="70" w:type="dxa"/>
              <w:top w:w="60" w:type="dxa"/>
              <w:right w:w="70" w:type="dxa"/>
              <w:bottom w:w="60" w:type="dxa"/>
            </w:tcMar>
            <w:tcW w:w="1110" w:type="dxa"/>
            <w:vAlign w:val="top"/>
          </w:tcPr>
          <w:p>
            <w:pPr>
              <w:pStyle w:val="1297"/>
              <w:pBdr/>
              <w:spacing/>
              <w:ind/>
              <w:rPr/>
            </w:pPr>
            <w:r>
              <w:t xml:space="preserve">Low</w:t>
            </w:r>
            <w:r/>
          </w:p>
        </w:tc>
        <w:tc>
          <w:tcPr>
            <w:shd w:val="clear" w:color="auto" w:fill="f7f9fa"/>
            <w:tcBorders/>
            <w:tcMar>
              <w:left w:w="70" w:type="dxa"/>
              <w:top w:w="60" w:type="dxa"/>
              <w:right w:w="70" w:type="dxa"/>
              <w:bottom w:w="60" w:type="dxa"/>
            </w:tcMar>
            <w:tcW w:w="6145" w:type="dxa"/>
            <w:vAlign w:val="top"/>
          </w:tcPr>
          <w:p>
            <w:pPr>
              <w:pStyle w:val="1297"/>
              <w:pBdr/>
              <w:spacing/>
              <w:ind/>
              <w:rPr/>
            </w:pPr>
            <w:r>
              <w:t xml:space="preserve">No action except maintain bounded dates and avoid presentist comparison.</w:t>
            </w:r>
            <w:r/>
          </w:p>
        </w:tc>
      </w:tr>
      <w:tr>
        <w:trPr>
          <w:cantSplit/>
        </w:trPr>
        <w:tc>
          <w:tcPr>
            <w:tcBorders/>
            <w:tcMar>
              <w:left w:w="70" w:type="dxa"/>
              <w:top w:w="60" w:type="dxa"/>
              <w:right w:w="70" w:type="dxa"/>
              <w:bottom w:w="60" w:type="dxa"/>
            </w:tcMar>
            <w:tcW w:w="3036" w:type="dxa"/>
            <w:vAlign w:val="top"/>
          </w:tcPr>
          <w:p>
            <w:pPr>
              <w:pStyle w:val="1297"/>
              <w:pBdr/>
              <w:spacing/>
              <w:ind/>
              <w:rPr/>
            </w:pPr>
            <w:r>
              <w:t xml:space="preserve">Source language</w:t>
            </w:r>
            <w:r/>
          </w:p>
        </w:tc>
        <w:tc>
          <w:tcPr>
            <w:tcBorders/>
            <w:tcMar>
              <w:left w:w="70" w:type="dxa"/>
              <w:top w:w="60" w:type="dxa"/>
              <w:right w:w="70" w:type="dxa"/>
              <w:bottom w:w="60" w:type="dxa"/>
            </w:tcMar>
            <w:tcW w:w="4961" w:type="dxa"/>
            <w:vAlign w:val="top"/>
          </w:tcPr>
          <w:p>
            <w:pPr>
              <w:pStyle w:val="1297"/>
              <w:pBdr/>
              <w:spacing/>
              <w:ind/>
              <w:rPr/>
            </w:pPr>
            <w:r>
              <w:t xml:space="preserve">Greek, Coptic, Sanskrit, Classical Chinese, Arabic, Latin, French, English, Punjabi/Yorùbá represented; Nahuatl/te reo Māori absent from core</w:t>
            </w:r>
            <w:r/>
          </w:p>
        </w:tc>
        <w:tc>
          <w:tcPr>
            <w:tcBorders/>
            <w:tcMar>
              <w:left w:w="70" w:type="dxa"/>
              <w:top w:w="60" w:type="dxa"/>
              <w:right w:w="70" w:type="dxa"/>
              <w:bottom w:w="60" w:type="dxa"/>
            </w:tcMar>
            <w:tcW w:w="1110" w:type="dxa"/>
            <w:vAlign w:val="top"/>
          </w:tcPr>
          <w:p>
            <w:pPr>
              <w:pStyle w:val="1297"/>
              <w:pBdr/>
              <w:spacing/>
              <w:ind/>
              <w:rPr/>
            </w:pPr>
            <w:r>
              <w:t xml:space="preserve">Moderate</w:t>
            </w:r>
            <w:r/>
          </w:p>
        </w:tc>
        <w:tc>
          <w:tcPr>
            <w:tcBorders/>
            <w:tcMar>
              <w:left w:w="70" w:type="dxa"/>
              <w:top w:w="60" w:type="dxa"/>
              <w:right w:w="70" w:type="dxa"/>
              <w:bottom w:w="60" w:type="dxa"/>
            </w:tcMar>
            <w:tcW w:w="6145" w:type="dxa"/>
            <w:vAlign w:val="top"/>
          </w:tcPr>
          <w:p>
            <w:pPr>
              <w:pStyle w:val="1297"/>
              <w:pBdr/>
              <w:spacing/>
              <w:ind/>
              <w:rPr/>
            </w:pPr>
            <w:r>
              <w:t xml:space="preserve">Prioritize specialist language review for core concepts; HOLD expansion until feasible.</w:t>
            </w:r>
            <w:r/>
          </w:p>
        </w:tc>
      </w:tr>
      <w:tr>
        <w:trPr>
          <w:cantSplit/>
        </w:trPr>
        <w:tc>
          <w:tcPr>
            <w:shd w:val="clear" w:color="auto" w:fill="f7f9fa"/>
            <w:tcBorders/>
            <w:tcMar>
              <w:left w:w="70" w:type="dxa"/>
              <w:top w:w="60" w:type="dxa"/>
              <w:right w:w="70" w:type="dxa"/>
              <w:bottom w:w="60" w:type="dxa"/>
            </w:tcMar>
            <w:tcW w:w="3036" w:type="dxa"/>
            <w:vAlign w:val="top"/>
          </w:tcPr>
          <w:p>
            <w:pPr>
              <w:pStyle w:val="1297"/>
              <w:pBdr/>
              <w:spacing/>
              <w:ind/>
              <w:rPr/>
            </w:pPr>
            <w:r>
              <w:t xml:space="preserve">Religious / secular status</w:t>
            </w:r>
            <w:r/>
          </w:p>
        </w:tc>
        <w:tc>
          <w:tcPr>
            <w:shd w:val="clear" w:color="auto" w:fill="f7f9fa"/>
            <w:tcBorders/>
            <w:tcMar>
              <w:left w:w="70" w:type="dxa"/>
              <w:top w:w="60" w:type="dxa"/>
              <w:right w:w="70" w:type="dxa"/>
              <w:bottom w:w="60" w:type="dxa"/>
            </w:tcMar>
            <w:tcW w:w="4961" w:type="dxa"/>
            <w:vAlign w:val="top"/>
          </w:tcPr>
          <w:p>
            <w:pPr>
              <w:pStyle w:val="1297"/>
              <w:pBdr/>
              <w:spacing/>
              <w:ind/>
              <w:rPr/>
            </w:pPr>
            <w:r>
              <w:t xml:space="preserve">Religious-philosophical and secular/naturalistic positions both strong</w:t>
            </w:r>
            <w:r/>
          </w:p>
        </w:tc>
        <w:tc>
          <w:tcPr>
            <w:shd w:val="clear" w:color="auto" w:fill="f7f9fa"/>
            <w:tcBorders/>
            <w:tcMar>
              <w:left w:w="70" w:type="dxa"/>
              <w:top w:w="60" w:type="dxa"/>
              <w:right w:w="70" w:type="dxa"/>
              <w:bottom w:w="60" w:type="dxa"/>
            </w:tcMar>
            <w:tcW w:w="1110" w:type="dxa"/>
            <w:vAlign w:val="top"/>
          </w:tcPr>
          <w:p>
            <w:pPr>
              <w:pStyle w:val="1297"/>
              <w:pBdr/>
              <w:spacing/>
              <w:ind/>
              <w:rPr/>
            </w:pPr>
            <w:r>
              <w:t xml:space="preserve">Low</w:t>
            </w:r>
            <w:r/>
          </w:p>
        </w:tc>
        <w:tc>
          <w:tcPr>
            <w:shd w:val="clear" w:color="auto" w:fill="f7f9fa"/>
            <w:tcBorders/>
            <w:tcMar>
              <w:left w:w="70" w:type="dxa"/>
              <w:top w:w="60" w:type="dxa"/>
              <w:right w:w="70" w:type="dxa"/>
              <w:bottom w:w="60" w:type="dxa"/>
            </w:tcMar>
            <w:tcW w:w="6145" w:type="dxa"/>
            <w:vAlign w:val="top"/>
          </w:tcPr>
          <w:p>
            <w:pPr>
              <w:pStyle w:val="1297"/>
              <w:pBdr/>
              <w:spacing/>
              <w:ind/>
              <w:rPr/>
            </w:pPr>
            <w:r>
              <w:t xml:space="preserve">Protect against treating analytic partial theses as complete secular Positions.</w:t>
            </w:r>
            <w:r/>
          </w:p>
        </w:tc>
      </w:tr>
      <w:tr>
        <w:trPr>
          <w:cantSplit/>
        </w:trPr>
        <w:tc>
          <w:tcPr>
            <w:tcBorders/>
            <w:tcMar>
              <w:left w:w="70" w:type="dxa"/>
              <w:top w:w="60" w:type="dxa"/>
              <w:right w:w="70" w:type="dxa"/>
              <w:bottom w:w="60" w:type="dxa"/>
            </w:tcMar>
            <w:tcW w:w="3036" w:type="dxa"/>
            <w:vAlign w:val="top"/>
          </w:tcPr>
          <w:p>
            <w:pPr>
              <w:pStyle w:val="1297"/>
              <w:pBdr/>
              <w:spacing/>
              <w:ind/>
              <w:rPr/>
            </w:pPr>
            <w:r>
              <w:t xml:space="preserve">Textual / oral / lived evidence</w:t>
            </w:r>
            <w:r/>
          </w:p>
        </w:tc>
        <w:tc>
          <w:tcPr>
            <w:tcBorders/>
            <w:tcMar>
              <w:left w:w="70" w:type="dxa"/>
              <w:top w:w="60" w:type="dxa"/>
              <w:right w:w="70" w:type="dxa"/>
              <w:bottom w:w="60" w:type="dxa"/>
            </w:tcMar>
            <w:tcW w:w="4961" w:type="dxa"/>
            <w:vAlign w:val="top"/>
          </w:tcPr>
          <w:p>
            <w:pPr>
              <w:pStyle w:val="1297"/>
              <w:pBdr/>
              <w:spacing/>
              <w:ind/>
              <w:rPr/>
            </w:pPr>
            <w:r>
              <w:t xml:space="preserve">Textual evidence dominates; source-bounded Ifá is the only current CORE Position whose release treatment depends on oral/performance capability and unit-level governance evidence.</w:t>
            </w:r>
            <w:r/>
          </w:p>
        </w:tc>
        <w:tc>
          <w:tcPr>
            <w:tcBorders/>
            <w:tcMar>
              <w:left w:w="70" w:type="dxa"/>
              <w:top w:w="60" w:type="dxa"/>
              <w:right w:w="70" w:type="dxa"/>
              <w:bottom w:w="60" w:type="dxa"/>
            </w:tcMar>
            <w:tcW w:w="1110" w:type="dxa"/>
            <w:vAlign w:val="top"/>
          </w:tcPr>
          <w:p>
            <w:pPr>
              <w:pStyle w:val="1297"/>
              <w:pBdr/>
              <w:spacing/>
              <w:ind/>
              <w:rPr/>
            </w:pPr>
            <w:r>
              <w:t xml:space="preserve">High</w:t>
            </w:r>
            <w:r/>
          </w:p>
        </w:tc>
        <w:tc>
          <w:tcPr>
            <w:tcBorders/>
            <w:tcMar>
              <w:left w:w="70" w:type="dxa"/>
              <w:top w:w="60" w:type="dxa"/>
              <w:right w:w="70" w:type="dxa"/>
              <w:bottom w:w="60" w:type="dxa"/>
            </w:tcMar>
            <w:tcW w:w="6145" w:type="dxa"/>
            <w:vAlign w:val="top"/>
          </w:tcPr>
          <w:p>
            <w:pPr>
              <w:pStyle w:val="1297"/>
              <w:pBdr/>
              <w:spacing/>
              <w:ind/>
              <w:rPr/>
            </w:pPr>
            <w:r>
              <w:t xml:space="preserve">G4/G5 capability and per-unit readiness are decisive; retain Oruka/Achuar/Māori only as digital or HOLD-FUTURE until provenance, authority and rights evidence improves.</w:t>
            </w:r>
            <w:r/>
          </w:p>
        </w:tc>
      </w:tr>
      <w:tr>
        <w:trPr>
          <w:cantSplit/>
        </w:trPr>
        <w:tc>
          <w:tcPr>
            <w:shd w:val="clear" w:color="auto" w:fill="f7f9fa"/>
            <w:tcBorders/>
            <w:tcMar>
              <w:left w:w="70" w:type="dxa"/>
              <w:top w:w="60" w:type="dxa"/>
              <w:right w:w="70" w:type="dxa"/>
              <w:bottom w:w="60" w:type="dxa"/>
            </w:tcMar>
            <w:tcW w:w="3036" w:type="dxa"/>
            <w:vAlign w:val="top"/>
          </w:tcPr>
          <w:p>
            <w:pPr>
              <w:pStyle w:val="1297"/>
              <w:pBdr/>
              <w:spacing/>
              <w:ind/>
              <w:rPr/>
            </w:pPr>
            <w:r>
              <w:t xml:space="preserve">Philosophical genre</w:t>
            </w:r>
            <w:r/>
          </w:p>
        </w:tc>
        <w:tc>
          <w:tcPr>
            <w:shd w:val="clear" w:color="auto" w:fill="f7f9fa"/>
            <w:tcBorders/>
            <w:tcMar>
              <w:left w:w="70" w:type="dxa"/>
              <w:top w:w="60" w:type="dxa"/>
              <w:right w:w="70" w:type="dxa"/>
              <w:bottom w:w="60" w:type="dxa"/>
            </w:tcMar>
            <w:tcW w:w="4961" w:type="dxa"/>
            <w:vAlign w:val="top"/>
          </w:tcPr>
          <w:p>
            <w:pPr>
              <w:pStyle w:val="1297"/>
              <w:pBdr/>
              <w:spacing/>
              <w:ind/>
              <w:rPr/>
            </w:pPr>
            <w:r>
              <w:t xml:space="preserve">Systematic treatise, aphoristic/dialogical, scriptural, commentary, analytic paper represented; ritual/performance thin</w:t>
            </w:r>
            <w:r/>
          </w:p>
        </w:tc>
        <w:tc>
          <w:tcPr>
            <w:shd w:val="clear" w:color="auto" w:fill="f7f9fa"/>
            <w:tcBorders/>
            <w:tcMar>
              <w:left w:w="70" w:type="dxa"/>
              <w:top w:w="60" w:type="dxa"/>
              <w:right w:w="70" w:type="dxa"/>
              <w:bottom w:w="60" w:type="dxa"/>
            </w:tcMar>
            <w:tcW w:w="1110" w:type="dxa"/>
            <w:vAlign w:val="top"/>
          </w:tcPr>
          <w:p>
            <w:pPr>
              <w:pStyle w:val="1297"/>
              <w:pBdr/>
              <w:spacing/>
              <w:ind/>
              <w:rPr/>
            </w:pPr>
            <w:r>
              <w:t xml:space="preserve">Moderate</w:t>
            </w:r>
            <w:r/>
          </w:p>
        </w:tc>
        <w:tc>
          <w:tcPr>
            <w:shd w:val="clear" w:color="auto" w:fill="f7f9fa"/>
            <w:tcBorders/>
            <w:tcMar>
              <w:left w:w="70" w:type="dxa"/>
              <w:top w:w="60" w:type="dxa"/>
              <w:right w:w="70" w:type="dxa"/>
              <w:bottom w:w="60" w:type="dxa"/>
            </w:tcMar>
            <w:tcW w:w="6145" w:type="dxa"/>
            <w:vAlign w:val="top"/>
          </w:tcPr>
          <w:p>
            <w:pPr>
              <w:pStyle w:val="1297"/>
              <w:pBdr/>
              <w:spacing/>
              <w:ind/>
              <w:rPr/>
            </w:pPr>
            <w:r>
              <w:t xml:space="preserve">Use chapter design to expose genre differences rather than normalize them away.</w:t>
            </w:r>
            <w:r/>
          </w:p>
        </w:tc>
      </w:tr>
      <w:tr>
        <w:trPr>
          <w:cantSplit/>
        </w:trPr>
        <w:tc>
          <w:tcPr>
            <w:tcBorders/>
            <w:tcMar>
              <w:left w:w="70" w:type="dxa"/>
              <w:top w:w="60" w:type="dxa"/>
              <w:right w:w="70" w:type="dxa"/>
              <w:bottom w:w="60" w:type="dxa"/>
            </w:tcMar>
            <w:tcW w:w="3036" w:type="dxa"/>
            <w:vAlign w:val="top"/>
          </w:tcPr>
          <w:p>
            <w:pPr>
              <w:pStyle w:val="1297"/>
              <w:pBdr/>
              <w:spacing/>
              <w:ind/>
              <w:rPr/>
            </w:pPr>
            <w:r>
              <w:t xml:space="preserve">Intellectual lineage</w:t>
            </w:r>
            <w:r/>
          </w:p>
        </w:tc>
        <w:tc>
          <w:tcPr>
            <w:tcBorders/>
            <w:tcMar>
              <w:left w:w="70" w:type="dxa"/>
              <w:top w:w="60" w:type="dxa"/>
              <w:right w:w="70" w:type="dxa"/>
              <w:bottom w:w="60" w:type="dxa"/>
            </w:tcMar>
            <w:tcW w:w="4961" w:type="dxa"/>
            <w:vAlign w:val="top"/>
          </w:tcPr>
          <w:p>
            <w:pPr>
              <w:pStyle w:val="1297"/>
              <w:pBdr/>
              <w:spacing/>
              <w:ind/>
              <w:rPr/>
            </w:pPr>
            <w:r>
              <w:t xml:space="preserve">Indian, Chinese, Abrahamic/Islamic, Greco-European lineages strong; African and Indigenous lineages underrepresented</w:t>
            </w:r>
            <w:r/>
          </w:p>
        </w:tc>
        <w:tc>
          <w:tcPr>
            <w:tcBorders/>
            <w:tcMar>
              <w:left w:w="70" w:type="dxa"/>
              <w:top w:w="60" w:type="dxa"/>
              <w:right w:w="70" w:type="dxa"/>
              <w:bottom w:w="60" w:type="dxa"/>
            </w:tcMar>
            <w:tcW w:w="1110" w:type="dxa"/>
            <w:vAlign w:val="top"/>
          </w:tcPr>
          <w:p>
            <w:pPr>
              <w:pStyle w:val="1297"/>
              <w:pBdr/>
              <w:spacing/>
              <w:ind/>
              <w:rPr/>
            </w:pPr>
            <w:r>
              <w:t xml:space="preserve">High</w:t>
            </w:r>
            <w:r/>
          </w:p>
        </w:tc>
        <w:tc>
          <w:tcPr>
            <w:tcBorders/>
            <w:tcMar>
              <w:left w:w="70" w:type="dxa"/>
              <w:top w:w="60" w:type="dxa"/>
              <w:right w:w="70" w:type="dxa"/>
              <w:bottom w:w="60" w:type="dxa"/>
            </w:tcMar>
            <w:tcW w:w="6145" w:type="dxa"/>
            <w:vAlign w:val="top"/>
          </w:tcPr>
          <w:p>
            <w:pPr>
              <w:pStyle w:val="1297"/>
              <w:pBdr/>
              <w:spacing/>
              <w:ind/>
              <w:rPr/>
            </w:pPr>
            <w:r>
              <w:t xml:space="preserve">Target source-feasible bounded African positions and community-grounded local research in next cycle.</w:t>
            </w:r>
            <w:r/>
          </w:p>
        </w:tc>
      </w:tr>
      <w:tr>
        <w:trPr>
          <w:cantSplit/>
        </w:trPr>
        <w:tc>
          <w:tcPr>
            <w:shd w:val="clear" w:color="auto" w:fill="f7f9fa"/>
            <w:tcBorders/>
            <w:tcMar>
              <w:left w:w="70" w:type="dxa"/>
              <w:top w:w="60" w:type="dxa"/>
              <w:right w:w="70" w:type="dxa"/>
              <w:bottom w:w="60" w:type="dxa"/>
            </w:tcMar>
            <w:tcW w:w="3036" w:type="dxa"/>
            <w:vAlign w:val="top"/>
          </w:tcPr>
          <w:p>
            <w:pPr>
              <w:pStyle w:val="1297"/>
              <w:pBdr/>
              <w:spacing/>
              <w:ind/>
              <w:rPr/>
            </w:pPr>
            <w:r>
              <w:t xml:space="preserve">Metaphysical architecture</w:t>
            </w:r>
            <w:r/>
          </w:p>
        </w:tc>
        <w:tc>
          <w:tcPr>
            <w:shd w:val="clear" w:color="auto" w:fill="f7f9fa"/>
            <w:tcBorders/>
            <w:tcMar>
              <w:left w:w="70" w:type="dxa"/>
              <w:top w:w="60" w:type="dxa"/>
              <w:right w:w="70" w:type="dxa"/>
              <w:bottom w:w="60" w:type="dxa"/>
            </w:tcMar>
            <w:tcW w:w="4961" w:type="dxa"/>
            <w:vAlign w:val="top"/>
          </w:tcPr>
          <w:p>
            <w:pPr>
              <w:pStyle w:val="1297"/>
              <w:pBdr/>
              <w:spacing/>
              <w:ind/>
              <w:rPr/>
            </w:pPr>
            <w:r>
              <w:t xml:space="preserve">Monism, dual-principle, pluralism, emptiness/anti-foundationalism, process, physicalism, emanation, creation represented</w:t>
            </w:r>
            <w:r/>
          </w:p>
        </w:tc>
        <w:tc>
          <w:tcPr>
            <w:shd w:val="clear" w:color="auto" w:fill="f7f9fa"/>
            <w:tcBorders/>
            <w:tcMar>
              <w:left w:w="70" w:type="dxa"/>
              <w:top w:w="60" w:type="dxa"/>
              <w:right w:w="70" w:type="dxa"/>
              <w:bottom w:w="60" w:type="dxa"/>
            </w:tcMar>
            <w:tcW w:w="1110" w:type="dxa"/>
            <w:vAlign w:val="top"/>
          </w:tcPr>
          <w:p>
            <w:pPr>
              <w:pStyle w:val="1297"/>
              <w:pBdr/>
              <w:spacing/>
              <w:ind/>
              <w:rPr/>
            </w:pPr>
            <w:r>
              <w:t xml:space="preserve">Low</w:t>
            </w:r>
            <w:r/>
          </w:p>
        </w:tc>
        <w:tc>
          <w:tcPr>
            <w:shd w:val="clear" w:color="auto" w:fill="f7f9fa"/>
            <w:tcBorders/>
            <w:tcMar>
              <w:left w:w="70" w:type="dxa"/>
              <w:top w:w="60" w:type="dxa"/>
              <w:right w:w="70" w:type="dxa"/>
              <w:bottom w:w="60" w:type="dxa"/>
            </w:tcMar>
            <w:tcW w:w="6145" w:type="dxa"/>
            <w:vAlign w:val="top"/>
          </w:tcPr>
          <w:p>
            <w:pPr>
              <w:pStyle w:val="1297"/>
              <w:pBdr/>
              <w:spacing/>
              <w:ind/>
              <w:rPr/>
            </w:pPr>
            <w:r>
              <w:t xml:space="preserve">Use counterexamples to prevent one-dimensional one/many classification.</w:t>
            </w:r>
            <w:r/>
          </w:p>
        </w:tc>
      </w:tr>
      <w:tr>
        <w:trPr>
          <w:cantSplit/>
        </w:trPr>
        <w:tc>
          <w:tcPr>
            <w:tcBorders/>
            <w:tcMar>
              <w:left w:w="70" w:type="dxa"/>
              <w:top w:w="60" w:type="dxa"/>
              <w:right w:w="70" w:type="dxa"/>
              <w:bottom w:w="60" w:type="dxa"/>
            </w:tcMar>
            <w:tcW w:w="3036" w:type="dxa"/>
            <w:vAlign w:val="top"/>
          </w:tcPr>
          <w:p>
            <w:pPr>
              <w:pStyle w:val="1297"/>
              <w:pBdr/>
              <w:spacing/>
              <w:ind/>
              <w:rPr/>
            </w:pPr>
            <w:r>
              <w:t xml:space="preserve">Consciousness model</w:t>
            </w:r>
            <w:r/>
          </w:p>
        </w:tc>
        <w:tc>
          <w:tcPr>
            <w:tcBorders/>
            <w:tcMar>
              <w:left w:w="70" w:type="dxa"/>
              <w:top w:w="60" w:type="dxa"/>
              <w:right w:w="70" w:type="dxa"/>
              <w:bottom w:w="60" w:type="dxa"/>
            </w:tcMar>
            <w:tcW w:w="4961" w:type="dxa"/>
            <w:vAlign w:val="top"/>
          </w:tcPr>
          <w:p>
            <w:pPr>
              <w:pStyle w:val="1297"/>
              <w:pBdr/>
              <w:spacing/>
              <w:ind/>
              <w:rPr/>
            </w:pPr>
            <w:r>
              <w:t xml:space="preserve">Physicalist, micropsychist, dualist, plural witness, fundamental consciousness, illusionist stress cases represented</w:t>
            </w:r>
            <w:r/>
          </w:p>
        </w:tc>
        <w:tc>
          <w:tcPr>
            <w:tcBorders/>
            <w:tcMar>
              <w:left w:w="70" w:type="dxa"/>
              <w:top w:w="60" w:type="dxa"/>
              <w:right w:w="70" w:type="dxa"/>
              <w:bottom w:w="60" w:type="dxa"/>
            </w:tcMar>
            <w:tcW w:w="1110" w:type="dxa"/>
            <w:vAlign w:val="top"/>
          </w:tcPr>
          <w:p>
            <w:pPr>
              <w:pStyle w:val="1297"/>
              <w:pBdr/>
              <w:spacing/>
              <w:ind/>
              <w:rPr/>
            </w:pPr>
            <w:r>
              <w:t xml:space="preserve">Low</w:t>
            </w:r>
            <w:r/>
          </w:p>
        </w:tc>
        <w:tc>
          <w:tcPr>
            <w:tcBorders/>
            <w:tcMar>
              <w:left w:w="70" w:type="dxa"/>
              <w:top w:w="60" w:type="dxa"/>
              <w:right w:w="70" w:type="dxa"/>
              <w:bottom w:w="60" w:type="dxa"/>
            </w:tcMar>
            <w:tcW w:w="6145" w:type="dxa"/>
            <w:vAlign w:val="top"/>
          </w:tcPr>
          <w:p>
            <w:pPr>
              <w:pStyle w:val="1297"/>
              <w:pBdr/>
              <w:spacing/>
              <w:ind/>
              <w:rPr/>
            </w:pPr>
            <w:r>
              <w:t xml:space="preserve">Maintain current-literature refresh.</w:t>
            </w:r>
            <w:r/>
          </w:p>
        </w:tc>
      </w:tr>
      <w:tr>
        <w:trPr>
          <w:cantSplit/>
        </w:trPr>
        <w:tc>
          <w:tcPr>
            <w:shd w:val="clear" w:color="auto" w:fill="f7f9fa"/>
            <w:tcBorders/>
            <w:tcMar>
              <w:left w:w="70" w:type="dxa"/>
              <w:top w:w="60" w:type="dxa"/>
              <w:right w:w="70" w:type="dxa"/>
              <w:bottom w:w="60" w:type="dxa"/>
            </w:tcMar>
            <w:tcW w:w="3036" w:type="dxa"/>
            <w:vAlign w:val="top"/>
          </w:tcPr>
          <w:p>
            <w:pPr>
              <w:pStyle w:val="1297"/>
              <w:pBdr/>
              <w:spacing/>
              <w:ind/>
              <w:rPr/>
            </w:pPr>
            <w:r>
              <w:t xml:space="preserve">Self/personhood architecture</w:t>
            </w:r>
            <w:r/>
          </w:p>
        </w:tc>
        <w:tc>
          <w:tcPr>
            <w:shd w:val="clear" w:color="auto" w:fill="f7f9fa"/>
            <w:tcBorders/>
            <w:tcMar>
              <w:left w:w="70" w:type="dxa"/>
              <w:top w:w="60" w:type="dxa"/>
              <w:right w:w="70" w:type="dxa"/>
              <w:bottom w:w="60" w:type="dxa"/>
            </w:tcMar>
            <w:tcW w:w="4961" w:type="dxa"/>
            <w:vAlign w:val="top"/>
          </w:tcPr>
          <w:p>
            <w:pPr>
              <w:pStyle w:val="1297"/>
              <w:pBdr/>
              <w:spacing/>
              <w:ind/>
              <w:rPr/>
            </w:pPr>
            <w:r>
              <w:t xml:space="preserve">Substantial self, no-self, bundle/project, relational/normative, immortal soul, distributed personhood represented</w:t>
            </w:r>
            <w:r/>
          </w:p>
        </w:tc>
        <w:tc>
          <w:tcPr>
            <w:shd w:val="clear" w:color="auto" w:fill="f7f9fa"/>
            <w:tcBorders/>
            <w:tcMar>
              <w:left w:w="70" w:type="dxa"/>
              <w:top w:w="60" w:type="dxa"/>
              <w:right w:w="70" w:type="dxa"/>
              <w:bottom w:w="60" w:type="dxa"/>
            </w:tcMar>
            <w:tcW w:w="1110" w:type="dxa"/>
            <w:vAlign w:val="top"/>
          </w:tcPr>
          <w:p>
            <w:pPr>
              <w:pStyle w:val="1297"/>
              <w:pBdr/>
              <w:spacing/>
              <w:ind/>
              <w:rPr/>
            </w:pPr>
            <w:r>
              <w:t xml:space="preserve">Moderate</w:t>
            </w:r>
            <w:r/>
          </w:p>
        </w:tc>
        <w:tc>
          <w:tcPr>
            <w:shd w:val="clear" w:color="auto" w:fill="f7f9fa"/>
            <w:tcBorders/>
            <w:tcMar>
              <w:left w:w="70" w:type="dxa"/>
              <w:top w:w="60" w:type="dxa"/>
              <w:right w:w="70" w:type="dxa"/>
              <w:bottom w:w="60" w:type="dxa"/>
            </w:tcMar>
            <w:tcW w:w="6145" w:type="dxa"/>
            <w:vAlign w:val="top"/>
          </w:tcPr>
          <w:p>
            <w:pPr>
              <w:pStyle w:val="1297"/>
              <w:pBdr/>
              <w:spacing/>
              <w:ind/>
              <w:rPr/>
            </w:pPr>
            <w:r>
              <w:t xml:space="preserve">Local/community-grounded personhood evidence remains thin.</w:t>
            </w:r>
            <w:r/>
          </w:p>
        </w:tc>
      </w:tr>
      <w:tr>
        <w:trPr>
          <w:cantSplit/>
        </w:trPr>
        <w:tc>
          <w:tcPr>
            <w:tcBorders/>
            <w:tcMar>
              <w:left w:w="70" w:type="dxa"/>
              <w:top w:w="60" w:type="dxa"/>
              <w:right w:w="70" w:type="dxa"/>
              <w:bottom w:w="60" w:type="dxa"/>
            </w:tcMar>
            <w:tcW w:w="3036" w:type="dxa"/>
            <w:vAlign w:val="top"/>
          </w:tcPr>
          <w:p>
            <w:pPr>
              <w:pStyle w:val="1297"/>
              <w:pBdr/>
              <w:spacing/>
              <w:ind/>
              <w:rPr/>
            </w:pPr>
            <w:r>
              <w:t xml:space="preserve">Causal architecture</w:t>
            </w:r>
            <w:r/>
          </w:p>
        </w:tc>
        <w:tc>
          <w:tcPr>
            <w:tcBorders/>
            <w:tcMar>
              <w:left w:w="70" w:type="dxa"/>
              <w:top w:w="60" w:type="dxa"/>
              <w:right w:w="70" w:type="dxa"/>
              <w:bottom w:w="60" w:type="dxa"/>
            </w:tcMar>
            <w:tcW w:w="4961" w:type="dxa"/>
            <w:vAlign w:val="top"/>
          </w:tcPr>
          <w:p>
            <w:pPr>
              <w:pStyle w:val="1297"/>
              <w:pBdr/>
              <w:spacing/>
              <w:ind/>
              <w:rPr/>
            </w:pPr>
            <w:r>
              <w:t xml:space="preserve">Providence, fate, karma, necessity, closure, chance, dependent arising, causal critique represented</w:t>
            </w:r>
            <w:r/>
          </w:p>
        </w:tc>
        <w:tc>
          <w:tcPr>
            <w:tcBorders/>
            <w:tcMar>
              <w:left w:w="70" w:type="dxa"/>
              <w:top w:w="60" w:type="dxa"/>
              <w:right w:w="70" w:type="dxa"/>
              <w:bottom w:w="60" w:type="dxa"/>
            </w:tcMar>
            <w:tcW w:w="1110" w:type="dxa"/>
            <w:vAlign w:val="top"/>
          </w:tcPr>
          <w:p>
            <w:pPr>
              <w:pStyle w:val="1297"/>
              <w:pBdr/>
              <w:spacing/>
              <w:ind/>
              <w:rPr/>
            </w:pPr>
            <w:r>
              <w:t xml:space="preserve">Low</w:t>
            </w:r>
            <w:r/>
          </w:p>
        </w:tc>
        <w:tc>
          <w:tcPr>
            <w:tcBorders/>
            <w:tcMar>
              <w:left w:w="70" w:type="dxa"/>
              <w:top w:w="60" w:type="dxa"/>
              <w:right w:w="70" w:type="dxa"/>
              <w:bottom w:w="60" w:type="dxa"/>
            </w:tcMar>
            <w:tcW w:w="6145" w:type="dxa"/>
            <w:vAlign w:val="top"/>
          </w:tcPr>
          <w:p>
            <w:pPr>
              <w:pStyle w:val="1297"/>
              <w:pBdr/>
              <w:spacing/>
              <w:ind/>
              <w:rPr/>
            </w:pPr>
            <w:r>
              <w:t xml:space="preserve">Specialist genealogy needed for Avicenna/al-Ghazālī and Stoic reconstructions.</w:t>
            </w:r>
            <w:r/>
          </w:p>
        </w:tc>
      </w:tr>
      <w:tr>
        <w:trPr>
          <w:cantSplit/>
        </w:trPr>
        <w:tc>
          <w:tcPr>
            <w:shd w:val="clear" w:color="auto" w:fill="f7f9fa"/>
            <w:tcBorders/>
            <w:tcMar>
              <w:left w:w="70" w:type="dxa"/>
              <w:top w:w="60" w:type="dxa"/>
              <w:right w:w="70" w:type="dxa"/>
              <w:bottom w:w="60" w:type="dxa"/>
            </w:tcMar>
            <w:tcW w:w="3036" w:type="dxa"/>
            <w:vAlign w:val="top"/>
          </w:tcPr>
          <w:p>
            <w:pPr>
              <w:pStyle w:val="1297"/>
              <w:pBdr/>
              <w:spacing/>
              <w:ind/>
              <w:rPr/>
            </w:pPr>
            <w:r>
              <w:t xml:space="preserve">Agency model</w:t>
            </w:r>
            <w:r/>
          </w:p>
        </w:tc>
        <w:tc>
          <w:tcPr>
            <w:shd w:val="clear" w:color="auto" w:fill="f7f9fa"/>
            <w:tcBorders/>
            <w:tcMar>
              <w:left w:w="70" w:type="dxa"/>
              <w:top w:w="60" w:type="dxa"/>
              <w:right w:w="70" w:type="dxa"/>
              <w:bottom w:w="60" w:type="dxa"/>
            </w:tcMar>
            <w:tcW w:w="4961" w:type="dxa"/>
            <w:vAlign w:val="top"/>
          </w:tcPr>
          <w:p>
            <w:pPr>
              <w:pStyle w:val="1297"/>
              <w:pBdr/>
              <w:spacing/>
              <w:ind/>
              <w:rPr/>
            </w:pPr>
            <w:r>
              <w:t xml:space="preserve">Radical freedom, compatibilism, freedom-as-understanding, cultivated agency, spontaneous responsiveness represented</w:t>
            </w:r>
            <w:r/>
          </w:p>
        </w:tc>
        <w:tc>
          <w:tcPr>
            <w:shd w:val="clear" w:color="auto" w:fill="f7f9fa"/>
            <w:tcBorders/>
            <w:tcMar>
              <w:left w:w="70" w:type="dxa"/>
              <w:top w:w="60" w:type="dxa"/>
              <w:right w:w="70" w:type="dxa"/>
              <w:bottom w:w="60" w:type="dxa"/>
            </w:tcMar>
            <w:tcW w:w="1110" w:type="dxa"/>
            <w:vAlign w:val="top"/>
          </w:tcPr>
          <w:p>
            <w:pPr>
              <w:pStyle w:val="1297"/>
              <w:pBdr/>
              <w:spacing/>
              <w:ind/>
              <w:rPr/>
            </w:pPr>
            <w:r>
              <w:t xml:space="preserve">Low</w:t>
            </w:r>
            <w:r/>
          </w:p>
        </w:tc>
        <w:tc>
          <w:tcPr>
            <w:shd w:val="clear" w:color="auto" w:fill="f7f9fa"/>
            <w:tcBorders/>
            <w:tcMar>
              <w:left w:w="70" w:type="dxa"/>
              <w:top w:w="60" w:type="dxa"/>
              <w:right w:w="70" w:type="dxa"/>
              <w:bottom w:w="60" w:type="dxa"/>
            </w:tcMar>
            <w:tcW w:w="6145" w:type="dxa"/>
            <w:vAlign w:val="top"/>
          </w:tcPr>
          <w:p>
            <w:pPr>
              <w:pStyle w:val="1297"/>
              <w:pBdr/>
              <w:spacing/>
              <w:ind/>
              <w:rPr/>
            </w:pPr>
            <w:r>
              <w:t xml:space="preserve">Ifá destiny/agency treatment contingent.</w:t>
            </w:r>
            <w:r/>
          </w:p>
        </w:tc>
      </w:tr>
      <w:tr>
        <w:trPr>
          <w:cantSplit/>
        </w:trPr>
        <w:tc>
          <w:tcPr>
            <w:tcBorders/>
            <w:tcMar>
              <w:left w:w="70" w:type="dxa"/>
              <w:top w:w="60" w:type="dxa"/>
              <w:right w:w="70" w:type="dxa"/>
              <w:bottom w:w="60" w:type="dxa"/>
            </w:tcMar>
            <w:tcW w:w="3036" w:type="dxa"/>
            <w:vAlign w:val="top"/>
          </w:tcPr>
          <w:p>
            <w:pPr>
              <w:pStyle w:val="1297"/>
              <w:pBdr/>
              <w:spacing/>
              <w:ind/>
              <w:rPr/>
            </w:pPr>
            <w:r>
              <w:t xml:space="preserve">Praxis model</w:t>
            </w:r>
            <w:r/>
          </w:p>
        </w:tc>
        <w:tc>
          <w:tcPr>
            <w:tcBorders/>
            <w:tcMar>
              <w:left w:w="70" w:type="dxa"/>
              <w:top w:w="60" w:type="dxa"/>
              <w:right w:w="70" w:type="dxa"/>
              <w:bottom w:w="60" w:type="dxa"/>
            </w:tcMar>
            <w:tcW w:w="4961" w:type="dxa"/>
            <w:vAlign w:val="top"/>
          </w:tcPr>
          <w:p>
            <w:pPr>
              <w:pStyle w:val="1297"/>
              <w:pBdr/>
              <w:spacing/>
              <w:ind/>
              <w:rPr/>
            </w:pPr>
            <w:r>
              <w:t xml:space="preserve">Knowledge, contemplation, virtue, ritual, remembrance, divination, philosophical therapy represented</w:t>
            </w:r>
            <w:r/>
          </w:p>
        </w:tc>
        <w:tc>
          <w:tcPr>
            <w:tcBorders/>
            <w:tcMar>
              <w:left w:w="70" w:type="dxa"/>
              <w:top w:w="60" w:type="dxa"/>
              <w:right w:w="70" w:type="dxa"/>
              <w:bottom w:w="60" w:type="dxa"/>
            </w:tcMar>
            <w:tcW w:w="1110" w:type="dxa"/>
            <w:vAlign w:val="top"/>
          </w:tcPr>
          <w:p>
            <w:pPr>
              <w:pStyle w:val="1297"/>
              <w:pBdr/>
              <w:spacing/>
              <w:ind/>
              <w:rPr/>
            </w:pPr>
            <w:r>
              <w:t xml:space="preserve">Moderate</w:t>
            </w:r>
            <w:r/>
          </w:p>
        </w:tc>
        <w:tc>
          <w:tcPr>
            <w:tcBorders/>
            <w:tcMar>
              <w:left w:w="70" w:type="dxa"/>
              <w:top w:w="60" w:type="dxa"/>
              <w:right w:w="70" w:type="dxa"/>
              <w:bottom w:w="60" w:type="dxa"/>
            </w:tcMar>
            <w:tcW w:w="6145" w:type="dxa"/>
            <w:vAlign w:val="top"/>
          </w:tcPr>
          <w:p>
            <w:pPr>
              <w:pStyle w:val="1297"/>
              <w:pBdr/>
              <w:spacing/>
              <w:ind/>
              <w:rPr/>
            </w:pPr>
            <w:r>
              <w:t xml:space="preserve">Performance and lived-practice source depth remains uneven.</w:t>
            </w:r>
            <w:r/>
          </w:p>
        </w:tc>
      </w:tr>
      <w:tr>
        <w:trPr>
          <w:cantSplit/>
        </w:trPr>
        <w:tc>
          <w:tcPr>
            <w:shd w:val="clear" w:color="auto" w:fill="f7f9fa"/>
            <w:tcBorders/>
            <w:tcMar>
              <w:left w:w="70" w:type="dxa"/>
              <w:top w:w="60" w:type="dxa"/>
              <w:right w:w="70" w:type="dxa"/>
              <w:bottom w:w="60" w:type="dxa"/>
            </w:tcMar>
            <w:tcW w:w="3036" w:type="dxa"/>
            <w:vAlign w:val="top"/>
          </w:tcPr>
          <w:p>
            <w:pPr>
              <w:pStyle w:val="1297"/>
              <w:pBdr/>
              <w:spacing/>
              <w:ind/>
              <w:rPr/>
            </w:pPr>
            <w:r>
              <w:t xml:space="preserve">Death/continuity</w:t>
            </w:r>
            <w:r/>
          </w:p>
        </w:tc>
        <w:tc>
          <w:tcPr>
            <w:shd w:val="clear" w:color="auto" w:fill="f7f9fa"/>
            <w:tcBorders/>
            <w:tcMar>
              <w:left w:w="70" w:type="dxa"/>
              <w:top w:w="60" w:type="dxa"/>
              <w:right w:w="70" w:type="dxa"/>
              <w:bottom w:w="60" w:type="dxa"/>
            </w:tcMar>
            <w:tcW w:w="4961" w:type="dxa"/>
            <w:vAlign w:val="top"/>
          </w:tcPr>
          <w:p>
            <w:pPr>
              <w:pStyle w:val="1297"/>
              <w:pBdr/>
              <w:spacing/>
              <w:ind/>
              <w:rPr/>
            </w:pPr>
            <w:r>
              <w:t xml:space="preserve">Resurrection, rebirth, soul survival, release, extinction, underdetermination represented</w:t>
            </w:r>
            <w:r/>
          </w:p>
        </w:tc>
        <w:tc>
          <w:tcPr>
            <w:shd w:val="clear" w:color="auto" w:fill="f7f9fa"/>
            <w:tcBorders/>
            <w:tcMar>
              <w:left w:w="70" w:type="dxa"/>
              <w:top w:w="60" w:type="dxa"/>
              <w:right w:w="70" w:type="dxa"/>
              <w:bottom w:w="60" w:type="dxa"/>
            </w:tcMar>
            <w:tcW w:w="1110" w:type="dxa"/>
            <w:vAlign w:val="top"/>
          </w:tcPr>
          <w:p>
            <w:pPr>
              <w:pStyle w:val="1297"/>
              <w:pBdr/>
              <w:spacing/>
              <w:ind/>
              <w:rPr/>
            </w:pPr>
            <w:r>
              <w:t xml:space="preserve">Low</w:t>
            </w:r>
            <w:r/>
          </w:p>
        </w:tc>
        <w:tc>
          <w:tcPr>
            <w:shd w:val="clear" w:color="auto" w:fill="f7f9fa"/>
            <w:tcBorders/>
            <w:tcMar>
              <w:left w:w="70" w:type="dxa"/>
              <w:top w:w="60" w:type="dxa"/>
              <w:right w:w="70" w:type="dxa"/>
              <w:bottom w:w="60" w:type="dxa"/>
            </w:tcMar>
            <w:tcW w:w="6145" w:type="dxa"/>
            <w:vAlign w:val="top"/>
          </w:tcPr>
          <w:p>
            <w:pPr>
              <w:pStyle w:val="1297"/>
              <w:pBdr/>
              <w:spacing/>
              <w:ind/>
              <w:rPr/>
            </w:pPr>
            <w:r>
              <w:t xml:space="preserve">Keep witness/text boundaries exact.</w:t>
            </w:r>
            <w:r/>
          </w:p>
        </w:tc>
      </w:tr>
      <w:tr>
        <w:trPr>
          <w:cantSplit/>
        </w:trPr>
        <w:tc>
          <w:tcPr>
            <w:tcBorders/>
            <w:tcMar>
              <w:left w:w="70" w:type="dxa"/>
              <w:top w:w="60" w:type="dxa"/>
              <w:right w:w="70" w:type="dxa"/>
              <w:bottom w:w="60" w:type="dxa"/>
            </w:tcMar>
            <w:tcW w:w="3036" w:type="dxa"/>
            <w:vAlign w:val="top"/>
          </w:tcPr>
          <w:p>
            <w:pPr>
              <w:pStyle w:val="1297"/>
              <w:pBdr/>
              <w:spacing/>
              <w:ind/>
              <w:rPr/>
            </w:pPr>
            <w:r>
              <w:t xml:space="preserve">Telos / no-telos</w:t>
            </w:r>
            <w:r/>
          </w:p>
        </w:tc>
        <w:tc>
          <w:tcPr>
            <w:tcBorders/>
            <w:tcMar>
              <w:left w:w="70" w:type="dxa"/>
              <w:top w:w="60" w:type="dxa"/>
              <w:right w:w="70" w:type="dxa"/>
              <w:bottom w:w="60" w:type="dxa"/>
            </w:tcMar>
            <w:tcW w:w="4961" w:type="dxa"/>
            <w:vAlign w:val="top"/>
          </w:tcPr>
          <w:p>
            <w:pPr>
              <w:pStyle w:val="1297"/>
              <w:pBdr/>
              <w:spacing/>
              <w:ind/>
              <w:rPr/>
            </w:pPr>
            <w:r>
              <w:t xml:space="preserve">Liberation, theosis/epektasis, sagehood, tranquility, authenticity, no cosmic end represented</w:t>
            </w:r>
            <w:r/>
          </w:p>
        </w:tc>
        <w:tc>
          <w:tcPr>
            <w:tcBorders/>
            <w:tcMar>
              <w:left w:w="70" w:type="dxa"/>
              <w:top w:w="60" w:type="dxa"/>
              <w:right w:w="70" w:type="dxa"/>
              <w:bottom w:w="60" w:type="dxa"/>
            </w:tcMar>
            <w:tcW w:w="1110" w:type="dxa"/>
            <w:vAlign w:val="top"/>
          </w:tcPr>
          <w:p>
            <w:pPr>
              <w:pStyle w:val="1297"/>
              <w:pBdr/>
              <w:spacing/>
              <w:ind/>
              <w:rPr/>
            </w:pPr>
            <w:r>
              <w:t xml:space="preserve">Low</w:t>
            </w:r>
            <w:r/>
          </w:p>
        </w:tc>
        <w:tc>
          <w:tcPr>
            <w:tcBorders/>
            <w:tcMar>
              <w:left w:w="70" w:type="dxa"/>
              <w:top w:w="60" w:type="dxa"/>
              <w:right w:w="70" w:type="dxa"/>
              <w:bottom w:w="60" w:type="dxa"/>
            </w:tcMar>
            <w:tcW w:w="6145" w:type="dxa"/>
            <w:vAlign w:val="top"/>
          </w:tcPr>
          <w:p>
            <w:pPr>
              <w:pStyle w:val="1297"/>
              <w:pBdr/>
              <w:spacing/>
              <w:ind/>
              <w:rPr/>
            </w:pPr>
            <w:r>
              <w:t xml:space="preserve">Do not force partial analytic positions to answer D14.</w:t>
            </w:r>
            <w:r/>
          </w:p>
        </w:tc>
      </w:tr>
      <w:tr>
        <w:trPr>
          <w:cantSplit/>
        </w:trPr>
        <w:tc>
          <w:tcPr>
            <w:shd w:val="clear" w:color="auto" w:fill="f7f9fa"/>
            <w:tcBorders/>
            <w:tcMar>
              <w:left w:w="70" w:type="dxa"/>
              <w:top w:w="60" w:type="dxa"/>
              <w:right w:w="70" w:type="dxa"/>
              <w:bottom w:w="60" w:type="dxa"/>
            </w:tcMar>
            <w:tcW w:w="3036" w:type="dxa"/>
            <w:vAlign w:val="top"/>
          </w:tcPr>
          <w:p>
            <w:pPr>
              <w:pStyle w:val="1297"/>
              <w:pBdr/>
              <w:spacing/>
              <w:ind/>
              <w:rPr/>
            </w:pPr>
            <w:r>
              <w:t xml:space="preserve">World relation</w:t>
            </w:r>
            <w:r/>
          </w:p>
        </w:tc>
        <w:tc>
          <w:tcPr>
            <w:shd w:val="clear" w:color="auto" w:fill="f7f9fa"/>
            <w:tcBorders/>
            <w:tcMar>
              <w:left w:w="70" w:type="dxa"/>
              <w:top w:w="60" w:type="dxa"/>
              <w:right w:w="70" w:type="dxa"/>
              <w:bottom w:w="60" w:type="dxa"/>
            </w:tcMar>
            <w:tcW w:w="4961" w:type="dxa"/>
            <w:vAlign w:val="top"/>
          </w:tcPr>
          <w:p>
            <w:pPr>
              <w:pStyle w:val="1297"/>
              <w:pBdr/>
              <w:spacing/>
              <w:ind/>
              <w:rPr/>
            </w:pPr>
            <w:r>
              <w:t xml:space="preserve">Exit, participation, transfiguration, nonattachment, harmony, household engagement, non-providential enjoyment represented</w:t>
            </w:r>
            <w:r/>
          </w:p>
        </w:tc>
        <w:tc>
          <w:tcPr>
            <w:shd w:val="clear" w:color="auto" w:fill="f7f9fa"/>
            <w:tcBorders/>
            <w:tcMar>
              <w:left w:w="70" w:type="dxa"/>
              <w:top w:w="60" w:type="dxa"/>
              <w:right w:w="70" w:type="dxa"/>
              <w:bottom w:w="60" w:type="dxa"/>
            </w:tcMar>
            <w:tcW w:w="1110" w:type="dxa"/>
            <w:vAlign w:val="top"/>
          </w:tcPr>
          <w:p>
            <w:pPr>
              <w:pStyle w:val="1297"/>
              <w:pBdr/>
              <w:spacing/>
              <w:ind/>
              <w:rPr/>
            </w:pPr>
            <w:r>
              <w:t xml:space="preserve">Moderate</w:t>
            </w:r>
            <w:r/>
          </w:p>
        </w:tc>
        <w:tc>
          <w:tcPr>
            <w:shd w:val="clear" w:color="auto" w:fill="f7f9fa"/>
            <w:tcBorders/>
            <w:tcMar>
              <w:left w:w="70" w:type="dxa"/>
              <w:top w:w="60" w:type="dxa"/>
              <w:right w:w="70" w:type="dxa"/>
              <w:bottom w:w="60" w:type="dxa"/>
            </w:tcMar>
            <w:tcW w:w="6145" w:type="dxa"/>
            <w:vAlign w:val="top"/>
          </w:tcPr>
          <w:p>
            <w:pPr>
              <w:pStyle w:val="1297"/>
              <w:pBdr/>
              <w:spacing/>
              <w:ind/>
              <w:rPr/>
            </w:pPr>
            <w:r>
              <w:t xml:space="preserve">Indigenous/local relational world-orientations remain under-validated.</w:t>
            </w:r>
            <w:r/>
          </w:p>
        </w:tc>
      </w:tr>
      <w:tr>
        <w:trPr>
          <w:cantSplit/>
        </w:trPr>
        <w:tc>
          <w:tcPr>
            <w:tcBorders/>
            <w:tcMar>
              <w:left w:w="70" w:type="dxa"/>
              <w:top w:w="60" w:type="dxa"/>
              <w:right w:w="70" w:type="dxa"/>
              <w:bottom w:w="60" w:type="dxa"/>
            </w:tcMar>
            <w:tcW w:w="3036" w:type="dxa"/>
            <w:vAlign w:val="top"/>
          </w:tcPr>
          <w:p>
            <w:pPr>
              <w:pStyle w:val="1297"/>
              <w:pBdr/>
              <w:spacing/>
              <w:ind/>
              <w:rPr/>
            </w:pPr>
            <w:r>
              <w:t xml:space="preserve">Category refusals</w:t>
            </w:r>
            <w:r/>
          </w:p>
        </w:tc>
        <w:tc>
          <w:tcPr>
            <w:tcBorders/>
            <w:tcMar>
              <w:left w:w="70" w:type="dxa"/>
              <w:top w:w="60" w:type="dxa"/>
              <w:right w:w="70" w:type="dxa"/>
              <w:bottom w:w="60" w:type="dxa"/>
            </w:tcMar>
            <w:tcW w:w="4961" w:type="dxa"/>
            <w:vAlign w:val="top"/>
          </w:tcPr>
          <w:p>
            <w:pPr>
              <w:pStyle w:val="1297"/>
              <w:pBdr/>
              <w:spacing/>
              <w:ind/>
              <w:rPr/>
            </w:pPr>
            <w:r>
              <w:t xml:space="preserve">Madhyamaka, Zhuangzi, illusionism, negative theology, partial theses provide strong REF/CAT/UND pressure</w:t>
            </w:r>
            <w:r/>
          </w:p>
        </w:tc>
        <w:tc>
          <w:tcPr>
            <w:tcBorders/>
            <w:tcMar>
              <w:left w:w="70" w:type="dxa"/>
              <w:top w:w="60" w:type="dxa"/>
              <w:right w:w="70" w:type="dxa"/>
              <w:bottom w:w="60" w:type="dxa"/>
            </w:tcMar>
            <w:tcW w:w="1110" w:type="dxa"/>
            <w:vAlign w:val="top"/>
          </w:tcPr>
          <w:p>
            <w:pPr>
              <w:pStyle w:val="1297"/>
              <w:pBdr/>
              <w:spacing/>
              <w:ind/>
              <w:rPr/>
            </w:pPr>
            <w:r>
              <w:t xml:space="preserve">Low</w:t>
            </w:r>
            <w:r/>
          </w:p>
        </w:tc>
        <w:tc>
          <w:tcPr>
            <w:tcBorders/>
            <w:tcMar>
              <w:left w:w="70" w:type="dxa"/>
              <w:top w:w="60" w:type="dxa"/>
              <w:right w:w="70" w:type="dxa"/>
              <w:bottom w:w="60" w:type="dxa"/>
            </w:tcMar>
            <w:tcW w:w="6145" w:type="dxa"/>
            <w:vAlign w:val="top"/>
          </w:tcPr>
          <w:p>
            <w:pPr>
              <w:pStyle w:val="1297"/>
              <w:pBdr/>
              <w:spacing/>
              <w:ind/>
              <w:rPr/>
            </w:pPr>
            <w:r>
              <w:t xml:space="preserve">Use them throughout as tests, not exceptional footnotes.</w:t>
            </w:r>
            <w:r/>
          </w:p>
        </w:tc>
      </w:tr>
      <w:tr>
        <w:trPr>
          <w:cantSplit/>
        </w:trPr>
        <w:tc>
          <w:tcPr>
            <w:shd w:val="clear" w:color="auto" w:fill="f7f9fa"/>
            <w:tcBorders/>
            <w:tcMar>
              <w:left w:w="70" w:type="dxa"/>
              <w:top w:w="60" w:type="dxa"/>
              <w:right w:w="70" w:type="dxa"/>
              <w:bottom w:w="60" w:type="dxa"/>
            </w:tcMar>
            <w:tcW w:w="3036" w:type="dxa"/>
            <w:vAlign w:val="top"/>
          </w:tcPr>
          <w:p>
            <w:pPr>
              <w:pStyle w:val="1297"/>
              <w:pBdr/>
              <w:spacing/>
              <w:ind/>
              <w:rPr/>
            </w:pPr>
            <w:r>
              <w:t xml:space="preserve">Underrepresented solution-spaces</w:t>
            </w:r>
            <w:r/>
          </w:p>
        </w:tc>
        <w:tc>
          <w:tcPr>
            <w:shd w:val="clear" w:color="auto" w:fill="f7f9fa"/>
            <w:tcBorders/>
            <w:tcMar>
              <w:left w:w="70" w:type="dxa"/>
              <w:top w:w="60" w:type="dxa"/>
              <w:right w:w="70" w:type="dxa"/>
              <w:bottom w:w="60" w:type="dxa"/>
            </w:tcMar>
            <w:tcW w:w="4961" w:type="dxa"/>
            <w:vAlign w:val="top"/>
          </w:tcPr>
          <w:p>
            <w:pPr>
              <w:pStyle w:val="1297"/>
              <w:pBdr/>
              <w:spacing/>
              <w:ind/>
              <w:rPr/>
            </w:pPr>
            <w:r>
              <w:t xml:space="preserve">Relational Indigenous/local ontologies; some African metaphysical systems; Mesoamerican philosophical reconstruction</w:t>
            </w:r>
            <w:r/>
          </w:p>
        </w:tc>
        <w:tc>
          <w:tcPr>
            <w:shd w:val="clear" w:color="auto" w:fill="f7f9fa"/>
            <w:tcBorders/>
            <w:tcMar>
              <w:left w:w="70" w:type="dxa"/>
              <w:top w:w="60" w:type="dxa"/>
              <w:right w:w="70" w:type="dxa"/>
              <w:bottom w:w="60" w:type="dxa"/>
            </w:tcMar>
            <w:tcW w:w="1110" w:type="dxa"/>
            <w:vAlign w:val="top"/>
          </w:tcPr>
          <w:p>
            <w:pPr>
              <w:pStyle w:val="1297"/>
              <w:pBdr/>
              <w:spacing/>
              <w:ind/>
              <w:rPr/>
            </w:pPr>
            <w:r>
              <w:t xml:space="preserve">High</w:t>
            </w:r>
            <w:r/>
          </w:p>
        </w:tc>
        <w:tc>
          <w:tcPr>
            <w:shd w:val="clear" w:color="auto" w:fill="f7f9fa"/>
            <w:tcBorders/>
            <w:tcMar>
              <w:left w:w="70" w:type="dxa"/>
              <w:top w:w="60" w:type="dxa"/>
              <w:right w:w="70" w:type="dxa"/>
              <w:bottom w:w="60" w:type="dxa"/>
            </w:tcMar>
            <w:tcW w:w="6145" w:type="dxa"/>
            <w:vAlign w:val="top"/>
          </w:tcPr>
          <w:p>
            <w:pPr>
              <w:pStyle w:val="1297"/>
              <w:pBdr/>
              <w:spacing/>
              <w:ind/>
              <w:rPr/>
            </w:pPr>
            <w:r>
              <w:t xml:space="preserve">Research queue rather than print inflation; promotion only after evidence/representation gates.</w:t>
            </w:r>
            <w:r/>
          </w:p>
        </w:tc>
      </w:tr>
    </w:tbl>
    <w:p>
      <w:pPr>
        <w:pStyle w:val="1300"/>
        <w:pBdr/>
        <w:spacing/>
        <w:ind/>
        <w:rPr/>
      </w:pPr>
      <w:r/>
      <w:r/>
    </w:p>
    <w:p>
      <w:pPr>
        <w:pStyle w:val="1136"/>
        <w:keepNext w:val="true"/>
        <w:keepLines w:val="true"/>
        <w:pBdr/>
        <w:spacing/>
        <w:ind/>
        <w:rPr/>
      </w:pPr>
      <w:r/>
      <w:bookmarkStart w:id="192" w:name="B2"/>
      <w:r>
        <w:t xml:space="preserve">B2. Editorial chapter manifest</w:t>
      </w:r>
      <w:bookmarkEnd w:id="192"/>
      <w:r/>
      <w:r/>
    </w:p>
    <w:p>
      <w:pPr>
        <w:pStyle w:val="1184"/>
        <w:keepNext w:val="true"/>
        <w:keepLines w:val="true"/>
        <w:pBdr/>
        <w:spacing/>
        <w:ind/>
        <w:rPr/>
      </w:pPr>
      <w:r/>
      <w:bookmarkStart w:id="193" w:name="T_EDITORIAL_MANIFEST"/>
      <w:r>
        <w:t xml:space="preserve">Derived — Editorial chapter manifest; source: Part II chapter briefs</w:t>
      </w:r>
      <w:bookmarkEnd w:id="193"/>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610"/>
        <w:gridCol w:w="1983"/>
        <w:gridCol w:w="1830"/>
        <w:gridCol w:w="3508"/>
        <w:gridCol w:w="3356"/>
        <w:gridCol w:w="3051"/>
        <w:gridCol w:w="915"/>
      </w:tblGrid>
      <w:tr>
        <w:trPr>
          <w:cantSplit/>
          <w:tblHeader/>
        </w:trPr>
        <w:tc>
          <w:tcPr>
            <w:shd w:val="clear" w:color="auto" w:fill="1f5a73"/>
            <w:tcBorders/>
            <w:tcMar>
              <w:left w:w="70" w:type="dxa"/>
              <w:top w:w="60" w:type="dxa"/>
              <w:right w:w="70" w:type="dxa"/>
              <w:bottom w:w="60" w:type="dxa"/>
            </w:tcMar>
            <w:tcW w:w="610" w:type="dxa"/>
            <w:vAlign w:val="top"/>
          </w:tcPr>
          <w:p>
            <w:pPr>
              <w:pStyle w:val="1299"/>
              <w:pBdr/>
              <w:spacing/>
              <w:ind/>
              <w:rPr/>
            </w:pPr>
            <w:r>
              <w:t xml:space="preserve">Ch.</w:t>
            </w:r>
            <w:r/>
          </w:p>
        </w:tc>
        <w:tc>
          <w:tcPr>
            <w:shd w:val="clear" w:color="auto" w:fill="1f5a73"/>
            <w:tcBorders/>
            <w:tcMar>
              <w:left w:w="70" w:type="dxa"/>
              <w:top w:w="60" w:type="dxa"/>
              <w:right w:w="70" w:type="dxa"/>
              <w:bottom w:w="60" w:type="dxa"/>
            </w:tcMar>
            <w:tcW w:w="1983" w:type="dxa"/>
            <w:vAlign w:val="top"/>
          </w:tcPr>
          <w:p>
            <w:pPr>
              <w:pStyle w:val="1299"/>
              <w:pBdr/>
              <w:spacing/>
              <w:ind/>
              <w:rPr/>
            </w:pPr>
            <w:r>
              <w:t xml:space="preserve">Chapter</w:t>
            </w:r>
            <w:r/>
          </w:p>
        </w:tc>
        <w:tc>
          <w:tcPr>
            <w:shd w:val="clear" w:color="auto" w:fill="1f5a73"/>
            <w:tcBorders/>
            <w:tcMar>
              <w:left w:w="70" w:type="dxa"/>
              <w:top w:w="60" w:type="dxa"/>
              <w:right w:w="70" w:type="dxa"/>
              <w:bottom w:w="60" w:type="dxa"/>
            </w:tcMar>
            <w:tcW w:w="1830" w:type="dxa"/>
            <w:vAlign w:val="top"/>
          </w:tcPr>
          <w:p>
            <w:pPr>
              <w:pStyle w:val="1299"/>
              <w:pBdr/>
              <w:spacing/>
              <w:ind/>
              <w:rPr/>
            </w:pPr>
            <w:r>
              <w:t xml:space="preserve">Volume / Part</w:t>
            </w:r>
            <w:r/>
          </w:p>
        </w:tc>
        <w:tc>
          <w:tcPr>
            <w:shd w:val="clear" w:color="auto" w:fill="1f5a73"/>
            <w:tcBorders/>
            <w:tcMar>
              <w:left w:w="70" w:type="dxa"/>
              <w:top w:w="60" w:type="dxa"/>
              <w:right w:w="70" w:type="dxa"/>
              <w:bottom w:w="60" w:type="dxa"/>
            </w:tcMar>
            <w:tcW w:w="3508" w:type="dxa"/>
            <w:vAlign w:val="top"/>
          </w:tcPr>
          <w:p>
            <w:pPr>
              <w:pStyle w:val="1299"/>
              <w:pBdr/>
              <w:spacing/>
              <w:ind/>
              <w:rPr/>
            </w:pPr>
            <w:r>
              <w:t xml:space="preserve">Purpose</w:t>
            </w:r>
            <w:r/>
          </w:p>
        </w:tc>
        <w:tc>
          <w:tcPr>
            <w:shd w:val="clear" w:color="auto" w:fill="1f5a73"/>
            <w:tcBorders/>
            <w:tcMar>
              <w:left w:w="70" w:type="dxa"/>
              <w:top w:w="60" w:type="dxa"/>
              <w:right w:w="70" w:type="dxa"/>
              <w:bottom w:w="60" w:type="dxa"/>
            </w:tcMar>
            <w:tcW w:w="3356" w:type="dxa"/>
            <w:vAlign w:val="top"/>
          </w:tcPr>
          <w:p>
            <w:pPr>
              <w:pStyle w:val="1299"/>
              <w:pBdr/>
              <w:spacing/>
              <w:ind/>
              <w:rPr/>
            </w:pPr>
            <w:r>
              <w:t xml:space="preserve">Position scope</w:t>
            </w:r>
            <w:r/>
          </w:p>
        </w:tc>
        <w:tc>
          <w:tcPr>
            <w:shd w:val="clear" w:color="auto" w:fill="1f5a73"/>
            <w:tcBorders/>
            <w:tcMar>
              <w:left w:w="70" w:type="dxa"/>
              <w:top w:w="60" w:type="dxa"/>
              <w:right w:w="70" w:type="dxa"/>
              <w:bottom w:w="60" w:type="dxa"/>
            </w:tcMar>
            <w:tcW w:w="3051" w:type="dxa"/>
            <w:vAlign w:val="top"/>
          </w:tcPr>
          <w:p>
            <w:pPr>
              <w:pStyle w:val="1299"/>
              <w:pBdr/>
              <w:spacing/>
              <w:ind/>
              <w:rPr/>
            </w:pPr>
            <w:r>
              <w:t xml:space="preserve">Primary domains</w:t>
            </w:r>
            <w:r/>
          </w:p>
        </w:tc>
        <w:tc>
          <w:tcPr>
            <w:shd w:val="clear" w:color="auto" w:fill="1f5a73"/>
            <w:tcBorders/>
            <w:tcMar>
              <w:left w:w="70" w:type="dxa"/>
              <w:top w:w="60" w:type="dxa"/>
              <w:right w:w="70" w:type="dxa"/>
              <w:bottom w:w="60" w:type="dxa"/>
            </w:tcMar>
            <w:tcW w:w="915" w:type="dxa"/>
            <w:vAlign w:val="top"/>
          </w:tcPr>
          <w:p>
            <w:pPr>
              <w:pStyle w:val="1299"/>
              <w:pBdr/>
              <w:spacing/>
              <w:ind/>
              <w:rPr/>
            </w:pPr>
            <w:r>
              <w:t xml:space="preserve">Words</w:t>
            </w:r>
            <w:r/>
          </w:p>
        </w:tc>
      </w:tr>
      <w:tr>
        <w:trPr>
          <w:cantSplit/>
        </w:trPr>
        <w:tc>
          <w:tcPr>
            <w:tcBorders/>
            <w:tcMar>
              <w:left w:w="70" w:type="dxa"/>
              <w:top w:w="60" w:type="dxa"/>
              <w:right w:w="70" w:type="dxa"/>
              <w:bottom w:w="60" w:type="dxa"/>
            </w:tcMar>
            <w:tcW w:w="610" w:type="dxa"/>
            <w:vAlign w:val="top"/>
          </w:tcPr>
          <w:p>
            <w:pPr>
              <w:pStyle w:val="1297"/>
              <w:pBdr/>
              <w:spacing/>
              <w:ind/>
              <w:rPr/>
            </w:pPr>
            <w:r>
              <w:t xml:space="preserve">1</w:t>
            </w:r>
            <w:r/>
          </w:p>
        </w:tc>
        <w:tc>
          <w:tcPr>
            <w:tcBorders/>
            <w:tcMar>
              <w:left w:w="70" w:type="dxa"/>
              <w:top w:w="60" w:type="dxa"/>
              <w:right w:w="70" w:type="dxa"/>
              <w:bottom w:w="60" w:type="dxa"/>
            </w:tcMar>
            <w:tcW w:w="1983" w:type="dxa"/>
            <w:vAlign w:val="top"/>
          </w:tcPr>
          <w:p>
            <w:pPr>
              <w:pStyle w:val="1297"/>
              <w:pBdr/>
              <w:spacing/>
              <w:ind/>
              <w:rPr/>
            </w:pPr>
            <w:r>
              <w:t xml:space="preserve">From Worldview Labels to Bounded Architectures</w:t>
            </w:r>
            <w:r/>
          </w:p>
        </w:tc>
        <w:tc>
          <w:tcPr>
            <w:tcBorders/>
            <w:tcMar>
              <w:left w:w="70" w:type="dxa"/>
              <w:top w:w="60" w:type="dxa"/>
              <w:right w:w="70" w:type="dxa"/>
              <w:bottom w:w="60" w:type="dxa"/>
            </w:tcMar>
            <w:tcW w:w="1830" w:type="dxa"/>
            <w:vAlign w:val="top"/>
          </w:tcPr>
          <w:p>
            <w:pPr>
              <w:pStyle w:val="1297"/>
              <w:pBdr/>
              <w:spacing/>
              <w:ind/>
              <w:rPr/>
            </w:pPr>
            <w:r>
              <w:t xml:space="preserve">Volume I / Publication Part I — HOW COMPARISON BECOMES AN ARGUMENT</w:t>
            </w:r>
            <w:r/>
          </w:p>
        </w:tc>
        <w:tc>
          <w:tcPr>
            <w:tcBorders/>
            <w:tcMar>
              <w:left w:w="70" w:type="dxa"/>
              <w:top w:w="60" w:type="dxa"/>
              <w:right w:w="70" w:type="dxa"/>
              <w:bottom w:w="60" w:type="dxa"/>
            </w:tcMar>
            <w:tcW w:w="3508" w:type="dxa"/>
            <w:vAlign w:val="top"/>
          </w:tcPr>
          <w:p>
            <w:pPr>
              <w:pStyle w:val="1297"/>
              <w:pBdr/>
              <w:spacing/>
              <w:ind/>
              <w:rPr/>
            </w:pPr>
            <w:r>
              <w:t xml:space="preserve">Establish the reader-facing object of comparison and show why religions, civilizations, and scientific fields cannot function as single answer-sets.</w:t>
            </w:r>
            <w:r/>
          </w:p>
        </w:tc>
        <w:tc>
          <w:tcPr>
            <w:tcBorders/>
            <w:tcMar>
              <w:left w:w="70" w:type="dxa"/>
              <w:top w:w="60" w:type="dxa"/>
              <w:right w:w="70" w:type="dxa"/>
              <w:bottom w:w="60" w:type="dxa"/>
            </w:tcMar>
            <w:tcW w:w="3356" w:type="dxa"/>
            <w:vAlign w:val="top"/>
          </w:tcPr>
          <w:p>
            <w:pPr>
              <w:pStyle w:val="1297"/>
              <w:pBdr/>
              <w:spacing/>
              <w:ind/>
              <w:rPr/>
            </w:pPr>
            <w:r>
              <w:t xml:space="preserve">Core: Gregory; Nāgārjuna; source-bounded Ifá; Papineau physicalism; constitutive micropsychism; Comparators: Achuar as a held stress case</w:t>
            </w:r>
            <w:r/>
          </w:p>
        </w:tc>
        <w:tc>
          <w:tcPr>
            <w:tcBorders/>
            <w:tcMar>
              <w:left w:w="70" w:type="dxa"/>
              <w:top w:w="60" w:type="dxa"/>
              <w:right w:w="70" w:type="dxa"/>
              <w:bottom w:w="60" w:type="dxa"/>
            </w:tcMar>
            <w:tcW w:w="3051" w:type="dxa"/>
            <w:vAlign w:val="top"/>
          </w:tcPr>
          <w:p>
            <w:pPr>
              <w:pStyle w:val="1297"/>
              <w:pBdr/>
              <w:spacing/>
              <w:ind/>
              <w:rPr/>
            </w:pPr>
            <w:r>
              <w:t xml:space="preserve">D1 (Ontology &amp; ultimacy)–D15 (World relation &amp; normativ</w:t>
            </w:r>
            <w:r>
              <w:t xml:space="preserve">e orientation) as the underlying coverage framework; especially D3 (World-partitioning, materiality &amp; human/nonhuman relations), D5 (Mind &amp; consciousness)/D6 (Self, personhood &amp; identity), D10 (Causal order &amp; dependence)/D11 (Agency, freedom &amp; constraint).</w:t>
            </w:r>
            <w:r/>
          </w:p>
        </w:tc>
        <w:tc>
          <w:tcPr>
            <w:tcBorders/>
            <w:tcMar>
              <w:left w:w="70" w:type="dxa"/>
              <w:top w:w="60" w:type="dxa"/>
              <w:right w:w="70" w:type="dxa"/>
              <w:bottom w:w="60" w:type="dxa"/>
            </w:tcMar>
            <w:tcW w:w="915" w:type="dxa"/>
            <w:vAlign w:val="top"/>
          </w:tcPr>
          <w:p>
            <w:pPr>
              <w:pStyle w:val="1297"/>
              <w:pBdr/>
              <w:spacing/>
              <w:ind/>
              <w:rPr/>
            </w:pPr>
            <w:r>
              <w:t xml:space="preserve">10,000</w:t>
            </w:r>
            <w:r/>
          </w:p>
        </w:tc>
      </w:tr>
      <w:tr>
        <w:trPr>
          <w:cantSplit/>
        </w:trPr>
        <w:tc>
          <w:tcPr>
            <w:shd w:val="clear" w:color="auto" w:fill="f7f9fa"/>
            <w:tcBorders/>
            <w:tcMar>
              <w:left w:w="70" w:type="dxa"/>
              <w:top w:w="60" w:type="dxa"/>
              <w:right w:w="70" w:type="dxa"/>
              <w:bottom w:w="60" w:type="dxa"/>
            </w:tcMar>
            <w:tcW w:w="610" w:type="dxa"/>
            <w:vAlign w:val="top"/>
          </w:tcPr>
          <w:p>
            <w:pPr>
              <w:pStyle w:val="1297"/>
              <w:pBdr/>
              <w:spacing/>
              <w:ind/>
              <w:rPr/>
            </w:pPr>
            <w:r>
              <w:t xml:space="preserve">2</w:t>
            </w:r>
            <w:r/>
          </w:p>
        </w:tc>
        <w:tc>
          <w:tcPr>
            <w:shd w:val="clear" w:color="auto" w:fill="f7f9fa"/>
            <w:tcBorders/>
            <w:tcMar>
              <w:left w:w="70" w:type="dxa"/>
              <w:top w:w="60" w:type="dxa"/>
              <w:right w:w="70" w:type="dxa"/>
              <w:bottom w:w="60" w:type="dxa"/>
            </w:tcMar>
            <w:tcW w:w="1983" w:type="dxa"/>
            <w:vAlign w:val="top"/>
          </w:tcPr>
          <w:p>
            <w:pPr>
              <w:pStyle w:val="1297"/>
              <w:pBdr/>
              <w:spacing/>
              <w:ind/>
              <w:rPr/>
            </w:pPr>
            <w:r>
              <w:t xml:space="preserve">Comparing Without Collapsing</w:t>
            </w:r>
            <w:r/>
          </w:p>
        </w:tc>
        <w:tc>
          <w:tcPr>
            <w:shd w:val="clear" w:color="auto" w:fill="f7f9fa"/>
            <w:tcBorders/>
            <w:tcMar>
              <w:left w:w="70" w:type="dxa"/>
              <w:top w:w="60" w:type="dxa"/>
              <w:right w:w="70" w:type="dxa"/>
              <w:bottom w:w="60" w:type="dxa"/>
            </w:tcMar>
            <w:tcW w:w="1830" w:type="dxa"/>
            <w:vAlign w:val="top"/>
          </w:tcPr>
          <w:p>
            <w:pPr>
              <w:pStyle w:val="1297"/>
              <w:pBdr/>
              <w:spacing/>
              <w:ind/>
              <w:rPr/>
            </w:pPr>
            <w:r>
              <w:t xml:space="preserve">Volume I / Publication Part I — HOW COMPARISON BECOMES AN ARGUMENT</w:t>
            </w:r>
            <w:r/>
          </w:p>
        </w:tc>
        <w:tc>
          <w:tcPr>
            <w:shd w:val="clear" w:color="auto" w:fill="f7f9fa"/>
            <w:tcBorders/>
            <w:tcMar>
              <w:left w:w="70" w:type="dxa"/>
              <w:top w:w="60" w:type="dxa"/>
              <w:right w:w="70" w:type="dxa"/>
              <w:bottom w:w="60" w:type="dxa"/>
            </w:tcMar>
            <w:tcW w:w="3508" w:type="dxa"/>
            <w:vAlign w:val="top"/>
          </w:tcPr>
          <w:p>
            <w:pPr>
              <w:pStyle w:val="1297"/>
              <w:pBdr/>
              <w:spacing/>
              <w:ind/>
              <w:rPr/>
            </w:pPr>
            <w:r>
              <w:t xml:space="preserve">Give readers the minimal conceptual machinery needed to distinguish useful analogy from semantic identity, equivalence, or genealogy.</w:t>
            </w:r>
            <w:r/>
          </w:p>
        </w:tc>
        <w:tc>
          <w:tcPr>
            <w:shd w:val="clear" w:color="auto" w:fill="f7f9fa"/>
            <w:tcBorders/>
            <w:tcMar>
              <w:left w:w="70" w:type="dxa"/>
              <w:top w:w="60" w:type="dxa"/>
              <w:right w:w="70" w:type="dxa"/>
              <w:bottom w:w="60" w:type="dxa"/>
            </w:tcMar>
            <w:tcW w:w="3356" w:type="dxa"/>
            <w:vAlign w:val="top"/>
          </w:tcPr>
          <w:p>
            <w:pPr>
              <w:pStyle w:val="1297"/>
              <w:pBdr/>
              <w:spacing/>
              <w:ind/>
              <w:rPr/>
            </w:pPr>
            <w:r>
              <w:t xml:space="preserve">Core: Śaṅkara; Nāgārjuna; Gregory; Apocryphon; constitutive micropsychism; Ibn ʿArabī; Comparators: Leibniz; Plotinus</w:t>
            </w:r>
            <w:r/>
          </w:p>
        </w:tc>
        <w:tc>
          <w:tcPr>
            <w:shd w:val="clear" w:color="auto" w:fill="f7f9fa"/>
            <w:tcBorders/>
            <w:tcMar>
              <w:left w:w="70" w:type="dxa"/>
              <w:top w:w="60" w:type="dxa"/>
              <w:right w:w="70" w:type="dxa"/>
              <w:bottom w:w="60" w:type="dxa"/>
            </w:tcMar>
            <w:tcW w:w="3051" w:type="dxa"/>
            <w:vAlign w:val="top"/>
          </w:tcPr>
          <w:p>
            <w:pPr>
              <w:pStyle w:val="1297"/>
              <w:pBdr/>
              <w:spacing/>
              <w:ind/>
              <w:rPr/>
            </w:pPr>
            <w:r>
              <w:t xml:space="preserve">Cross-domain; especially D1 (Ontology &amp; ultimacy), D5 (Mind &amp; consciousness), D6 (Self, personhood &amp; identity), D10 (Causal order &amp; dependence), D14 (Telos / desired condition).</w:t>
            </w:r>
            <w:r/>
          </w:p>
        </w:tc>
        <w:tc>
          <w:tcPr>
            <w:shd w:val="clear" w:color="auto" w:fill="f7f9fa"/>
            <w:tcBorders/>
            <w:tcMar>
              <w:left w:w="70" w:type="dxa"/>
              <w:top w:w="60" w:type="dxa"/>
              <w:right w:w="70" w:type="dxa"/>
              <w:bottom w:w="60" w:type="dxa"/>
            </w:tcMar>
            <w:tcW w:w="915" w:type="dxa"/>
            <w:vAlign w:val="top"/>
          </w:tcPr>
          <w:p>
            <w:pPr>
              <w:pStyle w:val="1297"/>
              <w:pBdr/>
              <w:spacing/>
              <w:ind/>
              <w:rPr/>
            </w:pPr>
            <w:r>
              <w:t xml:space="preserve">12,000</w:t>
            </w:r>
            <w:r/>
          </w:p>
        </w:tc>
      </w:tr>
      <w:tr>
        <w:trPr>
          <w:cantSplit/>
        </w:trPr>
        <w:tc>
          <w:tcPr>
            <w:tcBorders/>
            <w:tcMar>
              <w:left w:w="70" w:type="dxa"/>
              <w:top w:w="60" w:type="dxa"/>
              <w:right w:w="70" w:type="dxa"/>
              <w:bottom w:w="60" w:type="dxa"/>
            </w:tcMar>
            <w:tcW w:w="610" w:type="dxa"/>
            <w:vAlign w:val="top"/>
          </w:tcPr>
          <w:p>
            <w:pPr>
              <w:pStyle w:val="1297"/>
              <w:pBdr/>
              <w:spacing/>
              <w:ind/>
              <w:rPr/>
            </w:pPr>
            <w:r>
              <w:t xml:space="preserve">3</w:t>
            </w:r>
            <w:r/>
          </w:p>
        </w:tc>
        <w:tc>
          <w:tcPr>
            <w:tcBorders/>
            <w:tcMar>
              <w:left w:w="70" w:type="dxa"/>
              <w:top w:w="60" w:type="dxa"/>
              <w:right w:w="70" w:type="dxa"/>
              <w:bottom w:w="60" w:type="dxa"/>
            </w:tcMar>
            <w:tcW w:w="1983" w:type="dxa"/>
            <w:vAlign w:val="top"/>
          </w:tcPr>
          <w:p>
            <w:pPr>
              <w:pStyle w:val="1297"/>
              <w:pBdr/>
              <w:spacing/>
              <w:ind/>
              <w:rPr/>
            </w:pPr>
            <w:r>
              <w:t xml:space="preserve">Can Reality Have No Ground?</w:t>
            </w:r>
            <w:r/>
          </w:p>
        </w:tc>
        <w:tc>
          <w:tcPr>
            <w:tcBorders/>
            <w:tcMar>
              <w:left w:w="70" w:type="dxa"/>
              <w:top w:w="60" w:type="dxa"/>
              <w:right w:w="70" w:type="dxa"/>
              <w:bottom w:w="60" w:type="dxa"/>
            </w:tcMar>
            <w:tcW w:w="1830" w:type="dxa"/>
            <w:vAlign w:val="top"/>
          </w:tcPr>
          <w:p>
            <w:pPr>
              <w:pStyle w:val="1297"/>
              <w:pBdr/>
              <w:spacing/>
              <w:ind/>
              <w:rPr/>
            </w:pPr>
            <w:r>
              <w:t xml:space="preserve">Volume I / Publication Part II — GROUNDS AND WORLDS</w:t>
            </w:r>
            <w:r/>
          </w:p>
        </w:tc>
        <w:tc>
          <w:tcPr>
            <w:tcBorders/>
            <w:tcMar>
              <w:left w:w="70" w:type="dxa"/>
              <w:top w:w="60" w:type="dxa"/>
              <w:right w:w="70" w:type="dxa"/>
              <w:bottom w:w="60" w:type="dxa"/>
            </w:tcMar>
            <w:tcW w:w="3508" w:type="dxa"/>
            <w:vAlign w:val="top"/>
          </w:tcPr>
          <w:p>
            <w:pPr>
              <w:pStyle w:val="1297"/>
              <w:pBdr/>
              <w:spacing/>
              <w:ind/>
              <w:rPr/>
            </w:pPr>
            <w:r>
              <w:t xml:space="preserve">Compare claims of foundational reality with a position that refuses a self-subsistent ground.</w:t>
            </w:r>
            <w:r/>
          </w:p>
        </w:tc>
        <w:tc>
          <w:tcPr>
            <w:tcBorders/>
            <w:tcMar>
              <w:left w:w="70" w:type="dxa"/>
              <w:top w:w="60" w:type="dxa"/>
              <w:right w:w="70" w:type="dxa"/>
              <w:bottom w:w="60" w:type="dxa"/>
            </w:tcMar>
            <w:tcW w:w="3356" w:type="dxa"/>
            <w:vAlign w:val="top"/>
          </w:tcPr>
          <w:p>
            <w:pPr>
              <w:pStyle w:val="1297"/>
              <w:pBdr/>
              <w:spacing/>
              <w:ind/>
              <w:rPr/>
            </w:pPr>
            <w:r>
              <w:t xml:space="preserve">Core: Nāgārjuna; Śaṅkara; Spinoza; Maimonides; Zhuangzi as counterpressure; Comparators: None beyond the named core positions in the current chapter contract.</w:t>
            </w:r>
            <w:r/>
          </w:p>
        </w:tc>
        <w:tc>
          <w:tcPr>
            <w:tcBorders/>
            <w:tcMar>
              <w:left w:w="70" w:type="dxa"/>
              <w:top w:w="60" w:type="dxa"/>
              <w:right w:w="70" w:type="dxa"/>
              <w:bottom w:w="60" w:type="dxa"/>
            </w:tcMar>
            <w:tcW w:w="3051" w:type="dxa"/>
            <w:vAlign w:val="top"/>
          </w:tcPr>
          <w:p>
            <w:pPr>
              <w:pStyle w:val="1297"/>
              <w:pBdr/>
              <w:spacing/>
              <w:ind/>
              <w:rPr/>
            </w:pPr>
            <w:r>
              <w:t xml:space="preserve">D1 (Ontology &amp; ultimacy) D2 (Cosmogenesis &amp; world structure) D7 (Epistemology &amp; authority) D14 (Telos / desired condition).</w:t>
            </w:r>
            <w:r/>
          </w:p>
        </w:tc>
        <w:tc>
          <w:tcPr>
            <w:tcBorders/>
            <w:tcMar>
              <w:left w:w="70" w:type="dxa"/>
              <w:top w:w="60" w:type="dxa"/>
              <w:right w:w="70" w:type="dxa"/>
              <w:bottom w:w="60" w:type="dxa"/>
            </w:tcMar>
            <w:tcW w:w="915" w:type="dxa"/>
            <w:vAlign w:val="top"/>
          </w:tcPr>
          <w:p>
            <w:pPr>
              <w:pStyle w:val="1297"/>
              <w:pBdr/>
              <w:spacing/>
              <w:ind/>
              <w:rPr/>
            </w:pPr>
            <w:r>
              <w:t xml:space="preserve">13,000</w:t>
            </w:r>
            <w:r/>
          </w:p>
        </w:tc>
      </w:tr>
      <w:tr>
        <w:trPr>
          <w:cantSplit/>
        </w:trPr>
        <w:tc>
          <w:tcPr>
            <w:shd w:val="clear" w:color="auto" w:fill="f7f9fa"/>
            <w:tcBorders/>
            <w:tcMar>
              <w:left w:w="70" w:type="dxa"/>
              <w:top w:w="60" w:type="dxa"/>
              <w:right w:w="70" w:type="dxa"/>
              <w:bottom w:w="60" w:type="dxa"/>
            </w:tcMar>
            <w:tcW w:w="610" w:type="dxa"/>
            <w:vAlign w:val="top"/>
          </w:tcPr>
          <w:p>
            <w:pPr>
              <w:pStyle w:val="1297"/>
              <w:pBdr/>
              <w:spacing/>
              <w:ind/>
              <w:rPr/>
            </w:pPr>
            <w:r>
              <w:t xml:space="preserve">4</w:t>
            </w:r>
            <w:r/>
          </w:p>
        </w:tc>
        <w:tc>
          <w:tcPr>
            <w:shd w:val="clear" w:color="auto" w:fill="f7f9fa"/>
            <w:tcBorders/>
            <w:tcMar>
              <w:left w:w="70" w:type="dxa"/>
              <w:top w:w="60" w:type="dxa"/>
              <w:right w:w="70" w:type="dxa"/>
              <w:bottom w:w="60" w:type="dxa"/>
            </w:tcMar>
            <w:tcW w:w="1983" w:type="dxa"/>
            <w:vAlign w:val="top"/>
          </w:tcPr>
          <w:p>
            <w:pPr>
              <w:pStyle w:val="1297"/>
              <w:pBdr/>
              <w:spacing/>
              <w:ind/>
              <w:rPr/>
            </w:pPr>
            <w:r>
              <w:t xml:space="preserve">Must the Ultimate Be One?</w:t>
            </w:r>
            <w:r/>
          </w:p>
        </w:tc>
        <w:tc>
          <w:tcPr>
            <w:shd w:val="clear" w:color="auto" w:fill="f7f9fa"/>
            <w:tcBorders/>
            <w:tcMar>
              <w:left w:w="70" w:type="dxa"/>
              <w:top w:w="60" w:type="dxa"/>
              <w:right w:w="70" w:type="dxa"/>
              <w:bottom w:w="60" w:type="dxa"/>
            </w:tcMar>
            <w:tcW w:w="1830" w:type="dxa"/>
            <w:vAlign w:val="top"/>
          </w:tcPr>
          <w:p>
            <w:pPr>
              <w:pStyle w:val="1297"/>
              <w:pBdr/>
              <w:spacing/>
              <w:ind/>
              <w:rPr/>
            </w:pPr>
            <w:r>
              <w:t xml:space="preserve">Volume I / Publication Part II — GROUNDS AND WORLDS</w:t>
            </w:r>
            <w:r/>
          </w:p>
        </w:tc>
        <w:tc>
          <w:tcPr>
            <w:shd w:val="clear" w:color="auto" w:fill="f7f9fa"/>
            <w:tcBorders/>
            <w:tcMar>
              <w:left w:w="70" w:type="dxa"/>
              <w:top w:w="60" w:type="dxa"/>
              <w:right w:w="70" w:type="dxa"/>
              <w:bottom w:w="60" w:type="dxa"/>
            </w:tcMar>
            <w:tcW w:w="3508" w:type="dxa"/>
            <w:vAlign w:val="top"/>
          </w:tcPr>
          <w:p>
            <w:pPr>
              <w:pStyle w:val="1297"/>
              <w:pBdr/>
              <w:spacing/>
              <w:ind/>
              <w:rPr/>
            </w:pPr>
            <w:r>
              <w:t xml:space="preserve">Compare monist, dual-principle, pluralist, and emanative architectures without treating plurality as one axis.</w:t>
            </w:r>
            <w:r/>
          </w:p>
        </w:tc>
        <w:tc>
          <w:tcPr>
            <w:shd w:val="clear" w:color="auto" w:fill="f7f9fa"/>
            <w:tcBorders/>
            <w:tcMar>
              <w:left w:w="70" w:type="dxa"/>
              <w:top w:w="60" w:type="dxa"/>
              <w:right w:w="70" w:type="dxa"/>
              <w:bottom w:w="60" w:type="dxa"/>
            </w:tcMar>
            <w:tcW w:w="3356" w:type="dxa"/>
            <w:vAlign w:val="top"/>
          </w:tcPr>
          <w:p>
            <w:pPr>
              <w:pStyle w:val="1297"/>
              <w:pBdr/>
              <w:spacing/>
              <w:ind/>
              <w:rPr/>
            </w:pPr>
            <w:r>
              <w:t xml:space="preserve">Core: Spinoza; Sāṃkhya; Jaina synthesis; Ibn ʿArabī; micropsychism; Comparators: Plotinus</w:t>
            </w:r>
            <w:r/>
          </w:p>
        </w:tc>
        <w:tc>
          <w:tcPr>
            <w:shd w:val="clear" w:color="auto" w:fill="f7f9fa"/>
            <w:tcBorders/>
            <w:tcMar>
              <w:left w:w="70" w:type="dxa"/>
              <w:top w:w="60" w:type="dxa"/>
              <w:right w:w="70" w:type="dxa"/>
              <w:bottom w:w="60" w:type="dxa"/>
            </w:tcMar>
            <w:tcW w:w="3051" w:type="dxa"/>
            <w:vAlign w:val="top"/>
          </w:tcPr>
          <w:p>
            <w:pPr>
              <w:pStyle w:val="1297"/>
              <w:pBdr/>
              <w:spacing/>
              <w:ind/>
              <w:rPr/>
            </w:pPr>
            <w:r>
              <w:t xml:space="preserve">D1 (Ontology &amp; ultimacy) D2 (Cosmogenesis &amp; world structure) D5 (Mind &amp; consciousness) D10 (Causal order &amp; dependence).</w:t>
            </w:r>
            <w:r/>
          </w:p>
        </w:tc>
        <w:tc>
          <w:tcPr>
            <w:shd w:val="clear" w:color="auto" w:fill="f7f9fa"/>
            <w:tcBorders/>
            <w:tcMar>
              <w:left w:w="70" w:type="dxa"/>
              <w:top w:w="60" w:type="dxa"/>
              <w:right w:w="70" w:type="dxa"/>
              <w:bottom w:w="60" w:type="dxa"/>
            </w:tcMar>
            <w:tcW w:w="915" w:type="dxa"/>
            <w:vAlign w:val="top"/>
          </w:tcPr>
          <w:p>
            <w:pPr>
              <w:pStyle w:val="1297"/>
              <w:pBdr/>
              <w:spacing/>
              <w:ind/>
              <w:rPr/>
            </w:pPr>
            <w:r>
              <w:t xml:space="preserve">13,000</w:t>
            </w:r>
            <w:r/>
          </w:p>
        </w:tc>
      </w:tr>
      <w:tr>
        <w:trPr>
          <w:cantSplit/>
        </w:trPr>
        <w:tc>
          <w:tcPr>
            <w:tcBorders/>
            <w:tcMar>
              <w:left w:w="70" w:type="dxa"/>
              <w:top w:w="60" w:type="dxa"/>
              <w:right w:w="70" w:type="dxa"/>
              <w:bottom w:w="60" w:type="dxa"/>
            </w:tcMar>
            <w:tcW w:w="610" w:type="dxa"/>
            <w:vAlign w:val="top"/>
          </w:tcPr>
          <w:p>
            <w:pPr>
              <w:pStyle w:val="1297"/>
              <w:pBdr/>
              <w:spacing/>
              <w:ind/>
              <w:rPr/>
            </w:pPr>
            <w:r>
              <w:t xml:space="preserve">5</w:t>
            </w:r>
            <w:r/>
          </w:p>
        </w:tc>
        <w:tc>
          <w:tcPr>
            <w:tcBorders/>
            <w:tcMar>
              <w:left w:w="70" w:type="dxa"/>
              <w:top w:w="60" w:type="dxa"/>
              <w:right w:w="70" w:type="dxa"/>
              <w:bottom w:w="60" w:type="dxa"/>
            </w:tcMar>
            <w:tcW w:w="1983" w:type="dxa"/>
            <w:vAlign w:val="top"/>
          </w:tcPr>
          <w:p>
            <w:pPr>
              <w:pStyle w:val="1297"/>
              <w:pBdr/>
              <w:spacing/>
              <w:ind/>
              <w:rPr/>
            </w:pPr>
            <w:r>
              <w:t xml:space="preserve">How Does a World Arise?</w:t>
            </w:r>
            <w:r/>
          </w:p>
        </w:tc>
        <w:tc>
          <w:tcPr>
            <w:tcBorders/>
            <w:tcMar>
              <w:left w:w="70" w:type="dxa"/>
              <w:top w:w="60" w:type="dxa"/>
              <w:right w:w="70" w:type="dxa"/>
              <w:bottom w:w="60" w:type="dxa"/>
            </w:tcMar>
            <w:tcW w:w="1830" w:type="dxa"/>
            <w:vAlign w:val="top"/>
          </w:tcPr>
          <w:p>
            <w:pPr>
              <w:pStyle w:val="1297"/>
              <w:pBdr/>
              <w:spacing/>
              <w:ind/>
              <w:rPr/>
            </w:pPr>
            <w:r>
              <w:t xml:space="preserve">Volume I / Publication Part II — GROUNDS AND WORLDS</w:t>
            </w:r>
            <w:r/>
          </w:p>
        </w:tc>
        <w:tc>
          <w:tcPr>
            <w:tcBorders/>
            <w:tcMar>
              <w:left w:w="70" w:type="dxa"/>
              <w:top w:w="60" w:type="dxa"/>
              <w:right w:w="70" w:type="dxa"/>
              <w:bottom w:w="60" w:type="dxa"/>
            </w:tcMar>
            <w:tcW w:w="3508" w:type="dxa"/>
            <w:vAlign w:val="top"/>
          </w:tcPr>
          <w:p>
            <w:pPr>
              <w:pStyle w:val="1297"/>
              <w:pBdr/>
              <w:spacing/>
              <w:ind/>
              <w:rPr/>
            </w:pPr>
            <w:r>
              <w:t xml:space="preserve">Compare creation, emanation, manifestation, dependent arising, patterned generation, and non-teleological naturalism.</w:t>
            </w:r>
            <w:r/>
          </w:p>
        </w:tc>
        <w:tc>
          <w:tcPr>
            <w:tcBorders/>
            <w:tcMar>
              <w:left w:w="70" w:type="dxa"/>
              <w:top w:w="60" w:type="dxa"/>
              <w:right w:w="70" w:type="dxa"/>
              <w:bottom w:w="60" w:type="dxa"/>
            </w:tcMar>
            <w:tcW w:w="3356" w:type="dxa"/>
            <w:vAlign w:val="top"/>
          </w:tcPr>
          <w:p>
            <w:pPr>
              <w:pStyle w:val="1297"/>
              <w:pBdr/>
              <w:spacing/>
              <w:ind/>
              <w:rPr/>
            </w:pPr>
            <w:r>
              <w:t xml:space="preserve">Core: Gregory; Apocryphon; Nāgārjuna; Avicenna; Zhu Xi; Comparators: Plotinus; Epicurean atomism</w:t>
            </w:r>
            <w:r/>
          </w:p>
        </w:tc>
        <w:tc>
          <w:tcPr>
            <w:tcBorders/>
            <w:tcMar>
              <w:left w:w="70" w:type="dxa"/>
              <w:top w:w="60" w:type="dxa"/>
              <w:right w:w="70" w:type="dxa"/>
              <w:bottom w:w="60" w:type="dxa"/>
            </w:tcMar>
            <w:tcW w:w="3051" w:type="dxa"/>
            <w:vAlign w:val="top"/>
          </w:tcPr>
          <w:p>
            <w:pPr>
              <w:pStyle w:val="1297"/>
              <w:pBdr/>
              <w:spacing/>
              <w:ind/>
              <w:rPr/>
            </w:pPr>
            <w:r>
              <w:t xml:space="preserve">D2 (Cosmogenesis &amp; world structure) D10 (Causal order &amp; dependence); linked D1 (Ontology &amp; ultimacy) D15 (World relation &amp; normative orientation).</w:t>
            </w:r>
            <w:r/>
          </w:p>
        </w:tc>
        <w:tc>
          <w:tcPr>
            <w:tcBorders/>
            <w:tcMar>
              <w:left w:w="70" w:type="dxa"/>
              <w:top w:w="60" w:type="dxa"/>
              <w:right w:w="70" w:type="dxa"/>
              <w:bottom w:w="60" w:type="dxa"/>
            </w:tcMar>
            <w:tcW w:w="915" w:type="dxa"/>
            <w:vAlign w:val="top"/>
          </w:tcPr>
          <w:p>
            <w:pPr>
              <w:pStyle w:val="1297"/>
              <w:pBdr/>
              <w:spacing/>
              <w:ind/>
              <w:rPr/>
            </w:pPr>
            <w:r>
              <w:t xml:space="preserve">13,000</w:t>
            </w:r>
            <w:r/>
          </w:p>
        </w:tc>
      </w:tr>
      <w:tr>
        <w:trPr>
          <w:cantSplit/>
        </w:trPr>
        <w:tc>
          <w:tcPr>
            <w:shd w:val="clear" w:color="auto" w:fill="f7f9fa"/>
            <w:tcBorders/>
            <w:tcMar>
              <w:left w:w="70" w:type="dxa"/>
              <w:top w:w="60" w:type="dxa"/>
              <w:right w:w="70" w:type="dxa"/>
              <w:bottom w:w="60" w:type="dxa"/>
            </w:tcMar>
            <w:tcW w:w="610" w:type="dxa"/>
            <w:vAlign w:val="top"/>
          </w:tcPr>
          <w:p>
            <w:pPr>
              <w:pStyle w:val="1297"/>
              <w:pBdr/>
              <w:spacing/>
              <w:ind/>
              <w:rPr/>
            </w:pPr>
            <w:r>
              <w:t xml:space="preserve">6</w:t>
            </w:r>
            <w:r/>
          </w:p>
        </w:tc>
        <w:tc>
          <w:tcPr>
            <w:shd w:val="clear" w:color="auto" w:fill="f7f9fa"/>
            <w:tcBorders/>
            <w:tcMar>
              <w:left w:w="70" w:type="dxa"/>
              <w:top w:w="60" w:type="dxa"/>
              <w:right w:w="70" w:type="dxa"/>
              <w:bottom w:w="60" w:type="dxa"/>
            </w:tcMar>
            <w:tcW w:w="1983" w:type="dxa"/>
            <w:vAlign w:val="top"/>
          </w:tcPr>
          <w:p>
            <w:pPr>
              <w:pStyle w:val="1297"/>
              <w:pBdr/>
              <w:spacing/>
              <w:ind/>
              <w:rPr/>
            </w:pPr>
            <w:r>
              <w:t xml:space="preserve">What Kind of World Is This?</w:t>
            </w:r>
            <w:r/>
          </w:p>
        </w:tc>
        <w:tc>
          <w:tcPr>
            <w:shd w:val="clear" w:color="auto" w:fill="f7f9fa"/>
            <w:tcBorders/>
            <w:tcMar>
              <w:left w:w="70" w:type="dxa"/>
              <w:top w:w="60" w:type="dxa"/>
              <w:right w:w="70" w:type="dxa"/>
              <w:bottom w:w="60" w:type="dxa"/>
            </w:tcMar>
            <w:tcW w:w="1830" w:type="dxa"/>
            <w:vAlign w:val="top"/>
          </w:tcPr>
          <w:p>
            <w:pPr>
              <w:pStyle w:val="1297"/>
              <w:pBdr/>
              <w:spacing/>
              <w:ind/>
              <w:rPr/>
            </w:pPr>
            <w:r>
              <w:t xml:space="preserve">Volume I / Publication Part II — GROUNDS AND WORLDS</w:t>
            </w:r>
            <w:r/>
          </w:p>
        </w:tc>
        <w:tc>
          <w:tcPr>
            <w:shd w:val="clear" w:color="auto" w:fill="f7f9fa"/>
            <w:tcBorders/>
            <w:tcMar>
              <w:left w:w="70" w:type="dxa"/>
              <w:top w:w="60" w:type="dxa"/>
              <w:right w:w="70" w:type="dxa"/>
              <w:bottom w:w="60" w:type="dxa"/>
            </w:tcMar>
            <w:tcW w:w="3508" w:type="dxa"/>
            <w:vAlign w:val="top"/>
          </w:tcPr>
          <w:p>
            <w:pPr>
              <w:pStyle w:val="1297"/>
              <w:pBdr/>
              <w:spacing/>
              <w:ind/>
              <w:rPr/>
            </w:pPr>
            <w:r>
              <w:t xml:space="preserve">Compare defective, good, empty/dependently arisen, relational, patterned, and non-providential worlds, with special care around human/nonhuman partitions.</w:t>
            </w:r>
            <w:r/>
          </w:p>
        </w:tc>
        <w:tc>
          <w:tcPr>
            <w:shd w:val="clear" w:color="auto" w:fill="f7f9fa"/>
            <w:tcBorders/>
            <w:tcMar>
              <w:left w:w="70" w:type="dxa"/>
              <w:top w:w="60" w:type="dxa"/>
              <w:right w:w="70" w:type="dxa"/>
              <w:bottom w:w="60" w:type="dxa"/>
            </w:tcMar>
            <w:tcW w:w="3356" w:type="dxa"/>
            <w:vAlign w:val="top"/>
          </w:tcPr>
          <w:p>
            <w:pPr>
              <w:pStyle w:val="1297"/>
              <w:pBdr/>
              <w:spacing/>
              <w:ind/>
              <w:rPr/>
            </w:pPr>
            <w:r>
              <w:t xml:space="preserve">Core: Apocryphon; Gregory; Zhu Xi; Zhuangzi; Ifá; Guru Nanak; Comparators: Achuar held comparator; Epicureanism</w:t>
            </w:r>
            <w:r/>
          </w:p>
        </w:tc>
        <w:tc>
          <w:tcPr>
            <w:shd w:val="clear" w:color="auto" w:fill="f7f9fa"/>
            <w:tcBorders/>
            <w:tcMar>
              <w:left w:w="70" w:type="dxa"/>
              <w:top w:w="60" w:type="dxa"/>
              <w:right w:w="70" w:type="dxa"/>
              <w:bottom w:w="60" w:type="dxa"/>
            </w:tcMar>
            <w:tcW w:w="3051" w:type="dxa"/>
            <w:vAlign w:val="top"/>
          </w:tcPr>
          <w:p>
            <w:pPr>
              <w:pStyle w:val="1297"/>
              <w:pBdr/>
              <w:spacing/>
              <w:ind/>
              <w:rPr/>
            </w:pPr>
            <w:r>
              <w:t xml:space="preserve">D3 (World-partitioning, materiality &amp; human/nonhuman relations) D8 (Axiology, meaning &amp; value) D15 (World relation &amp; normative orientation); linked D2 (Cosmogenesis &amp; world structure) D14 (Telos / desired condition).</w:t>
            </w:r>
            <w:r/>
          </w:p>
        </w:tc>
        <w:tc>
          <w:tcPr>
            <w:shd w:val="clear" w:color="auto" w:fill="f7f9fa"/>
            <w:tcBorders/>
            <w:tcMar>
              <w:left w:w="70" w:type="dxa"/>
              <w:top w:w="60" w:type="dxa"/>
              <w:right w:w="70" w:type="dxa"/>
              <w:bottom w:w="60" w:type="dxa"/>
            </w:tcMar>
            <w:tcW w:w="915" w:type="dxa"/>
            <w:vAlign w:val="top"/>
          </w:tcPr>
          <w:p>
            <w:pPr>
              <w:pStyle w:val="1297"/>
              <w:pBdr/>
              <w:spacing/>
              <w:ind/>
              <w:rPr/>
            </w:pPr>
            <w:r>
              <w:t xml:space="preserve">13,000</w:t>
            </w:r>
            <w:r/>
          </w:p>
        </w:tc>
      </w:tr>
      <w:tr>
        <w:trPr>
          <w:cantSplit/>
        </w:trPr>
        <w:tc>
          <w:tcPr>
            <w:tcBorders/>
            <w:tcMar>
              <w:left w:w="70" w:type="dxa"/>
              <w:top w:w="60" w:type="dxa"/>
              <w:right w:w="70" w:type="dxa"/>
              <w:bottom w:w="60" w:type="dxa"/>
            </w:tcMar>
            <w:tcW w:w="610" w:type="dxa"/>
            <w:vAlign w:val="top"/>
          </w:tcPr>
          <w:p>
            <w:pPr>
              <w:pStyle w:val="1297"/>
              <w:pBdr/>
              <w:spacing/>
              <w:ind/>
              <w:rPr/>
            </w:pPr>
            <w:r>
              <w:t xml:space="preserve">7</w:t>
            </w:r>
            <w:r/>
          </w:p>
        </w:tc>
        <w:tc>
          <w:tcPr>
            <w:tcBorders/>
            <w:tcMar>
              <w:left w:w="70" w:type="dxa"/>
              <w:top w:w="60" w:type="dxa"/>
              <w:right w:w="70" w:type="dxa"/>
              <w:bottom w:w="60" w:type="dxa"/>
            </w:tcMar>
            <w:tcW w:w="1983" w:type="dxa"/>
            <w:vAlign w:val="top"/>
          </w:tcPr>
          <w:p>
            <w:pPr>
              <w:pStyle w:val="1297"/>
              <w:pBdr/>
              <w:spacing/>
              <w:ind/>
              <w:rPr/>
            </w:pPr>
            <w:r>
              <w:t xml:space="preserve">What Is Consciousness Made Of—or Is It Made at All?</w:t>
            </w:r>
            <w:r/>
          </w:p>
        </w:tc>
        <w:tc>
          <w:tcPr>
            <w:tcBorders/>
            <w:tcMar>
              <w:left w:w="70" w:type="dxa"/>
              <w:top w:w="60" w:type="dxa"/>
              <w:right w:w="70" w:type="dxa"/>
              <w:bottom w:w="60" w:type="dxa"/>
            </w:tcMar>
            <w:tcW w:w="1830" w:type="dxa"/>
            <w:vAlign w:val="top"/>
          </w:tcPr>
          <w:p>
            <w:pPr>
              <w:pStyle w:val="1297"/>
              <w:pBdr/>
              <w:spacing/>
              <w:ind/>
              <w:rPr/>
            </w:pPr>
            <w:r>
              <w:t xml:space="preserve">Volume I / Publication Part III — MINDS, SELVES, PERSONS</w:t>
            </w:r>
            <w:r/>
          </w:p>
        </w:tc>
        <w:tc>
          <w:tcPr>
            <w:tcBorders/>
            <w:tcMar>
              <w:left w:w="70" w:type="dxa"/>
              <w:top w:w="60" w:type="dxa"/>
              <w:right w:w="70" w:type="dxa"/>
              <w:bottom w:w="60" w:type="dxa"/>
            </w:tcMar>
            <w:tcW w:w="3508" w:type="dxa"/>
            <w:vAlign w:val="top"/>
          </w:tcPr>
          <w:p>
            <w:pPr>
              <w:pStyle w:val="1297"/>
              <w:pBdr/>
              <w:spacing/>
              <w:ind/>
              <w:rPr/>
            </w:pPr>
            <w:r>
              <w:t xml:space="preserve">Map contemporary and historical architectures of consciousness without conflating consciousness with selfhood.</w:t>
            </w:r>
            <w:r/>
          </w:p>
        </w:tc>
        <w:tc>
          <w:tcPr>
            <w:tcBorders/>
            <w:tcMar>
              <w:left w:w="70" w:type="dxa"/>
              <w:top w:w="60" w:type="dxa"/>
              <w:right w:w="70" w:type="dxa"/>
              <w:bottom w:w="60" w:type="dxa"/>
            </w:tcMar>
            <w:tcW w:w="3356" w:type="dxa"/>
            <w:vAlign w:val="top"/>
          </w:tcPr>
          <w:p>
            <w:pPr>
              <w:pStyle w:val="1297"/>
              <w:pBdr/>
              <w:spacing/>
              <w:ind/>
              <w:rPr/>
            </w:pPr>
            <w:r>
              <w:t xml:space="preserve">Core: Papineau physicalism; constitutive micropsychism; Sāṃkhya; Comparators: Chalmers stress case; Frankish stress case; Utpaladeva; Leibniz; Whitehead</w:t>
            </w:r>
            <w:r/>
          </w:p>
        </w:tc>
        <w:tc>
          <w:tcPr>
            <w:tcBorders/>
            <w:tcMar>
              <w:left w:w="70" w:type="dxa"/>
              <w:top w:w="60" w:type="dxa"/>
              <w:right w:w="70" w:type="dxa"/>
              <w:bottom w:w="60" w:type="dxa"/>
            </w:tcMar>
            <w:tcW w:w="3051" w:type="dxa"/>
            <w:vAlign w:val="top"/>
          </w:tcPr>
          <w:p>
            <w:pPr>
              <w:pStyle w:val="1297"/>
              <w:pBdr/>
              <w:spacing/>
              <w:ind/>
              <w:rPr/>
            </w:pPr>
            <w:r>
              <w:t xml:space="preserve">D5 (Mind &amp; consciousness) D1 (Ontology &amp; ultimacy) D10 (Causal order &amp; dependence).</w:t>
            </w:r>
            <w:r/>
          </w:p>
        </w:tc>
        <w:tc>
          <w:tcPr>
            <w:tcBorders/>
            <w:tcMar>
              <w:left w:w="70" w:type="dxa"/>
              <w:top w:w="60" w:type="dxa"/>
              <w:right w:w="70" w:type="dxa"/>
              <w:bottom w:w="60" w:type="dxa"/>
            </w:tcMar>
            <w:tcW w:w="915" w:type="dxa"/>
            <w:vAlign w:val="top"/>
          </w:tcPr>
          <w:p>
            <w:pPr>
              <w:pStyle w:val="1297"/>
              <w:pBdr/>
              <w:spacing/>
              <w:ind/>
              <w:rPr/>
            </w:pPr>
            <w:r>
              <w:t xml:space="preserve">13,000</w:t>
            </w:r>
            <w:r/>
          </w:p>
        </w:tc>
      </w:tr>
      <w:tr>
        <w:trPr>
          <w:cantSplit/>
        </w:trPr>
        <w:tc>
          <w:tcPr>
            <w:shd w:val="clear" w:color="auto" w:fill="f7f9fa"/>
            <w:tcBorders/>
            <w:tcMar>
              <w:left w:w="70" w:type="dxa"/>
              <w:top w:w="60" w:type="dxa"/>
              <w:right w:w="70" w:type="dxa"/>
              <w:bottom w:w="60" w:type="dxa"/>
            </w:tcMar>
            <w:tcW w:w="610" w:type="dxa"/>
            <w:vAlign w:val="top"/>
          </w:tcPr>
          <w:p>
            <w:pPr>
              <w:pStyle w:val="1297"/>
              <w:pBdr/>
              <w:spacing/>
              <w:ind/>
              <w:rPr/>
            </w:pPr>
            <w:r>
              <w:t xml:space="preserve">8</w:t>
            </w:r>
            <w:r/>
          </w:p>
        </w:tc>
        <w:tc>
          <w:tcPr>
            <w:shd w:val="clear" w:color="auto" w:fill="f7f9fa"/>
            <w:tcBorders/>
            <w:tcMar>
              <w:left w:w="70" w:type="dxa"/>
              <w:top w:w="60" w:type="dxa"/>
              <w:right w:w="70" w:type="dxa"/>
              <w:bottom w:w="60" w:type="dxa"/>
            </w:tcMar>
            <w:tcW w:w="1983" w:type="dxa"/>
            <w:vAlign w:val="top"/>
          </w:tcPr>
          <w:p>
            <w:pPr>
              <w:pStyle w:val="1297"/>
              <w:pBdr/>
              <w:spacing/>
              <w:ind/>
              <w:rPr/>
            </w:pPr>
            <w:r>
              <w:t xml:space="preserve">Is Consciousness a Self?</w:t>
            </w:r>
            <w:r/>
          </w:p>
        </w:tc>
        <w:tc>
          <w:tcPr>
            <w:shd w:val="clear" w:color="auto" w:fill="f7f9fa"/>
            <w:tcBorders/>
            <w:tcMar>
              <w:left w:w="70" w:type="dxa"/>
              <w:top w:w="60" w:type="dxa"/>
              <w:right w:w="70" w:type="dxa"/>
              <w:bottom w:w="60" w:type="dxa"/>
            </w:tcMar>
            <w:tcW w:w="1830" w:type="dxa"/>
            <w:vAlign w:val="top"/>
          </w:tcPr>
          <w:p>
            <w:pPr>
              <w:pStyle w:val="1297"/>
              <w:pBdr/>
              <w:spacing/>
              <w:ind/>
              <w:rPr/>
            </w:pPr>
            <w:r>
              <w:t xml:space="preserve">Volume I / Publication Part III — MINDS, SELVES, PERSONS</w:t>
            </w:r>
            <w:r/>
          </w:p>
        </w:tc>
        <w:tc>
          <w:tcPr>
            <w:shd w:val="clear" w:color="auto" w:fill="f7f9fa"/>
            <w:tcBorders/>
            <w:tcMar>
              <w:left w:w="70" w:type="dxa"/>
              <w:top w:w="60" w:type="dxa"/>
              <w:right w:w="70" w:type="dxa"/>
              <w:bottom w:w="60" w:type="dxa"/>
            </w:tcMar>
            <w:tcW w:w="3508" w:type="dxa"/>
            <w:vAlign w:val="top"/>
          </w:tcPr>
          <w:p>
            <w:pPr>
              <w:pStyle w:val="1297"/>
              <w:pBdr/>
              <w:spacing/>
              <w:ind/>
              <w:rPr/>
            </w:pPr>
            <w:r>
              <w:t xml:space="preserve">Separate awareness, subjectivity, self, person, and identity across positions.</w:t>
            </w:r>
            <w:r/>
          </w:p>
        </w:tc>
        <w:tc>
          <w:tcPr>
            <w:shd w:val="clear" w:color="auto" w:fill="f7f9fa"/>
            <w:tcBorders/>
            <w:tcMar>
              <w:left w:w="70" w:type="dxa"/>
              <w:top w:w="60" w:type="dxa"/>
              <w:right w:w="70" w:type="dxa"/>
              <w:bottom w:w="60" w:type="dxa"/>
            </w:tcMar>
            <w:tcW w:w="3356" w:type="dxa"/>
            <w:vAlign w:val="top"/>
          </w:tcPr>
          <w:p>
            <w:pPr>
              <w:pStyle w:val="1297"/>
              <w:pBdr/>
              <w:spacing/>
              <w:ind/>
              <w:rPr/>
            </w:pPr>
            <w:r>
              <w:t xml:space="preserve">Core: Śaṅkara; Nāgārjuna; Yogācāra; Sartre; Sāṃkhya; Comparators: Hume; Descartes</w:t>
            </w:r>
            <w:r/>
          </w:p>
        </w:tc>
        <w:tc>
          <w:tcPr>
            <w:shd w:val="clear" w:color="auto" w:fill="f7f9fa"/>
            <w:tcBorders/>
            <w:tcMar>
              <w:left w:w="70" w:type="dxa"/>
              <w:top w:w="60" w:type="dxa"/>
              <w:right w:w="70" w:type="dxa"/>
              <w:bottom w:w="60" w:type="dxa"/>
            </w:tcMar>
            <w:tcW w:w="3051" w:type="dxa"/>
            <w:vAlign w:val="top"/>
          </w:tcPr>
          <w:p>
            <w:pPr>
              <w:pStyle w:val="1297"/>
              <w:pBdr/>
              <w:spacing/>
              <w:ind/>
              <w:rPr/>
            </w:pPr>
            <w:r>
              <w:t xml:space="preserve">D5 (Mind &amp; consciousness) D6 (Self, personhood &amp; identity) D4 (Human constitution &amp; embodiment).</w:t>
            </w:r>
            <w:r/>
          </w:p>
        </w:tc>
        <w:tc>
          <w:tcPr>
            <w:shd w:val="clear" w:color="auto" w:fill="f7f9fa"/>
            <w:tcBorders/>
            <w:tcMar>
              <w:left w:w="70" w:type="dxa"/>
              <w:top w:w="60" w:type="dxa"/>
              <w:right w:w="70" w:type="dxa"/>
              <w:bottom w:w="60" w:type="dxa"/>
            </w:tcMar>
            <w:tcW w:w="915" w:type="dxa"/>
            <w:vAlign w:val="top"/>
          </w:tcPr>
          <w:p>
            <w:pPr>
              <w:pStyle w:val="1297"/>
              <w:pBdr/>
              <w:spacing/>
              <w:ind/>
              <w:rPr/>
            </w:pPr>
            <w:r>
              <w:t xml:space="preserve">12,000</w:t>
            </w:r>
            <w:r/>
          </w:p>
        </w:tc>
      </w:tr>
      <w:tr>
        <w:trPr>
          <w:cantSplit/>
        </w:trPr>
        <w:tc>
          <w:tcPr>
            <w:tcBorders/>
            <w:tcMar>
              <w:left w:w="70" w:type="dxa"/>
              <w:top w:w="60" w:type="dxa"/>
              <w:right w:w="70" w:type="dxa"/>
              <w:bottom w:w="60" w:type="dxa"/>
            </w:tcMar>
            <w:tcW w:w="610" w:type="dxa"/>
            <w:vAlign w:val="top"/>
          </w:tcPr>
          <w:p>
            <w:pPr>
              <w:pStyle w:val="1297"/>
              <w:pBdr/>
              <w:spacing/>
              <w:ind/>
              <w:rPr/>
            </w:pPr>
            <w:r>
              <w:t xml:space="preserve">9</w:t>
            </w:r>
            <w:r/>
          </w:p>
        </w:tc>
        <w:tc>
          <w:tcPr>
            <w:tcBorders/>
            <w:tcMar>
              <w:left w:w="70" w:type="dxa"/>
              <w:top w:w="60" w:type="dxa"/>
              <w:right w:w="70" w:type="dxa"/>
              <w:bottom w:w="60" w:type="dxa"/>
            </w:tcMar>
            <w:tcW w:w="1983" w:type="dxa"/>
            <w:vAlign w:val="top"/>
          </w:tcPr>
          <w:p>
            <w:pPr>
              <w:pStyle w:val="1297"/>
              <w:pBdr/>
              <w:spacing/>
              <w:ind/>
              <w:rPr/>
            </w:pPr>
            <w:r>
              <w:t xml:space="preserve">What Makes a Person Persist?</w:t>
            </w:r>
            <w:r/>
          </w:p>
        </w:tc>
        <w:tc>
          <w:tcPr>
            <w:tcBorders/>
            <w:tcMar>
              <w:left w:w="70" w:type="dxa"/>
              <w:top w:w="60" w:type="dxa"/>
              <w:right w:w="70" w:type="dxa"/>
              <w:bottom w:w="60" w:type="dxa"/>
            </w:tcMar>
            <w:tcW w:w="1830" w:type="dxa"/>
            <w:vAlign w:val="top"/>
          </w:tcPr>
          <w:p>
            <w:pPr>
              <w:pStyle w:val="1297"/>
              <w:pBdr/>
              <w:spacing/>
              <w:ind/>
              <w:rPr/>
            </w:pPr>
            <w:r>
              <w:t xml:space="preserve">Volume I / Publication Part III — MINDS, SELVES, PERSONS</w:t>
            </w:r>
            <w:r/>
          </w:p>
        </w:tc>
        <w:tc>
          <w:tcPr>
            <w:tcBorders/>
            <w:tcMar>
              <w:left w:w="70" w:type="dxa"/>
              <w:top w:w="60" w:type="dxa"/>
              <w:right w:w="70" w:type="dxa"/>
              <w:bottom w:w="60" w:type="dxa"/>
            </w:tcMar>
            <w:tcW w:w="3508" w:type="dxa"/>
            <w:vAlign w:val="top"/>
          </w:tcPr>
          <w:p>
            <w:pPr>
              <w:pStyle w:val="1297"/>
              <w:pBdr/>
              <w:spacing/>
              <w:ind/>
              <w:rPr/>
            </w:pPr>
            <w:r>
              <w:t xml:space="preserve">Link personal identity to embodiment, memory, rebirth, resurrection, and continuity without presupposing an immortal substance.</w:t>
            </w:r>
            <w:r/>
          </w:p>
        </w:tc>
        <w:tc>
          <w:tcPr>
            <w:tcBorders/>
            <w:tcMar>
              <w:left w:w="70" w:type="dxa"/>
              <w:top w:w="60" w:type="dxa"/>
              <w:right w:w="70" w:type="dxa"/>
              <w:bottom w:w="60" w:type="dxa"/>
            </w:tcMar>
            <w:tcW w:w="3356" w:type="dxa"/>
            <w:vAlign w:val="top"/>
          </w:tcPr>
          <w:p>
            <w:pPr>
              <w:pStyle w:val="1297"/>
              <w:pBdr/>
              <w:spacing/>
              <w:ind/>
              <w:rPr/>
            </w:pPr>
            <w:r>
              <w:t xml:space="preserve">Core: Gregory; Jaina synthesis; Yogācāra; Sartre; Avicenna; Comparators: Hume; Descartes</w:t>
            </w:r>
            <w:r/>
          </w:p>
        </w:tc>
        <w:tc>
          <w:tcPr>
            <w:tcBorders/>
            <w:tcMar>
              <w:left w:w="70" w:type="dxa"/>
              <w:top w:w="60" w:type="dxa"/>
              <w:right w:w="70" w:type="dxa"/>
              <w:bottom w:w="60" w:type="dxa"/>
            </w:tcMar>
            <w:tcW w:w="3051" w:type="dxa"/>
            <w:vAlign w:val="top"/>
          </w:tcPr>
          <w:p>
            <w:pPr>
              <w:pStyle w:val="1297"/>
              <w:pBdr/>
              <w:spacing/>
              <w:ind/>
              <w:rPr/>
            </w:pPr>
            <w:r>
              <w:t xml:space="preserve">D4 (Human constitution &amp; embodiment) D6 (Self, personhood &amp; identity) D13 (Death &amp; continuity).</w:t>
            </w:r>
            <w:r/>
          </w:p>
        </w:tc>
        <w:tc>
          <w:tcPr>
            <w:tcBorders/>
            <w:tcMar>
              <w:left w:w="70" w:type="dxa"/>
              <w:top w:w="60" w:type="dxa"/>
              <w:right w:w="70" w:type="dxa"/>
              <w:bottom w:w="60" w:type="dxa"/>
            </w:tcMar>
            <w:tcW w:w="915" w:type="dxa"/>
            <w:vAlign w:val="top"/>
          </w:tcPr>
          <w:p>
            <w:pPr>
              <w:pStyle w:val="1297"/>
              <w:pBdr/>
              <w:spacing/>
              <w:ind/>
              <w:rPr/>
            </w:pPr>
            <w:r>
              <w:t xml:space="preserve">11,000</w:t>
            </w:r>
            <w:r/>
          </w:p>
        </w:tc>
      </w:tr>
      <w:tr>
        <w:trPr>
          <w:cantSplit/>
        </w:trPr>
        <w:tc>
          <w:tcPr>
            <w:shd w:val="clear" w:color="auto" w:fill="f7f9fa"/>
            <w:tcBorders/>
            <w:tcMar>
              <w:left w:w="70" w:type="dxa"/>
              <w:top w:w="60" w:type="dxa"/>
              <w:right w:w="70" w:type="dxa"/>
              <w:bottom w:w="60" w:type="dxa"/>
            </w:tcMar>
            <w:tcW w:w="610" w:type="dxa"/>
            <w:vAlign w:val="top"/>
          </w:tcPr>
          <w:p>
            <w:pPr>
              <w:pStyle w:val="1297"/>
              <w:pBdr/>
              <w:spacing/>
              <w:ind/>
              <w:rPr/>
            </w:pPr>
            <w:r>
              <w:t xml:space="preserve">10</w:t>
            </w:r>
            <w:r/>
          </w:p>
        </w:tc>
        <w:tc>
          <w:tcPr>
            <w:shd w:val="clear" w:color="auto" w:fill="f7f9fa"/>
            <w:tcBorders/>
            <w:tcMar>
              <w:left w:w="70" w:type="dxa"/>
              <w:top w:w="60" w:type="dxa"/>
              <w:right w:w="70" w:type="dxa"/>
              <w:bottom w:w="60" w:type="dxa"/>
            </w:tcMar>
            <w:tcW w:w="1983" w:type="dxa"/>
            <w:vAlign w:val="top"/>
          </w:tcPr>
          <w:p>
            <w:pPr>
              <w:pStyle w:val="1297"/>
              <w:pBdr/>
              <w:spacing/>
              <w:ind/>
              <w:rPr/>
            </w:pPr>
            <w:r>
              <w:t xml:space="preserve">Who or What Can Be a Subject?</w:t>
            </w:r>
            <w:r/>
          </w:p>
        </w:tc>
        <w:tc>
          <w:tcPr>
            <w:shd w:val="clear" w:color="auto" w:fill="f7f9fa"/>
            <w:tcBorders/>
            <w:tcMar>
              <w:left w:w="70" w:type="dxa"/>
              <w:top w:w="60" w:type="dxa"/>
              <w:right w:w="70" w:type="dxa"/>
              <w:bottom w:w="60" w:type="dxa"/>
            </w:tcMar>
            <w:tcW w:w="1830" w:type="dxa"/>
            <w:vAlign w:val="top"/>
          </w:tcPr>
          <w:p>
            <w:pPr>
              <w:pStyle w:val="1297"/>
              <w:pBdr/>
              <w:spacing/>
              <w:ind/>
              <w:rPr/>
            </w:pPr>
            <w:r>
              <w:t xml:space="preserve">Volume I / Publication Part III — MINDS, SELVES, PERSONS</w:t>
            </w:r>
            <w:r/>
          </w:p>
        </w:tc>
        <w:tc>
          <w:tcPr>
            <w:shd w:val="clear" w:color="auto" w:fill="f7f9fa"/>
            <w:tcBorders/>
            <w:tcMar>
              <w:left w:w="70" w:type="dxa"/>
              <w:top w:w="60" w:type="dxa"/>
              <w:right w:w="70" w:type="dxa"/>
              <w:bottom w:w="60" w:type="dxa"/>
            </w:tcMar>
            <w:tcW w:w="3508" w:type="dxa"/>
            <w:vAlign w:val="top"/>
          </w:tcPr>
          <w:p>
            <w:pPr>
              <w:pStyle w:val="1297"/>
              <w:pBdr/>
              <w:spacing/>
              <w:ind/>
              <w:rPr/>
            </w:pPr>
            <w:r>
              <w:t xml:space="preserve">Examine how personhood, interiority, and agency are distributed beyond the modern individual human.</w:t>
            </w:r>
            <w:r/>
          </w:p>
        </w:tc>
        <w:tc>
          <w:tcPr>
            <w:shd w:val="clear" w:color="auto" w:fill="f7f9fa"/>
            <w:tcBorders/>
            <w:tcMar>
              <w:left w:w="70" w:type="dxa"/>
              <w:top w:w="60" w:type="dxa"/>
              <w:right w:w="70" w:type="dxa"/>
              <w:bottom w:w="60" w:type="dxa"/>
            </w:tcMar>
            <w:tcW w:w="3356" w:type="dxa"/>
            <w:vAlign w:val="top"/>
          </w:tcPr>
          <w:p>
            <w:pPr>
              <w:pStyle w:val="1297"/>
              <w:pBdr/>
              <w:spacing/>
              <w:ind/>
              <w:rPr/>
            </w:pPr>
            <w:r>
              <w:t xml:space="preserve">Core: source-bounded Ifá where evidence permits; Jaina; Zhu Xi as counterpoint; Comparators: Akan modern debate; Leibniz; Whitehead; Māori and Achuar as held boundary cases</w:t>
            </w:r>
            <w:r/>
          </w:p>
        </w:tc>
        <w:tc>
          <w:tcPr>
            <w:shd w:val="clear" w:color="auto" w:fill="f7f9fa"/>
            <w:tcBorders/>
            <w:tcMar>
              <w:left w:w="70" w:type="dxa"/>
              <w:top w:w="60" w:type="dxa"/>
              <w:right w:w="70" w:type="dxa"/>
              <w:bottom w:w="60" w:type="dxa"/>
            </w:tcMar>
            <w:tcW w:w="3051" w:type="dxa"/>
            <w:vAlign w:val="top"/>
          </w:tcPr>
          <w:p>
            <w:pPr>
              <w:pStyle w:val="1297"/>
              <w:pBdr/>
              <w:spacing/>
              <w:ind/>
              <w:rPr/>
            </w:pPr>
            <w:r>
              <w:t xml:space="preserve">D3 (World-partitioning, materiality &amp; human/nonhuman relations) D6 (Self, personhood &amp; identity) D8 (Axiology, meaning &amp; value) D11 (Agency, freedom &amp; constraint) D15 (World relation &amp; normative orientation).</w:t>
            </w:r>
            <w:r/>
          </w:p>
        </w:tc>
        <w:tc>
          <w:tcPr>
            <w:shd w:val="clear" w:color="auto" w:fill="f7f9fa"/>
            <w:tcBorders/>
            <w:tcMar>
              <w:left w:w="70" w:type="dxa"/>
              <w:top w:w="60" w:type="dxa"/>
              <w:right w:w="70" w:type="dxa"/>
              <w:bottom w:w="60" w:type="dxa"/>
            </w:tcMar>
            <w:tcW w:w="915" w:type="dxa"/>
            <w:vAlign w:val="top"/>
          </w:tcPr>
          <w:p>
            <w:pPr>
              <w:pStyle w:val="1297"/>
              <w:pBdr/>
              <w:spacing/>
              <w:ind/>
              <w:rPr/>
            </w:pPr>
            <w:r>
              <w:t xml:space="preserve">12,000</w:t>
            </w:r>
            <w:r/>
          </w:p>
        </w:tc>
      </w:tr>
      <w:tr>
        <w:trPr>
          <w:cantSplit/>
        </w:trPr>
        <w:tc>
          <w:tcPr>
            <w:tcBorders/>
            <w:tcMar>
              <w:left w:w="70" w:type="dxa"/>
              <w:top w:w="60" w:type="dxa"/>
              <w:right w:w="70" w:type="dxa"/>
              <w:bottom w:w="60" w:type="dxa"/>
            </w:tcMar>
            <w:tcW w:w="610" w:type="dxa"/>
            <w:vAlign w:val="top"/>
          </w:tcPr>
          <w:p>
            <w:pPr>
              <w:pStyle w:val="1297"/>
              <w:pBdr/>
              <w:spacing/>
              <w:ind/>
              <w:rPr/>
            </w:pPr>
            <w:r>
              <w:t xml:space="preserve">11</w:t>
            </w:r>
            <w:r/>
          </w:p>
        </w:tc>
        <w:tc>
          <w:tcPr>
            <w:tcBorders/>
            <w:tcMar>
              <w:left w:w="70" w:type="dxa"/>
              <w:top w:w="60" w:type="dxa"/>
              <w:right w:w="70" w:type="dxa"/>
              <w:bottom w:w="60" w:type="dxa"/>
            </w:tcMar>
            <w:tcW w:w="1983" w:type="dxa"/>
            <w:vAlign w:val="top"/>
          </w:tcPr>
          <w:p>
            <w:pPr>
              <w:pStyle w:val="1297"/>
              <w:pBdr/>
              <w:spacing/>
              <w:ind/>
              <w:rPr/>
            </w:pPr>
            <w:r>
              <w:t xml:space="preserve">What Counts as Knowing?</w:t>
            </w:r>
            <w:r/>
          </w:p>
        </w:tc>
        <w:tc>
          <w:tcPr>
            <w:tcBorders/>
            <w:tcMar>
              <w:left w:w="70" w:type="dxa"/>
              <w:top w:w="60" w:type="dxa"/>
              <w:right w:w="70" w:type="dxa"/>
              <w:bottom w:w="60" w:type="dxa"/>
            </w:tcMar>
            <w:tcW w:w="1830" w:type="dxa"/>
            <w:vAlign w:val="top"/>
          </w:tcPr>
          <w:p>
            <w:pPr>
              <w:pStyle w:val="1297"/>
              <w:pBdr/>
              <w:spacing/>
              <w:ind/>
              <w:rPr/>
            </w:pPr>
            <w:r>
              <w:t xml:space="preserve">Volume II / Publication Part IV — KNOWING, ERROR, TRANSFORMATION</w:t>
            </w:r>
            <w:r/>
          </w:p>
        </w:tc>
        <w:tc>
          <w:tcPr>
            <w:tcBorders/>
            <w:tcMar>
              <w:left w:w="70" w:type="dxa"/>
              <w:top w:w="60" w:type="dxa"/>
              <w:right w:w="70" w:type="dxa"/>
              <w:bottom w:w="60" w:type="dxa"/>
            </w:tcMar>
            <w:tcW w:w="3508" w:type="dxa"/>
            <w:vAlign w:val="top"/>
          </w:tcPr>
          <w:p>
            <w:pPr>
              <w:pStyle w:val="1297"/>
              <w:pBdr/>
              <w:spacing/>
              <w:ind/>
              <w:rPr/>
            </w:pPr>
            <w:r>
              <w:t xml:space="preserve">Compare inferential, revelatory, contemplative, textual, divi</w:t>
            </w:r>
            <w:r>
              <w:t xml:space="preserve">natory and practical forms of authority together with the capacities, dispositions, relations, practices or transformations each Position claims as conditions of epistemic access, without reducing them to one epistemic scale or presuming a distinct knower.</w:t>
            </w:r>
            <w:r/>
          </w:p>
        </w:tc>
        <w:tc>
          <w:tcPr>
            <w:tcBorders/>
            <w:tcMar>
              <w:left w:w="70" w:type="dxa"/>
              <w:top w:w="60" w:type="dxa"/>
              <w:right w:w="70" w:type="dxa"/>
              <w:bottom w:w="60" w:type="dxa"/>
            </w:tcMar>
            <w:tcW w:w="3356" w:type="dxa"/>
            <w:vAlign w:val="top"/>
          </w:tcPr>
          <w:p>
            <w:pPr>
              <w:pStyle w:val="1297"/>
              <w:pBdr/>
              <w:spacing/>
              <w:ind/>
              <w:rPr/>
            </w:pPr>
            <w:r>
              <w:t xml:space="preserve">Core: Nāgārjuna; Śaṅkara; Gregory; Maimonides; source-bounded Ifá (dependency-bounded treatment); Zhu Xi; Guru Nanak; Comparators: None beyond the named core positions in the current chapter contract.</w:t>
            </w:r>
            <w:r/>
          </w:p>
        </w:tc>
        <w:tc>
          <w:tcPr>
            <w:tcBorders/>
            <w:tcMar>
              <w:left w:w="70" w:type="dxa"/>
              <w:top w:w="60" w:type="dxa"/>
              <w:right w:w="70" w:type="dxa"/>
              <w:bottom w:w="60" w:type="dxa"/>
            </w:tcMar>
            <w:tcW w:w="3051" w:type="dxa"/>
            <w:vAlign w:val="top"/>
          </w:tcPr>
          <w:p>
            <w:pPr>
              <w:pStyle w:val="1297"/>
              <w:pBdr/>
              <w:spacing/>
              <w:ind/>
              <w:rPr/>
            </w:pPr>
            <w:r>
              <w:t xml:space="preserve">Primary domains: D7 (Epistemology &amp; authority); linked D9 (Human condition &amp; diagnosis) and D12 (Praxis &amp; transformation), with D5/D6 used only where the Position itself makes mentality, awareness, self or subject-structure material.</w:t>
            </w:r>
            <w:r/>
          </w:p>
        </w:tc>
        <w:tc>
          <w:tcPr>
            <w:tcBorders/>
            <w:tcMar>
              <w:left w:w="70" w:type="dxa"/>
              <w:top w:w="60" w:type="dxa"/>
              <w:right w:w="70" w:type="dxa"/>
              <w:bottom w:w="60" w:type="dxa"/>
            </w:tcMar>
            <w:tcW w:w="915" w:type="dxa"/>
            <w:vAlign w:val="top"/>
          </w:tcPr>
          <w:p>
            <w:pPr>
              <w:pStyle w:val="1297"/>
              <w:pBdr/>
              <w:spacing/>
              <w:ind/>
              <w:rPr/>
            </w:pPr>
            <w:r>
              <w:t xml:space="preserve">12,000</w:t>
            </w:r>
            <w:r/>
          </w:p>
        </w:tc>
      </w:tr>
      <w:tr>
        <w:trPr>
          <w:cantSplit/>
        </w:trPr>
        <w:tc>
          <w:tcPr>
            <w:shd w:val="clear" w:color="auto" w:fill="f7f9fa"/>
            <w:tcBorders/>
            <w:tcMar>
              <w:left w:w="70" w:type="dxa"/>
              <w:top w:w="60" w:type="dxa"/>
              <w:right w:w="70" w:type="dxa"/>
              <w:bottom w:w="60" w:type="dxa"/>
            </w:tcMar>
            <w:tcW w:w="610" w:type="dxa"/>
            <w:vAlign w:val="top"/>
          </w:tcPr>
          <w:p>
            <w:pPr>
              <w:pStyle w:val="1297"/>
              <w:pBdr/>
              <w:spacing/>
              <w:ind/>
              <w:rPr/>
            </w:pPr>
            <w:r>
              <w:t xml:space="preserve">12</w:t>
            </w:r>
            <w:r/>
          </w:p>
        </w:tc>
        <w:tc>
          <w:tcPr>
            <w:shd w:val="clear" w:color="auto" w:fill="f7f9fa"/>
            <w:tcBorders/>
            <w:tcMar>
              <w:left w:w="70" w:type="dxa"/>
              <w:top w:w="60" w:type="dxa"/>
              <w:right w:w="70" w:type="dxa"/>
              <w:bottom w:w="60" w:type="dxa"/>
            </w:tcMar>
            <w:tcW w:w="1983" w:type="dxa"/>
            <w:vAlign w:val="top"/>
          </w:tcPr>
          <w:p>
            <w:pPr>
              <w:pStyle w:val="1297"/>
              <w:pBdr/>
              <w:spacing/>
              <w:ind/>
              <w:rPr/>
            </w:pPr>
            <w:r>
              <w:t xml:space="preserve">What Goes Wrong with Us?</w:t>
            </w:r>
            <w:r/>
          </w:p>
        </w:tc>
        <w:tc>
          <w:tcPr>
            <w:shd w:val="clear" w:color="auto" w:fill="f7f9fa"/>
            <w:tcBorders/>
            <w:tcMar>
              <w:left w:w="70" w:type="dxa"/>
              <w:top w:w="60" w:type="dxa"/>
              <w:right w:w="70" w:type="dxa"/>
              <w:bottom w:w="60" w:type="dxa"/>
            </w:tcMar>
            <w:tcW w:w="1830" w:type="dxa"/>
            <w:vAlign w:val="top"/>
          </w:tcPr>
          <w:p>
            <w:pPr>
              <w:pStyle w:val="1297"/>
              <w:pBdr/>
              <w:spacing/>
              <w:ind/>
              <w:rPr/>
            </w:pPr>
            <w:r>
              <w:t xml:space="preserve">Volume II / Publication Part IV — KNOWING, ERROR, TRANSFORMATION</w:t>
            </w:r>
            <w:r/>
          </w:p>
        </w:tc>
        <w:tc>
          <w:tcPr>
            <w:shd w:val="clear" w:color="auto" w:fill="f7f9fa"/>
            <w:tcBorders/>
            <w:tcMar>
              <w:left w:w="70" w:type="dxa"/>
              <w:top w:w="60" w:type="dxa"/>
              <w:right w:w="70" w:type="dxa"/>
              <w:bottom w:w="60" w:type="dxa"/>
            </w:tcMar>
            <w:tcW w:w="3508" w:type="dxa"/>
            <w:vAlign w:val="top"/>
          </w:tcPr>
          <w:p>
            <w:pPr>
              <w:pStyle w:val="1297"/>
              <w:pBdr/>
              <w:spacing/>
              <w:ind/>
              <w:rPr/>
            </w:pPr>
            <w:r>
              <w:t xml:space="preserve">Test the recurrent motif of misidentification/epistemic distortion against sin, reification, bad faith, desire and no-total-diagnosis cases.</w:t>
            </w:r>
            <w:r/>
          </w:p>
        </w:tc>
        <w:tc>
          <w:tcPr>
            <w:shd w:val="clear" w:color="auto" w:fill="f7f9fa"/>
            <w:tcBorders/>
            <w:tcMar>
              <w:left w:w="70" w:type="dxa"/>
              <w:top w:w="60" w:type="dxa"/>
              <w:right w:w="70" w:type="dxa"/>
              <w:bottom w:w="60" w:type="dxa"/>
            </w:tcMar>
            <w:tcW w:w="3356" w:type="dxa"/>
            <w:vAlign w:val="top"/>
          </w:tcPr>
          <w:p>
            <w:pPr>
              <w:pStyle w:val="1297"/>
              <w:pBdr/>
              <w:spacing/>
              <w:ind/>
              <w:rPr/>
            </w:pPr>
            <w:r>
              <w:t xml:space="preserve">Core: Śaṅkara; Nāgārjuna; Apocryphon; Gregory; Sartre; Spinoza; Comparators: Epicureanism; Xunzi</w:t>
            </w:r>
            <w:r/>
          </w:p>
        </w:tc>
        <w:tc>
          <w:tcPr>
            <w:shd w:val="clear" w:color="auto" w:fill="f7f9fa"/>
            <w:tcBorders/>
            <w:tcMar>
              <w:left w:w="70" w:type="dxa"/>
              <w:top w:w="60" w:type="dxa"/>
              <w:right w:w="70" w:type="dxa"/>
              <w:bottom w:w="60" w:type="dxa"/>
            </w:tcMar>
            <w:tcW w:w="3051" w:type="dxa"/>
            <w:vAlign w:val="top"/>
          </w:tcPr>
          <w:p>
            <w:pPr>
              <w:pStyle w:val="1297"/>
              <w:pBdr/>
              <w:spacing/>
              <w:ind/>
              <w:rPr/>
            </w:pPr>
            <w:r>
              <w:t xml:space="preserve">Primary domains: D9 (Human condition &amp; diagnosis) D7 (Epistemology &amp; authority) D8 (Axiology, meaning &amp; value).</w:t>
            </w:r>
            <w:r/>
          </w:p>
        </w:tc>
        <w:tc>
          <w:tcPr>
            <w:shd w:val="clear" w:color="auto" w:fill="f7f9fa"/>
            <w:tcBorders/>
            <w:tcMar>
              <w:left w:w="70" w:type="dxa"/>
              <w:top w:w="60" w:type="dxa"/>
              <w:right w:w="70" w:type="dxa"/>
              <w:bottom w:w="60" w:type="dxa"/>
            </w:tcMar>
            <w:tcW w:w="915" w:type="dxa"/>
            <w:vAlign w:val="top"/>
          </w:tcPr>
          <w:p>
            <w:pPr>
              <w:pStyle w:val="1297"/>
              <w:pBdr/>
              <w:spacing/>
              <w:ind/>
              <w:rPr/>
            </w:pPr>
            <w:r>
              <w:t xml:space="preserve">13,000</w:t>
            </w:r>
            <w:r/>
          </w:p>
        </w:tc>
      </w:tr>
      <w:tr>
        <w:trPr>
          <w:cantSplit/>
        </w:trPr>
        <w:tc>
          <w:tcPr>
            <w:tcBorders/>
            <w:tcMar>
              <w:left w:w="70" w:type="dxa"/>
              <w:top w:w="60" w:type="dxa"/>
              <w:right w:w="70" w:type="dxa"/>
              <w:bottom w:w="60" w:type="dxa"/>
            </w:tcMar>
            <w:tcW w:w="610" w:type="dxa"/>
            <w:vAlign w:val="top"/>
          </w:tcPr>
          <w:p>
            <w:pPr>
              <w:pStyle w:val="1297"/>
              <w:pBdr/>
              <w:spacing/>
              <w:ind/>
              <w:rPr/>
            </w:pPr>
            <w:r>
              <w:t xml:space="preserve">13</w:t>
            </w:r>
            <w:r/>
          </w:p>
        </w:tc>
        <w:tc>
          <w:tcPr>
            <w:tcBorders/>
            <w:tcMar>
              <w:left w:w="70" w:type="dxa"/>
              <w:top w:w="60" w:type="dxa"/>
              <w:right w:w="70" w:type="dxa"/>
              <w:bottom w:w="60" w:type="dxa"/>
            </w:tcMar>
            <w:tcW w:w="1983" w:type="dxa"/>
            <w:vAlign w:val="top"/>
          </w:tcPr>
          <w:p>
            <w:pPr>
              <w:pStyle w:val="1297"/>
              <w:pBdr/>
              <w:spacing/>
              <w:ind/>
              <w:rPr/>
            </w:pPr>
            <w:r>
              <w:t xml:space="preserve">Can Knowing Change Being?</w:t>
            </w:r>
            <w:r/>
          </w:p>
        </w:tc>
        <w:tc>
          <w:tcPr>
            <w:tcBorders/>
            <w:tcMar>
              <w:left w:w="70" w:type="dxa"/>
              <w:top w:w="60" w:type="dxa"/>
              <w:right w:w="70" w:type="dxa"/>
              <w:bottom w:w="60" w:type="dxa"/>
            </w:tcMar>
            <w:tcW w:w="1830" w:type="dxa"/>
            <w:vAlign w:val="top"/>
          </w:tcPr>
          <w:p>
            <w:pPr>
              <w:pStyle w:val="1297"/>
              <w:pBdr/>
              <w:spacing/>
              <w:ind/>
              <w:rPr/>
            </w:pPr>
            <w:r>
              <w:t xml:space="preserve">Volume II / Publication Part IV — KNOWING, ERROR, TRANSFORMATION</w:t>
            </w:r>
            <w:r/>
          </w:p>
        </w:tc>
        <w:tc>
          <w:tcPr>
            <w:tcBorders/>
            <w:tcMar>
              <w:left w:w="70" w:type="dxa"/>
              <w:top w:w="60" w:type="dxa"/>
              <w:right w:w="70" w:type="dxa"/>
              <w:bottom w:w="60" w:type="dxa"/>
            </w:tcMar>
            <w:tcW w:w="3508" w:type="dxa"/>
            <w:vAlign w:val="top"/>
          </w:tcPr>
          <w:p>
            <w:pPr>
              <w:pStyle w:val="1297"/>
              <w:pBdr/>
              <w:spacing/>
              <w:ind/>
              <w:rPr/>
            </w:pPr>
            <w:r>
              <w:t xml:space="preserve">Compare how Positions relate knowing and transformation through knowledge, ritual, contemplation, grace, virtue, reme</w:t>
            </w:r>
            <w:r>
              <w:t xml:space="preserve">mbrance and practice-realization: transformation as an effect of knowing, a condition of knowing, a constituent of knowing, an externally conferred change, an independent or uncoupled counterpart, or a relation the Position denies, reframes or leaves open.</w:t>
            </w:r>
            <w:r/>
          </w:p>
        </w:tc>
        <w:tc>
          <w:tcPr>
            <w:tcBorders/>
            <w:tcMar>
              <w:left w:w="70" w:type="dxa"/>
              <w:top w:w="60" w:type="dxa"/>
              <w:right w:w="70" w:type="dxa"/>
              <w:bottom w:w="60" w:type="dxa"/>
            </w:tcMar>
            <w:tcW w:w="3356" w:type="dxa"/>
            <w:vAlign w:val="top"/>
          </w:tcPr>
          <w:p>
            <w:pPr>
              <w:pStyle w:val="1297"/>
              <w:pBdr/>
              <w:spacing/>
              <w:ind/>
              <w:rPr/>
            </w:pPr>
            <w:r>
              <w:t xml:space="preserve">Core: Śaṅkara; Nāgārjuna; Gregory; Zhu Xi; Guru Nanak; Ibn ʿArabī; source-bounded Ifá (dependency-bounded treatment); Comparators: Dōgen digital comparator</w:t>
            </w:r>
            <w:r/>
          </w:p>
        </w:tc>
        <w:tc>
          <w:tcPr>
            <w:tcBorders/>
            <w:tcMar>
              <w:left w:w="70" w:type="dxa"/>
              <w:top w:w="60" w:type="dxa"/>
              <w:right w:w="70" w:type="dxa"/>
              <w:bottom w:w="60" w:type="dxa"/>
            </w:tcMar>
            <w:tcW w:w="3051" w:type="dxa"/>
            <w:vAlign w:val="top"/>
          </w:tcPr>
          <w:p>
            <w:pPr>
              <w:pStyle w:val="1297"/>
              <w:pBdr/>
              <w:spacing/>
              <w:ind/>
              <w:rPr/>
            </w:pPr>
            <w:r>
              <w:t xml:space="preserve">Primary domains: D12 (Praxis &amp; transformation) D7 (Epistemology &amp; authority) D9 (Human condition &amp; diagnosis) D14 (Telos / desired condition), with D5/D6 only where source-relevant.</w:t>
            </w:r>
            <w:r/>
          </w:p>
        </w:tc>
        <w:tc>
          <w:tcPr>
            <w:tcBorders/>
            <w:tcMar>
              <w:left w:w="70" w:type="dxa"/>
              <w:top w:w="60" w:type="dxa"/>
              <w:right w:w="70" w:type="dxa"/>
              <w:bottom w:w="60" w:type="dxa"/>
            </w:tcMar>
            <w:tcW w:w="915" w:type="dxa"/>
            <w:vAlign w:val="top"/>
          </w:tcPr>
          <w:p>
            <w:pPr>
              <w:pStyle w:val="1297"/>
              <w:pBdr/>
              <w:spacing/>
              <w:ind/>
              <w:rPr/>
            </w:pPr>
            <w:r>
              <w:t xml:space="preserve">13,000</w:t>
            </w:r>
            <w:r/>
          </w:p>
        </w:tc>
      </w:tr>
      <w:tr>
        <w:trPr>
          <w:cantSplit/>
        </w:trPr>
        <w:tc>
          <w:tcPr>
            <w:shd w:val="clear" w:color="auto" w:fill="f7f9fa"/>
            <w:tcBorders/>
            <w:tcMar>
              <w:left w:w="70" w:type="dxa"/>
              <w:top w:w="60" w:type="dxa"/>
              <w:right w:w="70" w:type="dxa"/>
              <w:bottom w:w="60" w:type="dxa"/>
            </w:tcMar>
            <w:tcW w:w="610" w:type="dxa"/>
            <w:vAlign w:val="top"/>
          </w:tcPr>
          <w:p>
            <w:pPr>
              <w:pStyle w:val="1297"/>
              <w:pBdr/>
              <w:spacing/>
              <w:ind/>
              <w:rPr/>
            </w:pPr>
            <w:r>
              <w:t xml:space="preserve">14</w:t>
            </w:r>
            <w:r/>
          </w:p>
        </w:tc>
        <w:tc>
          <w:tcPr>
            <w:shd w:val="clear" w:color="auto" w:fill="f7f9fa"/>
            <w:tcBorders/>
            <w:tcMar>
              <w:left w:w="70" w:type="dxa"/>
              <w:top w:w="60" w:type="dxa"/>
              <w:right w:w="70" w:type="dxa"/>
              <w:bottom w:w="60" w:type="dxa"/>
            </w:tcMar>
            <w:tcW w:w="1983" w:type="dxa"/>
            <w:vAlign w:val="top"/>
          </w:tcPr>
          <w:p>
            <w:pPr>
              <w:pStyle w:val="1297"/>
              <w:pBdr/>
              <w:spacing/>
              <w:ind/>
              <w:rPr/>
            </w:pPr>
            <w:r>
              <w:t xml:space="preserve">Is Everything Already Ordered?</w:t>
            </w:r>
            <w:r/>
          </w:p>
        </w:tc>
        <w:tc>
          <w:tcPr>
            <w:shd w:val="clear" w:color="auto" w:fill="f7f9fa"/>
            <w:tcBorders/>
            <w:tcMar>
              <w:left w:w="70" w:type="dxa"/>
              <w:top w:w="60" w:type="dxa"/>
              <w:right w:w="70" w:type="dxa"/>
              <w:bottom w:w="60" w:type="dxa"/>
            </w:tcMar>
            <w:tcW w:w="1830" w:type="dxa"/>
            <w:vAlign w:val="top"/>
          </w:tcPr>
          <w:p>
            <w:pPr>
              <w:pStyle w:val="1297"/>
              <w:pBdr/>
              <w:spacing/>
              <w:ind/>
              <w:rPr/>
            </w:pPr>
            <w:r>
              <w:t xml:space="preserve">Volume II / Publication Part V — ORDER, FREEDOM, WORLD-RELATION</w:t>
            </w:r>
            <w:r/>
          </w:p>
        </w:tc>
        <w:tc>
          <w:tcPr>
            <w:shd w:val="clear" w:color="auto" w:fill="f7f9fa"/>
            <w:tcBorders/>
            <w:tcMar>
              <w:left w:w="70" w:type="dxa"/>
              <w:top w:w="60" w:type="dxa"/>
              <w:right w:w="70" w:type="dxa"/>
              <w:bottom w:w="60" w:type="dxa"/>
            </w:tcMar>
            <w:tcW w:w="3508" w:type="dxa"/>
            <w:vAlign w:val="top"/>
          </w:tcPr>
          <w:p>
            <w:pPr>
              <w:pStyle w:val="1297"/>
              <w:pBdr/>
              <w:spacing/>
              <w:ind/>
              <w:rPr/>
            </w:pPr>
            <w:r>
              <w:t xml:space="preserve">Separate causal order, metaphysical dependence, providence, karma, fate, law, chance, and necessity.</w:t>
            </w:r>
            <w:r/>
          </w:p>
        </w:tc>
        <w:tc>
          <w:tcPr>
            <w:shd w:val="clear" w:color="auto" w:fill="f7f9fa"/>
            <w:tcBorders/>
            <w:tcMar>
              <w:left w:w="70" w:type="dxa"/>
              <w:top w:w="60" w:type="dxa"/>
              <w:right w:w="70" w:type="dxa"/>
              <w:bottom w:w="60" w:type="dxa"/>
            </w:tcMar>
            <w:tcW w:w="3356" w:type="dxa"/>
            <w:vAlign w:val="top"/>
          </w:tcPr>
          <w:p>
            <w:pPr>
              <w:pStyle w:val="1297"/>
              <w:pBdr/>
              <w:spacing/>
              <w:ind/>
              <w:rPr/>
            </w:pPr>
            <w:r>
              <w:t xml:space="preserve">Core: Spinoza; source-bounded Ifá (dependency-bounded treatment); Jaina; Avicenna; Papineau physicalism; Comparators: Chrysippan Stoicism; al-Ghazālī; Epicureanism</w:t>
            </w:r>
            <w:r/>
          </w:p>
        </w:tc>
        <w:tc>
          <w:tcPr>
            <w:shd w:val="clear" w:color="auto" w:fill="f7f9fa"/>
            <w:tcBorders/>
            <w:tcMar>
              <w:left w:w="70" w:type="dxa"/>
              <w:top w:w="60" w:type="dxa"/>
              <w:right w:w="70" w:type="dxa"/>
              <w:bottom w:w="60" w:type="dxa"/>
            </w:tcMar>
            <w:tcW w:w="3051" w:type="dxa"/>
            <w:vAlign w:val="top"/>
          </w:tcPr>
          <w:p>
            <w:pPr>
              <w:pStyle w:val="1297"/>
              <w:pBdr/>
              <w:spacing/>
              <w:ind/>
              <w:rPr/>
            </w:pPr>
            <w:r>
              <w:t xml:space="preserve">D10 (Causal order &amp; dependence); linked D2 (Cosmogenesis &amp; world structure) D11 (Agency, freedom &amp; constraint).</w:t>
            </w:r>
            <w:r/>
          </w:p>
        </w:tc>
        <w:tc>
          <w:tcPr>
            <w:shd w:val="clear" w:color="auto" w:fill="f7f9fa"/>
            <w:tcBorders/>
            <w:tcMar>
              <w:left w:w="70" w:type="dxa"/>
              <w:top w:w="60" w:type="dxa"/>
              <w:right w:w="70" w:type="dxa"/>
              <w:bottom w:w="60" w:type="dxa"/>
            </w:tcMar>
            <w:tcW w:w="915" w:type="dxa"/>
            <w:vAlign w:val="top"/>
          </w:tcPr>
          <w:p>
            <w:pPr>
              <w:pStyle w:val="1297"/>
              <w:pBdr/>
              <w:spacing/>
              <w:ind/>
              <w:rPr/>
            </w:pPr>
            <w:r>
              <w:t xml:space="preserve">15,000</w:t>
            </w:r>
            <w:r/>
          </w:p>
        </w:tc>
      </w:tr>
      <w:tr>
        <w:trPr>
          <w:cantSplit/>
        </w:trPr>
        <w:tc>
          <w:tcPr>
            <w:tcBorders/>
            <w:tcMar>
              <w:left w:w="70" w:type="dxa"/>
              <w:top w:w="60" w:type="dxa"/>
              <w:right w:w="70" w:type="dxa"/>
              <w:bottom w:w="60" w:type="dxa"/>
            </w:tcMar>
            <w:tcW w:w="610" w:type="dxa"/>
            <w:vAlign w:val="top"/>
          </w:tcPr>
          <w:p>
            <w:pPr>
              <w:pStyle w:val="1297"/>
              <w:pBdr/>
              <w:spacing/>
              <w:ind/>
              <w:rPr/>
            </w:pPr>
            <w:r>
              <w:t xml:space="preserve">15</w:t>
            </w:r>
            <w:r/>
          </w:p>
        </w:tc>
        <w:tc>
          <w:tcPr>
            <w:tcBorders/>
            <w:tcMar>
              <w:left w:w="70" w:type="dxa"/>
              <w:top w:w="60" w:type="dxa"/>
              <w:right w:w="70" w:type="dxa"/>
              <w:bottom w:w="60" w:type="dxa"/>
            </w:tcMar>
            <w:tcW w:w="1983" w:type="dxa"/>
            <w:vAlign w:val="top"/>
          </w:tcPr>
          <w:p>
            <w:pPr>
              <w:pStyle w:val="1297"/>
              <w:pBdr/>
              <w:spacing/>
              <w:ind/>
              <w:rPr/>
            </w:pPr>
            <w:r>
              <w:t xml:space="preserve">What Could Freedom Mean Inside an Order?</w:t>
            </w:r>
            <w:r/>
          </w:p>
        </w:tc>
        <w:tc>
          <w:tcPr>
            <w:tcBorders/>
            <w:tcMar>
              <w:left w:w="70" w:type="dxa"/>
              <w:top w:w="60" w:type="dxa"/>
              <w:right w:w="70" w:type="dxa"/>
              <w:bottom w:w="60" w:type="dxa"/>
            </w:tcMar>
            <w:tcW w:w="1830" w:type="dxa"/>
            <w:vAlign w:val="top"/>
          </w:tcPr>
          <w:p>
            <w:pPr>
              <w:pStyle w:val="1297"/>
              <w:pBdr/>
              <w:spacing/>
              <w:ind/>
              <w:rPr/>
            </w:pPr>
            <w:r>
              <w:t xml:space="preserve">Volume II / Publication Part V — ORDER, FREEDOM, WORLD-RELATION</w:t>
            </w:r>
            <w:r/>
          </w:p>
        </w:tc>
        <w:tc>
          <w:tcPr>
            <w:tcBorders/>
            <w:tcMar>
              <w:left w:w="70" w:type="dxa"/>
              <w:top w:w="60" w:type="dxa"/>
              <w:right w:w="70" w:type="dxa"/>
              <w:bottom w:w="60" w:type="dxa"/>
            </w:tcMar>
            <w:tcW w:w="3508" w:type="dxa"/>
            <w:vAlign w:val="top"/>
          </w:tcPr>
          <w:p>
            <w:pPr>
              <w:pStyle w:val="1297"/>
              <w:pBdr/>
              <w:spacing/>
              <w:ind/>
              <w:rPr/>
            </w:pPr>
            <w:r>
              <w:t xml:space="preserve">Compare libertarian, compatibilist, spontaneous, disciplined, relational, and self-understanding accounts of agency.</w:t>
            </w:r>
            <w:r/>
          </w:p>
        </w:tc>
        <w:tc>
          <w:tcPr>
            <w:tcBorders/>
            <w:tcMar>
              <w:left w:w="70" w:type="dxa"/>
              <w:top w:w="60" w:type="dxa"/>
              <w:right w:w="70" w:type="dxa"/>
              <w:bottom w:w="60" w:type="dxa"/>
            </w:tcMar>
            <w:tcW w:w="3356" w:type="dxa"/>
            <w:vAlign w:val="top"/>
          </w:tcPr>
          <w:p>
            <w:pPr>
              <w:pStyle w:val="1297"/>
              <w:pBdr/>
              <w:spacing/>
              <w:ind/>
              <w:rPr/>
            </w:pPr>
            <w:r>
              <w:t xml:space="preserve">Core: Sartre; Spinoza; Zhuangzi; Gregory; Jaina; source-bounded Ifá (dependency-bounded treatment); Comparators: Stoicism; Xunzi</w:t>
            </w:r>
            <w:r/>
          </w:p>
        </w:tc>
        <w:tc>
          <w:tcPr>
            <w:tcBorders/>
            <w:tcMar>
              <w:left w:w="70" w:type="dxa"/>
              <w:top w:w="60" w:type="dxa"/>
              <w:right w:w="70" w:type="dxa"/>
              <w:bottom w:w="60" w:type="dxa"/>
            </w:tcMar>
            <w:tcW w:w="3051" w:type="dxa"/>
            <w:vAlign w:val="top"/>
          </w:tcPr>
          <w:p>
            <w:pPr>
              <w:pStyle w:val="1297"/>
              <w:pBdr/>
              <w:spacing/>
              <w:ind/>
              <w:rPr/>
            </w:pPr>
            <w:r>
              <w:t xml:space="preserve">D11 (Agency, freedom &amp; constraint) D10 (Causal order &amp; dependence) D8 (Axiology, meaning &amp; value) D12 (Praxis &amp; transformation).</w:t>
            </w:r>
            <w:r/>
          </w:p>
        </w:tc>
        <w:tc>
          <w:tcPr>
            <w:tcBorders/>
            <w:tcMar>
              <w:left w:w="70" w:type="dxa"/>
              <w:top w:w="60" w:type="dxa"/>
              <w:right w:w="70" w:type="dxa"/>
              <w:bottom w:w="60" w:type="dxa"/>
            </w:tcMar>
            <w:tcW w:w="915" w:type="dxa"/>
            <w:vAlign w:val="top"/>
          </w:tcPr>
          <w:p>
            <w:pPr>
              <w:pStyle w:val="1297"/>
              <w:pBdr/>
              <w:spacing/>
              <w:ind/>
              <w:rPr/>
            </w:pPr>
            <w:r>
              <w:t xml:space="preserve">15,000</w:t>
            </w:r>
            <w:r/>
          </w:p>
        </w:tc>
      </w:tr>
      <w:tr>
        <w:trPr>
          <w:cantSplit/>
        </w:trPr>
        <w:tc>
          <w:tcPr>
            <w:shd w:val="clear" w:color="auto" w:fill="f7f9fa"/>
            <w:tcBorders/>
            <w:tcMar>
              <w:left w:w="70" w:type="dxa"/>
              <w:top w:w="60" w:type="dxa"/>
              <w:right w:w="70" w:type="dxa"/>
              <w:bottom w:w="60" w:type="dxa"/>
            </w:tcMar>
            <w:tcW w:w="610" w:type="dxa"/>
            <w:vAlign w:val="top"/>
          </w:tcPr>
          <w:p>
            <w:pPr>
              <w:pStyle w:val="1297"/>
              <w:pBdr/>
              <w:spacing/>
              <w:ind/>
              <w:rPr/>
            </w:pPr>
            <w:r>
              <w:t xml:space="preserve">16</w:t>
            </w:r>
            <w:r/>
          </w:p>
        </w:tc>
        <w:tc>
          <w:tcPr>
            <w:shd w:val="clear" w:color="auto" w:fill="f7f9fa"/>
            <w:tcBorders/>
            <w:tcMar>
              <w:left w:w="70" w:type="dxa"/>
              <w:top w:w="60" w:type="dxa"/>
              <w:right w:w="70" w:type="dxa"/>
              <w:bottom w:w="60" w:type="dxa"/>
            </w:tcMar>
            <w:tcW w:w="1983" w:type="dxa"/>
            <w:vAlign w:val="top"/>
          </w:tcPr>
          <w:p>
            <w:pPr>
              <w:pStyle w:val="1297"/>
              <w:pBdr/>
              <w:spacing/>
              <w:ind/>
              <w:rPr/>
            </w:pPr>
            <w:r>
              <w:t xml:space="preserve">Leave the World, Participate in It, or Transform It?</w:t>
            </w:r>
            <w:r/>
          </w:p>
        </w:tc>
        <w:tc>
          <w:tcPr>
            <w:shd w:val="clear" w:color="auto" w:fill="f7f9fa"/>
            <w:tcBorders/>
            <w:tcMar>
              <w:left w:w="70" w:type="dxa"/>
              <w:top w:w="60" w:type="dxa"/>
              <w:right w:w="70" w:type="dxa"/>
              <w:bottom w:w="60" w:type="dxa"/>
            </w:tcMar>
            <w:tcW w:w="1830" w:type="dxa"/>
            <w:vAlign w:val="top"/>
          </w:tcPr>
          <w:p>
            <w:pPr>
              <w:pStyle w:val="1297"/>
              <w:pBdr/>
              <w:spacing/>
              <w:ind/>
              <w:rPr/>
            </w:pPr>
            <w:r>
              <w:t xml:space="preserve">Volume II / Publication Part V — ORDER, FREEDOM, WORLD-RELATION</w:t>
            </w:r>
            <w:r/>
          </w:p>
        </w:tc>
        <w:tc>
          <w:tcPr>
            <w:shd w:val="clear" w:color="auto" w:fill="f7f9fa"/>
            <w:tcBorders/>
            <w:tcMar>
              <w:left w:w="70" w:type="dxa"/>
              <w:top w:w="60" w:type="dxa"/>
              <w:right w:w="70" w:type="dxa"/>
              <w:bottom w:w="60" w:type="dxa"/>
            </w:tcMar>
            <w:tcW w:w="3508" w:type="dxa"/>
            <w:vAlign w:val="top"/>
          </w:tcPr>
          <w:p>
            <w:pPr>
              <w:pStyle w:val="1297"/>
              <w:pBdr/>
              <w:spacing/>
              <w:ind/>
              <w:rPr/>
            </w:pPr>
            <w:r>
              <w:t xml:space="preserve">Re-test world-relation motifs against positions in which renunciation, participation, transformation, harmony, household life, or non-providential enjoyment have different meanings.</w:t>
            </w:r>
            <w:r/>
          </w:p>
        </w:tc>
        <w:tc>
          <w:tcPr>
            <w:shd w:val="clear" w:color="auto" w:fill="f7f9fa"/>
            <w:tcBorders/>
            <w:tcMar>
              <w:left w:w="70" w:type="dxa"/>
              <w:top w:w="60" w:type="dxa"/>
              <w:right w:w="70" w:type="dxa"/>
              <w:bottom w:w="60" w:type="dxa"/>
            </w:tcMar>
            <w:tcW w:w="3356" w:type="dxa"/>
            <w:vAlign w:val="top"/>
          </w:tcPr>
          <w:p>
            <w:pPr>
              <w:pStyle w:val="1297"/>
              <w:pBdr/>
              <w:spacing/>
              <w:ind/>
              <w:rPr/>
            </w:pPr>
            <w:r>
              <w:t xml:space="preserve">Core: Apocryphon; Gregory; Śaṅkara; Nāgārjuna; Guru Nanak; Zhu Xi; Zhuangzi; Sartre; Comparators: Epicureanism</w:t>
            </w:r>
            <w:r/>
          </w:p>
        </w:tc>
        <w:tc>
          <w:tcPr>
            <w:shd w:val="clear" w:color="auto" w:fill="f7f9fa"/>
            <w:tcBorders/>
            <w:tcMar>
              <w:left w:w="70" w:type="dxa"/>
              <w:top w:w="60" w:type="dxa"/>
              <w:right w:w="70" w:type="dxa"/>
              <w:bottom w:w="60" w:type="dxa"/>
            </w:tcMar>
            <w:tcW w:w="3051" w:type="dxa"/>
            <w:vAlign w:val="top"/>
          </w:tcPr>
          <w:p>
            <w:pPr>
              <w:pStyle w:val="1297"/>
              <w:pBdr/>
              <w:spacing/>
              <w:ind/>
              <w:rPr/>
            </w:pPr>
            <w:r>
              <w:t xml:space="preserve">D15 (World relation &amp; normative orientation) D8 (Axiology, meaning &amp; value) D12 (Praxis &amp; transformation) D14 (Telos / desired condition).</w:t>
            </w:r>
            <w:r/>
          </w:p>
        </w:tc>
        <w:tc>
          <w:tcPr>
            <w:shd w:val="clear" w:color="auto" w:fill="f7f9fa"/>
            <w:tcBorders/>
            <w:tcMar>
              <w:left w:w="70" w:type="dxa"/>
              <w:top w:w="60" w:type="dxa"/>
              <w:right w:w="70" w:type="dxa"/>
              <w:bottom w:w="60" w:type="dxa"/>
            </w:tcMar>
            <w:tcW w:w="915" w:type="dxa"/>
            <w:vAlign w:val="top"/>
          </w:tcPr>
          <w:p>
            <w:pPr>
              <w:pStyle w:val="1297"/>
              <w:pBdr/>
              <w:spacing/>
              <w:ind/>
              <w:rPr/>
            </w:pPr>
            <w:r>
              <w:t xml:space="preserve">15,000</w:t>
            </w:r>
            <w:r/>
          </w:p>
        </w:tc>
      </w:tr>
      <w:tr>
        <w:trPr>
          <w:cantSplit/>
        </w:trPr>
        <w:tc>
          <w:tcPr>
            <w:tcBorders/>
            <w:tcMar>
              <w:left w:w="70" w:type="dxa"/>
              <w:top w:w="60" w:type="dxa"/>
              <w:right w:w="70" w:type="dxa"/>
              <w:bottom w:w="60" w:type="dxa"/>
            </w:tcMar>
            <w:tcW w:w="610" w:type="dxa"/>
            <w:vAlign w:val="top"/>
          </w:tcPr>
          <w:p>
            <w:pPr>
              <w:pStyle w:val="1297"/>
              <w:pBdr/>
              <w:spacing/>
              <w:ind/>
              <w:rPr/>
            </w:pPr>
            <w:r>
              <w:t xml:space="preserve">17</w:t>
            </w:r>
            <w:r/>
          </w:p>
        </w:tc>
        <w:tc>
          <w:tcPr>
            <w:tcBorders/>
            <w:tcMar>
              <w:left w:w="70" w:type="dxa"/>
              <w:top w:w="60" w:type="dxa"/>
              <w:right w:w="70" w:type="dxa"/>
              <w:bottom w:w="60" w:type="dxa"/>
            </w:tcMar>
            <w:tcW w:w="1983" w:type="dxa"/>
            <w:vAlign w:val="top"/>
          </w:tcPr>
          <w:p>
            <w:pPr>
              <w:pStyle w:val="1297"/>
              <w:pBdr/>
              <w:spacing/>
              <w:ind/>
              <w:rPr/>
            </w:pPr>
            <w:r>
              <w:t xml:space="preserve">What, If Anything, Continues at Death?</w:t>
            </w:r>
            <w:r/>
          </w:p>
        </w:tc>
        <w:tc>
          <w:tcPr>
            <w:tcBorders/>
            <w:tcMar>
              <w:left w:w="70" w:type="dxa"/>
              <w:top w:w="60" w:type="dxa"/>
              <w:right w:w="70" w:type="dxa"/>
              <w:bottom w:w="60" w:type="dxa"/>
            </w:tcMar>
            <w:tcW w:w="1830" w:type="dxa"/>
            <w:vAlign w:val="top"/>
          </w:tcPr>
          <w:p>
            <w:pPr>
              <w:pStyle w:val="1297"/>
              <w:pBdr/>
              <w:spacing/>
              <w:ind/>
              <w:rPr/>
            </w:pPr>
            <w:r>
              <w:t xml:space="preserve">Volume II / Publication Part VI — DEATH, ENDS, AND LIMITS OF SYNTHESIS</w:t>
            </w:r>
            <w:r/>
          </w:p>
        </w:tc>
        <w:tc>
          <w:tcPr>
            <w:tcBorders/>
            <w:tcMar>
              <w:left w:w="70" w:type="dxa"/>
              <w:top w:w="60" w:type="dxa"/>
              <w:right w:w="70" w:type="dxa"/>
              <w:bottom w:w="60" w:type="dxa"/>
            </w:tcMar>
            <w:tcW w:w="3508" w:type="dxa"/>
            <w:vAlign w:val="top"/>
          </w:tcPr>
          <w:p>
            <w:pPr>
              <w:pStyle w:val="1297"/>
              <w:pBdr/>
              <w:spacing/>
              <w:ind/>
              <w:rPr/>
            </w:pPr>
            <w:r>
              <w:t xml:space="preserve">Compare resurrection, rebirth, soul survival, dissolution, release from rebirth, and mortalist extinction.</w:t>
            </w:r>
            <w:r/>
          </w:p>
        </w:tc>
        <w:tc>
          <w:tcPr>
            <w:tcBorders/>
            <w:tcMar>
              <w:left w:w="70" w:type="dxa"/>
              <w:top w:w="60" w:type="dxa"/>
              <w:right w:w="70" w:type="dxa"/>
              <w:bottom w:w="60" w:type="dxa"/>
            </w:tcMar>
            <w:tcW w:w="3356" w:type="dxa"/>
            <w:vAlign w:val="top"/>
          </w:tcPr>
          <w:p>
            <w:pPr>
              <w:pStyle w:val="1297"/>
              <w:pBdr/>
              <w:spacing/>
              <w:ind/>
              <w:rPr/>
            </w:pPr>
            <w:r>
              <w:t xml:space="preserve">Core: Gregory; Jaina; Śaṅkara; Yogācāra; Avicenna; Papineau physicalism; Apocryphon; Comparators: Epicureanism</w:t>
            </w:r>
            <w:r/>
          </w:p>
        </w:tc>
        <w:tc>
          <w:tcPr>
            <w:tcBorders/>
            <w:tcMar>
              <w:left w:w="70" w:type="dxa"/>
              <w:top w:w="60" w:type="dxa"/>
              <w:right w:w="70" w:type="dxa"/>
              <w:bottom w:w="60" w:type="dxa"/>
            </w:tcMar>
            <w:tcW w:w="3051" w:type="dxa"/>
            <w:vAlign w:val="top"/>
          </w:tcPr>
          <w:p>
            <w:pPr>
              <w:pStyle w:val="1297"/>
              <w:pBdr/>
              <w:spacing/>
              <w:ind/>
              <w:rPr/>
            </w:pPr>
            <w:r>
              <w:t xml:space="preserve">D13 (Death &amp; continuity) D6 (Self, personhood &amp; identity) D14 (Telos / desired condition).</w:t>
            </w:r>
            <w:r/>
          </w:p>
        </w:tc>
        <w:tc>
          <w:tcPr>
            <w:tcBorders/>
            <w:tcMar>
              <w:left w:w="70" w:type="dxa"/>
              <w:top w:w="60" w:type="dxa"/>
              <w:right w:w="70" w:type="dxa"/>
              <w:bottom w:w="60" w:type="dxa"/>
            </w:tcMar>
            <w:tcW w:w="915" w:type="dxa"/>
            <w:vAlign w:val="top"/>
          </w:tcPr>
          <w:p>
            <w:pPr>
              <w:pStyle w:val="1297"/>
              <w:pBdr/>
              <w:spacing/>
              <w:ind/>
              <w:rPr/>
            </w:pPr>
            <w:r>
              <w:t xml:space="preserve">13,000</w:t>
            </w:r>
            <w:r/>
          </w:p>
        </w:tc>
      </w:tr>
      <w:tr>
        <w:trPr>
          <w:cantSplit/>
        </w:trPr>
        <w:tc>
          <w:tcPr>
            <w:shd w:val="clear" w:color="auto" w:fill="f7f9fa"/>
            <w:tcBorders/>
            <w:tcMar>
              <w:left w:w="70" w:type="dxa"/>
              <w:top w:w="60" w:type="dxa"/>
              <w:right w:w="70" w:type="dxa"/>
              <w:bottom w:w="60" w:type="dxa"/>
            </w:tcMar>
            <w:tcW w:w="610" w:type="dxa"/>
            <w:vAlign w:val="top"/>
          </w:tcPr>
          <w:p>
            <w:pPr>
              <w:pStyle w:val="1297"/>
              <w:pBdr/>
              <w:spacing/>
              <w:ind/>
              <w:rPr/>
            </w:pPr>
            <w:r>
              <w:t xml:space="preserve">18</w:t>
            </w:r>
            <w:r/>
          </w:p>
        </w:tc>
        <w:tc>
          <w:tcPr>
            <w:shd w:val="clear" w:color="auto" w:fill="f7f9fa"/>
            <w:tcBorders/>
            <w:tcMar>
              <w:left w:w="70" w:type="dxa"/>
              <w:top w:w="60" w:type="dxa"/>
              <w:right w:w="70" w:type="dxa"/>
              <w:bottom w:w="60" w:type="dxa"/>
            </w:tcMar>
            <w:tcW w:w="1983" w:type="dxa"/>
            <w:vAlign w:val="top"/>
          </w:tcPr>
          <w:p>
            <w:pPr>
              <w:pStyle w:val="1297"/>
              <w:pBdr/>
              <w:spacing/>
              <w:ind/>
              <w:rPr/>
            </w:pPr>
            <w:r>
              <w:t xml:space="preserve">Does a Life Have a Final Condition?</w:t>
            </w:r>
            <w:r/>
          </w:p>
        </w:tc>
        <w:tc>
          <w:tcPr>
            <w:shd w:val="clear" w:color="auto" w:fill="f7f9fa"/>
            <w:tcBorders/>
            <w:tcMar>
              <w:left w:w="70" w:type="dxa"/>
              <w:top w:w="60" w:type="dxa"/>
              <w:right w:w="70" w:type="dxa"/>
              <w:bottom w:w="60" w:type="dxa"/>
            </w:tcMar>
            <w:tcW w:w="1830" w:type="dxa"/>
            <w:vAlign w:val="top"/>
          </w:tcPr>
          <w:p>
            <w:pPr>
              <w:pStyle w:val="1297"/>
              <w:pBdr/>
              <w:spacing/>
              <w:ind/>
              <w:rPr/>
            </w:pPr>
            <w:r>
              <w:t xml:space="preserve">Volume II / Publication Part VI — DEATH, ENDS, AND LIMITS OF SYNTHESIS</w:t>
            </w:r>
            <w:r/>
          </w:p>
        </w:tc>
        <w:tc>
          <w:tcPr>
            <w:shd w:val="clear" w:color="auto" w:fill="f7f9fa"/>
            <w:tcBorders/>
            <w:tcMar>
              <w:left w:w="70" w:type="dxa"/>
              <w:top w:w="60" w:type="dxa"/>
              <w:right w:w="70" w:type="dxa"/>
              <w:bottom w:w="60" w:type="dxa"/>
            </w:tcMar>
            <w:tcW w:w="3508" w:type="dxa"/>
            <w:vAlign w:val="top"/>
          </w:tcPr>
          <w:p>
            <w:pPr>
              <w:pStyle w:val="1297"/>
              <w:pBdr/>
              <w:spacing/>
              <w:ind/>
              <w:rPr/>
            </w:pPr>
            <w:r>
              <w:t xml:space="preserve">Compare liberation, theosis, sagehood, tranquility, authenticity, beatitude-like ends, and positions with no cosmic final condition.</w:t>
            </w:r>
            <w:r/>
          </w:p>
        </w:tc>
        <w:tc>
          <w:tcPr>
            <w:shd w:val="clear" w:color="auto" w:fill="f7f9fa"/>
            <w:tcBorders/>
            <w:tcMar>
              <w:left w:w="70" w:type="dxa"/>
              <w:top w:w="60" w:type="dxa"/>
              <w:right w:w="70" w:type="dxa"/>
              <w:bottom w:w="60" w:type="dxa"/>
            </w:tcMar>
            <w:tcW w:w="3356" w:type="dxa"/>
            <w:vAlign w:val="top"/>
          </w:tcPr>
          <w:p>
            <w:pPr>
              <w:pStyle w:val="1297"/>
              <w:pBdr/>
              <w:spacing/>
              <w:ind/>
              <w:rPr/>
            </w:pPr>
            <w:r>
              <w:t xml:space="preserve">Core: Śaṅkara; Nāgārjuna; Gregory; Jaina; Zhu Xi; Zhuangzi; Sartre; Spinoza; Guru Nanak; Comparators: Epicureanism</w:t>
            </w:r>
            <w:r/>
          </w:p>
        </w:tc>
        <w:tc>
          <w:tcPr>
            <w:shd w:val="clear" w:color="auto" w:fill="f7f9fa"/>
            <w:tcBorders/>
            <w:tcMar>
              <w:left w:w="70" w:type="dxa"/>
              <w:top w:w="60" w:type="dxa"/>
              <w:right w:w="70" w:type="dxa"/>
              <w:bottom w:w="60" w:type="dxa"/>
            </w:tcMar>
            <w:tcW w:w="3051" w:type="dxa"/>
            <w:vAlign w:val="top"/>
          </w:tcPr>
          <w:p>
            <w:pPr>
              <w:pStyle w:val="1297"/>
              <w:pBdr/>
              <w:spacing/>
              <w:ind/>
              <w:rPr/>
            </w:pPr>
            <w:r>
              <w:t xml:space="preserve">D14 (Telos / desired condition) D8 (Axiology, meaning &amp; value) D12 (Praxis &amp; transformation).</w:t>
            </w:r>
            <w:r/>
          </w:p>
        </w:tc>
        <w:tc>
          <w:tcPr>
            <w:shd w:val="clear" w:color="auto" w:fill="f7f9fa"/>
            <w:tcBorders/>
            <w:tcMar>
              <w:left w:w="70" w:type="dxa"/>
              <w:top w:w="60" w:type="dxa"/>
              <w:right w:w="70" w:type="dxa"/>
              <w:bottom w:w="60" w:type="dxa"/>
            </w:tcMar>
            <w:tcW w:w="915" w:type="dxa"/>
            <w:vAlign w:val="top"/>
          </w:tcPr>
          <w:p>
            <w:pPr>
              <w:pStyle w:val="1297"/>
              <w:pBdr/>
              <w:spacing/>
              <w:ind/>
              <w:rPr/>
            </w:pPr>
            <w:r>
              <w:t xml:space="preserve">13,000</w:t>
            </w:r>
            <w:r/>
          </w:p>
        </w:tc>
      </w:tr>
      <w:tr>
        <w:trPr>
          <w:cantSplit/>
        </w:trPr>
        <w:tc>
          <w:tcPr>
            <w:tcBorders/>
            <w:tcMar>
              <w:left w:w="70" w:type="dxa"/>
              <w:top w:w="60" w:type="dxa"/>
              <w:right w:w="70" w:type="dxa"/>
              <w:bottom w:w="60" w:type="dxa"/>
            </w:tcMar>
            <w:tcW w:w="610" w:type="dxa"/>
            <w:vAlign w:val="top"/>
          </w:tcPr>
          <w:p>
            <w:pPr>
              <w:pStyle w:val="1297"/>
              <w:pBdr/>
              <w:spacing/>
              <w:ind/>
              <w:rPr/>
            </w:pPr>
            <w:r>
              <w:t xml:space="preserve">19</w:t>
            </w:r>
            <w:r/>
          </w:p>
        </w:tc>
        <w:tc>
          <w:tcPr>
            <w:tcBorders/>
            <w:tcMar>
              <w:left w:w="70" w:type="dxa"/>
              <w:top w:w="60" w:type="dxa"/>
              <w:right w:w="70" w:type="dxa"/>
              <w:bottom w:w="60" w:type="dxa"/>
            </w:tcMar>
            <w:tcW w:w="1983" w:type="dxa"/>
            <w:vAlign w:val="top"/>
          </w:tcPr>
          <w:p>
            <w:pPr>
              <w:pStyle w:val="1297"/>
              <w:pBdr/>
              <w:spacing/>
              <w:ind/>
              <w:rPr/>
            </w:pPr>
            <w:r>
              <w:t xml:space="preserve">The Recurrent Shapes—and the Counterexamples</w:t>
            </w:r>
            <w:r/>
          </w:p>
        </w:tc>
        <w:tc>
          <w:tcPr>
            <w:tcBorders/>
            <w:tcMar>
              <w:left w:w="70" w:type="dxa"/>
              <w:top w:w="60" w:type="dxa"/>
              <w:right w:w="70" w:type="dxa"/>
              <w:bottom w:w="60" w:type="dxa"/>
            </w:tcMar>
            <w:tcW w:w="1830" w:type="dxa"/>
            <w:vAlign w:val="top"/>
          </w:tcPr>
          <w:p>
            <w:pPr>
              <w:pStyle w:val="1297"/>
              <w:pBdr/>
              <w:spacing/>
              <w:ind/>
              <w:rPr/>
            </w:pPr>
            <w:r>
              <w:t xml:space="preserve">Volume II / Publication Part VI — DEATH, ENDS, AND LIMITS OF SYNTHESIS</w:t>
            </w:r>
            <w:r/>
          </w:p>
        </w:tc>
        <w:tc>
          <w:tcPr>
            <w:tcBorders/>
            <w:tcMar>
              <w:left w:w="70" w:type="dxa"/>
              <w:top w:w="60" w:type="dxa"/>
              <w:right w:w="70" w:type="dxa"/>
              <w:bottom w:w="60" w:type="dxa"/>
            </w:tcMar>
            <w:tcW w:w="3508" w:type="dxa"/>
            <w:vAlign w:val="top"/>
          </w:tcPr>
          <w:p>
            <w:pPr>
              <w:pStyle w:val="1297"/>
              <w:pBdr/>
              <w:spacing/>
              <w:ind/>
              <w:rPr/>
            </w:pPr>
            <w:r>
              <w:t xml:space="preserve">Collect only the patterns that survive the enlarged corpus and explicit counterexample testing, and test whethe</w:t>
            </w:r>
            <w:r>
              <w:t xml:space="preserve">r existing records support a bounded integrative PublicationClaim—or only a negative or limitation result—about relations among reality, epistemic access, diagnosis and transformation without treating a cross-pattern audit as registration of a new pattern.</w:t>
            </w:r>
            <w:r/>
          </w:p>
        </w:tc>
        <w:tc>
          <w:tcPr>
            <w:tcBorders/>
            <w:tcMar>
              <w:left w:w="70" w:type="dxa"/>
              <w:top w:w="60" w:type="dxa"/>
              <w:right w:w="70" w:type="dxa"/>
              <w:bottom w:w="60" w:type="dxa"/>
            </w:tcMar>
            <w:tcW w:w="3356" w:type="dxa"/>
            <w:vAlign w:val="top"/>
          </w:tcPr>
          <w:p>
            <w:pPr>
              <w:pStyle w:val="1297"/>
              <w:pBdr/>
              <w:spacing/>
              <w:ind/>
              <w:rPr/>
            </w:pPr>
            <w:r>
              <w:t xml:space="preserve">Core: All adopted CORE positions.; Comparators: Selected MAJOR COMPARATOR and COUNTEREXAMPLE/STRESS positions as required by the chapter hypothesis set.</w:t>
            </w:r>
            <w:r/>
          </w:p>
        </w:tc>
        <w:tc>
          <w:tcPr>
            <w:tcBorders/>
            <w:tcMar>
              <w:left w:w="70" w:type="dxa"/>
              <w:top w:w="60" w:type="dxa"/>
              <w:right w:w="70" w:type="dxa"/>
              <w:bottom w:w="60" w:type="dxa"/>
            </w:tcMar>
            <w:tcW w:w="3051" w:type="dxa"/>
            <w:vAlign w:val="top"/>
          </w:tcPr>
          <w:p>
            <w:pPr>
              <w:pStyle w:val="1297"/>
              <w:pBdr/>
              <w:spacing/>
              <w:ind/>
              <w:rPr/>
            </w:pPr>
            <w:r>
              <w:t xml:space="preserve">Cross-domain.</w:t>
            </w:r>
            <w:r/>
          </w:p>
        </w:tc>
        <w:tc>
          <w:tcPr>
            <w:tcBorders/>
            <w:tcMar>
              <w:left w:w="70" w:type="dxa"/>
              <w:top w:w="60" w:type="dxa"/>
              <w:right w:w="70" w:type="dxa"/>
              <w:bottom w:w="60" w:type="dxa"/>
            </w:tcMar>
            <w:tcW w:w="915" w:type="dxa"/>
            <w:vAlign w:val="top"/>
          </w:tcPr>
          <w:p>
            <w:pPr>
              <w:pStyle w:val="1297"/>
              <w:pBdr/>
              <w:spacing/>
              <w:ind/>
              <w:rPr/>
            </w:pPr>
            <w:r>
              <w:t xml:space="preserve">14,000</w:t>
            </w:r>
            <w:r/>
          </w:p>
        </w:tc>
      </w:tr>
      <w:tr>
        <w:trPr>
          <w:cantSplit/>
        </w:trPr>
        <w:tc>
          <w:tcPr>
            <w:shd w:val="clear" w:color="auto" w:fill="f7f9fa"/>
            <w:tcBorders/>
            <w:tcMar>
              <w:left w:w="70" w:type="dxa"/>
              <w:top w:w="60" w:type="dxa"/>
              <w:right w:w="70" w:type="dxa"/>
              <w:bottom w:w="60" w:type="dxa"/>
            </w:tcMar>
            <w:tcW w:w="610" w:type="dxa"/>
            <w:vAlign w:val="top"/>
          </w:tcPr>
          <w:p>
            <w:pPr>
              <w:pStyle w:val="1297"/>
              <w:pBdr/>
              <w:spacing/>
              <w:ind/>
              <w:rPr/>
            </w:pPr>
            <w:r>
              <w:t xml:space="preserve">20</w:t>
            </w:r>
            <w:r/>
          </w:p>
        </w:tc>
        <w:tc>
          <w:tcPr>
            <w:shd w:val="clear" w:color="auto" w:fill="f7f9fa"/>
            <w:tcBorders/>
            <w:tcMar>
              <w:left w:w="70" w:type="dxa"/>
              <w:top w:w="60" w:type="dxa"/>
              <w:right w:w="70" w:type="dxa"/>
              <w:bottom w:w="60" w:type="dxa"/>
            </w:tcMar>
            <w:tcW w:w="1983" w:type="dxa"/>
            <w:vAlign w:val="top"/>
          </w:tcPr>
          <w:p>
            <w:pPr>
              <w:pStyle w:val="1297"/>
              <w:pBdr/>
              <w:spacing/>
              <w:ind/>
              <w:rPr/>
            </w:pPr>
            <w:r>
              <w:t xml:space="preserve">What Comparison Establishes—and Where It Must Stop</w:t>
            </w:r>
            <w:r/>
          </w:p>
        </w:tc>
        <w:tc>
          <w:tcPr>
            <w:shd w:val="clear" w:color="auto" w:fill="f7f9fa"/>
            <w:tcBorders/>
            <w:tcMar>
              <w:left w:w="70" w:type="dxa"/>
              <w:top w:w="60" w:type="dxa"/>
              <w:right w:w="70" w:type="dxa"/>
              <w:bottom w:w="60" w:type="dxa"/>
            </w:tcMar>
            <w:tcW w:w="1830" w:type="dxa"/>
            <w:vAlign w:val="top"/>
          </w:tcPr>
          <w:p>
            <w:pPr>
              <w:pStyle w:val="1297"/>
              <w:pBdr/>
              <w:spacing/>
              <w:ind/>
              <w:rPr/>
            </w:pPr>
            <w:r>
              <w:t xml:space="preserve">Volume II / Publication Part VI — DEATH, ENDS, AND LIMITS OF SYNTHESIS</w:t>
            </w:r>
            <w:r/>
          </w:p>
        </w:tc>
        <w:tc>
          <w:tcPr>
            <w:shd w:val="clear" w:color="auto" w:fill="f7f9fa"/>
            <w:tcBorders/>
            <w:tcMar>
              <w:left w:w="70" w:type="dxa"/>
              <w:top w:w="60" w:type="dxa"/>
              <w:right w:w="70" w:type="dxa"/>
              <w:bottom w:w="60" w:type="dxa"/>
            </w:tcMar>
            <w:tcW w:w="3508" w:type="dxa"/>
            <w:vAlign w:val="top"/>
          </w:tcPr>
          <w:p>
            <w:pPr>
              <w:pStyle w:val="1297"/>
              <w:pBdr/>
              <w:spacing/>
              <w:ind/>
              <w:rPr/>
            </w:pPr>
            <w:r>
              <w:t xml:space="preserve">Conclude with </w:t>
            </w:r>
            <w:r>
              <w:t xml:space="preserve">the Atlas’s actual intellectual contribution and explicit limits, including the mapped relations among reality, epistemic authority and access, sources or structures of error and transformation, with knower/subject language used only where source-grounded.</w:t>
            </w:r>
            <w:r/>
          </w:p>
        </w:tc>
        <w:tc>
          <w:tcPr>
            <w:shd w:val="clear" w:color="auto" w:fill="f7f9fa"/>
            <w:tcBorders/>
            <w:tcMar>
              <w:left w:w="70" w:type="dxa"/>
              <w:top w:w="60" w:type="dxa"/>
              <w:right w:w="70" w:type="dxa"/>
              <w:bottom w:w="60" w:type="dxa"/>
            </w:tcMar>
            <w:tcW w:w="3356" w:type="dxa"/>
            <w:vAlign w:val="top"/>
          </w:tcPr>
          <w:p>
            <w:pPr>
              <w:pStyle w:val="1297"/>
              <w:pBdr/>
              <w:spacing/>
              <w:ind/>
              <w:rPr/>
            </w:pPr>
            <w:r>
              <w:t xml:space="preserve">Core: All adopted CORE positions.; Comparators: All adopted non-core publication roles as relevant; held/future material remains bounded by its current role.</w:t>
            </w:r>
            <w:r/>
          </w:p>
        </w:tc>
        <w:tc>
          <w:tcPr>
            <w:shd w:val="clear" w:color="auto" w:fill="f7f9fa"/>
            <w:tcBorders/>
            <w:tcMar>
              <w:left w:w="70" w:type="dxa"/>
              <w:top w:w="60" w:type="dxa"/>
              <w:right w:w="70" w:type="dxa"/>
              <w:bottom w:w="60" w:type="dxa"/>
            </w:tcMar>
            <w:tcW w:w="3051" w:type="dxa"/>
            <w:vAlign w:val="top"/>
          </w:tcPr>
          <w:p>
            <w:pPr>
              <w:pStyle w:val="1297"/>
              <w:pBdr/>
              <w:spacing/>
              <w:ind/>
              <w:rPr/>
            </w:pPr>
            <w:r>
              <w:t xml:space="preserve">Cross-domain.</w:t>
            </w:r>
            <w:r/>
          </w:p>
        </w:tc>
        <w:tc>
          <w:tcPr>
            <w:shd w:val="clear" w:color="auto" w:fill="f7f9fa"/>
            <w:tcBorders/>
            <w:tcMar>
              <w:left w:w="70" w:type="dxa"/>
              <w:top w:w="60" w:type="dxa"/>
              <w:right w:w="70" w:type="dxa"/>
              <w:bottom w:w="60" w:type="dxa"/>
            </w:tcMar>
            <w:tcW w:w="915" w:type="dxa"/>
            <w:vAlign w:val="top"/>
          </w:tcPr>
          <w:p>
            <w:pPr>
              <w:pStyle w:val="1297"/>
              <w:pBdr/>
              <w:spacing/>
              <w:ind/>
              <w:rPr/>
            </w:pPr>
            <w:r>
              <w:t xml:space="preserve">10,000</w:t>
            </w:r>
            <w:r/>
          </w:p>
        </w:tc>
      </w:tr>
    </w:tbl>
    <w:p>
      <w:pPr>
        <w:pStyle w:val="1300"/>
        <w:pBdr/>
        <w:spacing/>
        <w:ind/>
        <w:rPr/>
      </w:pPr>
      <w:r/>
      <w:r/>
    </w:p>
    <w:p>
      <w:pPr>
        <w:pStyle w:val="1136"/>
        <w:keepNext w:val="true"/>
        <w:keepLines w:val="true"/>
        <w:pBdr/>
        <w:spacing/>
        <w:ind/>
        <w:rPr/>
      </w:pPr>
      <w:r/>
      <w:bookmarkStart w:id="194" w:name="B3"/>
      <w:r>
        <w:t xml:space="preserve">B3. Production manifest</w:t>
      </w:r>
      <w:bookmarkEnd w:id="194"/>
      <w:r/>
      <w:r/>
    </w:p>
    <w:p>
      <w:pPr>
        <w:pStyle w:val="1300"/>
        <w:pBdr/>
        <w:spacing/>
        <w:ind/>
        <w:rPr/>
      </w:pPr>
      <w:r>
        <w:t xml:space="preserve">This production manifest summarizes, rather than replaces, the complete requ</w:t>
      </w:r>
      <w:r>
        <w:t xml:space="preserve">irements. For each chapter, use the linked local brief, all its fields and named dependencies, and the MCPC; a requirement need not be prefixed “Required review” to apply. Global G2/G3/G6/G7 and unit-level release conditions are inherited where applicable.</w:t>
      </w:r>
      <w:r/>
    </w:p>
    <w:p>
      <w:pPr>
        <w:pStyle w:val="1184"/>
        <w:keepNext w:val="true"/>
        <w:keepLines w:val="true"/>
        <w:pBdr/>
        <w:spacing/>
        <w:ind/>
        <w:rPr/>
      </w:pPr>
      <w:r/>
      <w:bookmarkStart w:id="195" w:name="T_PRODUCTION_MANIFEST"/>
      <w:r>
        <w:t xml:space="preserve">Derived — Chapter production manifest summary; source: all local brief fields, named dependencies and MCPC</w:t>
      </w:r>
      <w:bookmarkEnd w:id="195"/>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610"/>
        <w:gridCol w:w="4729"/>
        <w:gridCol w:w="3661"/>
        <w:gridCol w:w="4882"/>
        <w:gridCol w:w="1373"/>
      </w:tblGrid>
      <w:tr>
        <w:trPr>
          <w:cantSplit/>
          <w:tblHeader/>
        </w:trPr>
        <w:tc>
          <w:tcPr>
            <w:shd w:val="clear" w:color="auto" w:fill="1f5a73"/>
            <w:tcBorders/>
            <w:tcMar>
              <w:left w:w="70" w:type="dxa"/>
              <w:top w:w="60" w:type="dxa"/>
              <w:right w:w="70" w:type="dxa"/>
              <w:bottom w:w="60" w:type="dxa"/>
            </w:tcMar>
            <w:tcW w:w="610" w:type="dxa"/>
            <w:vAlign w:val="top"/>
          </w:tcPr>
          <w:p>
            <w:pPr>
              <w:pStyle w:val="1299"/>
              <w:pBdr/>
              <w:spacing/>
              <w:ind/>
              <w:rPr/>
            </w:pPr>
            <w:r>
              <w:t xml:space="preserve">Ch.</w:t>
            </w:r>
            <w:r/>
          </w:p>
        </w:tc>
        <w:tc>
          <w:tcPr>
            <w:shd w:val="clear" w:color="auto" w:fill="1f5a73"/>
            <w:tcBorders/>
            <w:tcMar>
              <w:left w:w="70" w:type="dxa"/>
              <w:top w:w="60" w:type="dxa"/>
              <w:right w:w="70" w:type="dxa"/>
              <w:bottom w:w="60" w:type="dxa"/>
            </w:tcMar>
            <w:tcW w:w="4729" w:type="dxa"/>
            <w:vAlign w:val="top"/>
          </w:tcPr>
          <w:p>
            <w:pPr>
              <w:pStyle w:val="1299"/>
              <w:pBdr/>
              <w:spacing/>
              <w:ind/>
              <w:rPr/>
            </w:pPr>
            <w:r>
              <w:t xml:space="preserve">RG dependencies and local consequence</w:t>
            </w:r>
            <w:r/>
          </w:p>
        </w:tc>
        <w:tc>
          <w:tcPr>
            <w:shd w:val="clear" w:color="auto" w:fill="1f5a73"/>
            <w:tcBorders/>
            <w:tcMar>
              <w:left w:w="70" w:type="dxa"/>
              <w:top w:w="60" w:type="dxa"/>
              <w:right w:w="70" w:type="dxa"/>
              <w:bottom w:w="60" w:type="dxa"/>
            </w:tcMar>
            <w:tcW w:w="3661" w:type="dxa"/>
            <w:vAlign w:val="top"/>
          </w:tcPr>
          <w:p>
            <w:pPr>
              <w:pStyle w:val="1299"/>
              <w:pBdr/>
              <w:spacing/>
              <w:ind/>
              <w:rPr/>
            </w:pPr>
            <w:r>
              <w:t xml:space="preserve">Planned outputs</w:t>
            </w:r>
            <w:r/>
          </w:p>
        </w:tc>
        <w:tc>
          <w:tcPr>
            <w:shd w:val="clear" w:color="auto" w:fill="1f5a73"/>
            <w:tcBorders/>
            <w:tcMar>
              <w:left w:w="70" w:type="dxa"/>
              <w:top w:w="60" w:type="dxa"/>
              <w:right w:w="70" w:type="dxa"/>
              <w:bottom w:w="60" w:type="dxa"/>
            </w:tcMar>
            <w:tcW w:w="4882" w:type="dxa"/>
            <w:vAlign w:val="top"/>
          </w:tcPr>
          <w:p>
            <w:pPr>
              <w:pStyle w:val="1299"/>
              <w:pBdr/>
              <w:spacing/>
              <w:ind/>
              <w:rPr/>
            </w:pPr>
            <w:r>
              <w:t xml:space="preserve">Required specialist or governance review</w:t>
            </w:r>
            <w:r/>
          </w:p>
        </w:tc>
        <w:tc>
          <w:tcPr>
            <w:shd w:val="clear" w:color="auto" w:fill="1f5a73"/>
            <w:tcBorders/>
            <w:tcMar>
              <w:left w:w="70" w:type="dxa"/>
              <w:top w:w="60" w:type="dxa"/>
              <w:right w:w="70" w:type="dxa"/>
              <w:bottom w:w="60" w:type="dxa"/>
            </w:tcMar>
            <w:tcW w:w="1373" w:type="dxa"/>
            <w:vAlign w:val="top"/>
          </w:tcPr>
          <w:p>
            <w:pPr>
              <w:pStyle w:val="1299"/>
              <w:pBdr/>
              <w:spacing/>
              <w:ind/>
              <w:rPr/>
            </w:pPr>
            <w:r>
              <w:t xml:space="preserve">Contract</w:t>
            </w:r>
            <w:r/>
          </w:p>
        </w:tc>
      </w:tr>
      <w:tr>
        <w:trPr>
          <w:cantSplit/>
        </w:trPr>
        <w:tc>
          <w:tcPr>
            <w:tcBorders/>
            <w:tcMar>
              <w:left w:w="70" w:type="dxa"/>
              <w:top w:w="60" w:type="dxa"/>
              <w:right w:w="70" w:type="dxa"/>
              <w:bottom w:w="60" w:type="dxa"/>
            </w:tcMar>
            <w:tcW w:w="610" w:type="dxa"/>
            <w:vAlign w:val="top"/>
          </w:tcPr>
          <w:p>
            <w:pPr>
              <w:pStyle w:val="1297"/>
              <w:pBdr/>
              <w:spacing/>
              <w:ind/>
              <w:rPr/>
            </w:pPr>
            <w:r>
              <w:t xml:space="preserve">1</w:t>
            </w:r>
            <w:r/>
          </w:p>
        </w:tc>
        <w:tc>
          <w:tcPr>
            <w:tcBorders/>
            <w:tcMar>
              <w:left w:w="70" w:type="dxa"/>
              <w:top w:w="60" w:type="dxa"/>
              <w:right w:w="70" w:type="dxa"/>
              <w:bottom w:w="60" w:type="dxa"/>
            </w:tcMar>
            <w:tcW w:w="4729" w:type="dxa"/>
            <w:vAlign w:val="top"/>
          </w:tcPr>
          <w:p>
            <w:pPr>
              <w:pStyle w:val="1297"/>
              <w:pBdr/>
              <w:spacing/>
              <w:ind/>
              <w:rPr/>
            </w:pPr>
            <w:r>
              <w:t xml:space="preserve">RG-01, RG-02, RG-03. Ifá examples remain project-gate and community-governance dependent; Achuar remains a held mediated reconstruction.</w:t>
            </w:r>
            <w:r/>
          </w:p>
        </w:tc>
        <w:tc>
          <w:tcPr>
            <w:tcBorders/>
            <w:tcMar>
              <w:left w:w="70" w:type="dxa"/>
              <w:top w:w="60" w:type="dxa"/>
              <w:right w:w="70" w:type="dxa"/>
              <w:bottom w:w="60" w:type="dxa"/>
            </w:tcMar>
            <w:tcW w:w="3661" w:type="dxa"/>
            <w:vAlign w:val="top"/>
          </w:tcPr>
          <w:p>
            <w:pPr>
              <w:pStyle w:val="1297"/>
              <w:pBdr/>
              <w:spacing/>
              <w:ind/>
              <w:rPr/>
            </w:pPr>
            <w:r>
              <w:t xml:space="preserve">Figure 1. Position-first evidence stack; Box 1. Eight primary response states + CAT.</w:t>
            </w:r>
            <w:r/>
          </w:p>
        </w:tc>
        <w:tc>
          <w:tcPr>
            <w:tcBorders/>
            <w:tcMar>
              <w:left w:w="70" w:type="dxa"/>
              <w:top w:w="60" w:type="dxa"/>
              <w:right w:w="70" w:type="dxa"/>
              <w:bottom w:w="60" w:type="dxa"/>
            </w:tcMar>
            <w:tcW w:w="4882" w:type="dxa"/>
            <w:vAlign w:val="top"/>
          </w:tcPr>
          <w:p>
            <w:pPr>
              <w:pStyle w:val="1297"/>
              <w:pBdr/>
              <w:spacing/>
              <w:ind/>
              <w:rPr/>
            </w:pPr>
            <w:r>
              <w:t xml:space="preserve">Ifá provenance, applicable source-community/governance and rights review; Achuar mediated-source and representation limits. Required source/category review under the MCPC.</w:t>
            </w:r>
            <w:r/>
          </w:p>
        </w:tc>
        <w:tc>
          <w:tcPr>
            <w:tcBorders/>
            <w:tcMar>
              <w:left w:w="70" w:type="dxa"/>
              <w:top w:w="60" w:type="dxa"/>
              <w:right w:w="70" w:type="dxa"/>
              <w:bottom w:w="60" w:type="dxa"/>
            </w:tcMar>
            <w:tcW w:w="1373" w:type="dxa"/>
            <w:vAlign w:val="top"/>
          </w:tcPr>
          <w:p>
            <w:pPr>
              <w:pStyle w:val="1297"/>
              <w:pBdr/>
              <w:spacing/>
              <w:ind/>
              <w:rPr/>
            </w:pPr>
            <w:r>
              <w:t xml:space="preserve">MCPC; </w:t>
            </w:r>
            <w:hyperlink w:tooltip="#CH_01" w:anchor="CH_01" w:history="1">
              <w:r>
                <w:t xml:space="preserve">Chapter 1 local brief</w:t>
              </w:r>
            </w:hyperlink>
            <w:r/>
            <w:r/>
          </w:p>
        </w:tc>
      </w:tr>
      <w:tr>
        <w:trPr>
          <w:cantSplit/>
        </w:trPr>
        <w:tc>
          <w:tcPr>
            <w:shd w:val="clear" w:color="auto" w:fill="f7f9fa"/>
            <w:tcBorders/>
            <w:tcMar>
              <w:left w:w="70" w:type="dxa"/>
              <w:top w:w="60" w:type="dxa"/>
              <w:right w:w="70" w:type="dxa"/>
              <w:bottom w:w="60" w:type="dxa"/>
            </w:tcMar>
            <w:tcW w:w="610" w:type="dxa"/>
            <w:vAlign w:val="top"/>
          </w:tcPr>
          <w:p>
            <w:pPr>
              <w:pStyle w:val="1297"/>
              <w:pBdr/>
              <w:spacing/>
              <w:ind/>
              <w:rPr/>
            </w:pPr>
            <w:r>
              <w:t xml:space="preserve">2</w:t>
            </w:r>
            <w:r/>
          </w:p>
        </w:tc>
        <w:tc>
          <w:tcPr>
            <w:shd w:val="clear" w:color="auto" w:fill="f7f9fa"/>
            <w:tcBorders/>
            <w:tcMar>
              <w:left w:w="70" w:type="dxa"/>
              <w:top w:w="60" w:type="dxa"/>
              <w:right w:w="70" w:type="dxa"/>
              <w:bottom w:w="60" w:type="dxa"/>
            </w:tcMar>
            <w:tcW w:w="4729" w:type="dxa"/>
            <w:vAlign w:val="top"/>
          </w:tcPr>
          <w:p>
            <w:pPr>
              <w:pStyle w:val="1297"/>
              <w:pBdr/>
              <w:spacing/>
              <w:ind/>
              <w:rPr/>
            </w:pPr>
            <w:r>
              <w:t xml:space="preserve">No dedicated RG ID. A final reader-facing glossary requires concept-record completion for core source terms.</w:t>
            </w:r>
            <w:r/>
          </w:p>
        </w:tc>
        <w:tc>
          <w:tcPr>
            <w:shd w:val="clear" w:color="auto" w:fill="f7f9fa"/>
            <w:tcBorders/>
            <w:tcMar>
              <w:left w:w="70" w:type="dxa"/>
              <w:top w:w="60" w:type="dxa"/>
              <w:right w:w="70" w:type="dxa"/>
              <w:bottom w:w="60" w:type="dxa"/>
            </w:tcMar>
            <w:tcW w:w="3661" w:type="dxa"/>
            <w:vAlign w:val="top"/>
          </w:tcPr>
          <w:p>
            <w:pPr>
              <w:pStyle w:val="1297"/>
              <w:pBdr/>
              <w:spacing/>
              <w:ind/>
              <w:rPr/>
            </w:pPr>
            <w:r>
              <w:t xml:space="preserve">Figure 2. Typed relation stack and coherence matrix; Table 2. Similarity claims that do and do not entail one another.</w:t>
            </w:r>
            <w:r/>
          </w:p>
        </w:tc>
        <w:tc>
          <w:tcPr>
            <w:shd w:val="clear" w:color="auto" w:fill="f7f9fa"/>
            <w:tcBorders/>
            <w:tcMar>
              <w:left w:w="70" w:type="dxa"/>
              <w:top w:w="60" w:type="dxa"/>
              <w:right w:w="70" w:type="dxa"/>
              <w:bottom w:w="60" w:type="dxa"/>
            </w:tcMar>
            <w:tcW w:w="4882" w:type="dxa"/>
            <w:vAlign w:val="top"/>
          </w:tcPr>
          <w:p>
            <w:pPr>
              <w:pStyle w:val="1297"/>
              <w:pBdr/>
              <w:spacing/>
              <w:ind/>
              <w:rPr/>
            </w:pPr>
            <w:r>
              <w:t xml:space="preserve">Standard per-record review under Research Specification</w:t>
            </w:r>
            <w:r/>
          </w:p>
        </w:tc>
        <w:tc>
          <w:tcPr>
            <w:shd w:val="clear" w:color="auto" w:fill="f7f9fa"/>
            <w:tcBorders/>
            <w:tcMar>
              <w:left w:w="70" w:type="dxa"/>
              <w:top w:w="60" w:type="dxa"/>
              <w:right w:w="70" w:type="dxa"/>
              <w:bottom w:w="60" w:type="dxa"/>
            </w:tcMar>
            <w:tcW w:w="1373" w:type="dxa"/>
            <w:vAlign w:val="top"/>
          </w:tcPr>
          <w:p>
            <w:pPr>
              <w:pStyle w:val="1297"/>
              <w:pBdr/>
              <w:spacing/>
              <w:ind/>
              <w:rPr/>
            </w:pPr>
            <w:r>
              <w:t xml:space="preserve">MCPC; </w:t>
            </w:r>
            <w:hyperlink w:tooltip="#CH_02" w:anchor="CH_02" w:history="1">
              <w:r>
                <w:t xml:space="preserve">Chapter 2 local brief</w:t>
              </w:r>
            </w:hyperlink>
            <w:r/>
            <w:r/>
          </w:p>
        </w:tc>
      </w:tr>
      <w:tr>
        <w:trPr>
          <w:cantSplit/>
        </w:trPr>
        <w:tc>
          <w:tcPr>
            <w:tcBorders/>
            <w:tcMar>
              <w:left w:w="70" w:type="dxa"/>
              <w:top w:w="60" w:type="dxa"/>
              <w:right w:w="70" w:type="dxa"/>
              <w:bottom w:w="60" w:type="dxa"/>
            </w:tcMar>
            <w:tcW w:w="610" w:type="dxa"/>
            <w:vAlign w:val="top"/>
          </w:tcPr>
          <w:p>
            <w:pPr>
              <w:pStyle w:val="1297"/>
              <w:pBdr/>
              <w:spacing/>
              <w:ind/>
              <w:rPr/>
            </w:pPr>
            <w:r>
              <w:t xml:space="preserve">3</w:t>
            </w:r>
            <w:r/>
          </w:p>
        </w:tc>
        <w:tc>
          <w:tcPr>
            <w:tcBorders/>
            <w:tcMar>
              <w:left w:w="70" w:type="dxa"/>
              <w:top w:w="60" w:type="dxa"/>
              <w:right w:w="70" w:type="dxa"/>
              <w:bottom w:w="60" w:type="dxa"/>
            </w:tcMar>
            <w:tcW w:w="4729" w:type="dxa"/>
            <w:vAlign w:val="top"/>
          </w:tcPr>
          <w:p>
            <w:pPr>
              <w:pStyle w:val="1297"/>
              <w:pBdr/>
              <w:spacing/>
              <w:ind/>
              <w:rPr/>
            </w:pPr>
            <w:r>
              <w:t xml:space="preserve">RG-07 and RG-08 govern the Advaita/Madhyamaka source bounds and phrasing. Separatel</w:t>
            </w:r>
            <w:r>
              <w:t xml:space="preserve">y, the MCPC and local evidence/review requirement govern Maimonidean creation/ultimacy and Arabic/Judeo-Arabic philosophical-theology review; identify claims that remain deliberately unresolved. Those Maimonidean obligations are not cleared by RG-07/RG-08.</w:t>
            </w:r>
            <w:r/>
          </w:p>
        </w:tc>
        <w:tc>
          <w:tcPr>
            <w:tcBorders/>
            <w:tcMar>
              <w:left w:w="70" w:type="dxa"/>
              <w:top w:w="60" w:type="dxa"/>
              <w:right w:w="70" w:type="dxa"/>
              <w:bottom w:w="60" w:type="dxa"/>
            </w:tcMar>
            <w:tcW w:w="3661" w:type="dxa"/>
            <w:vAlign w:val="top"/>
          </w:tcPr>
          <w:p>
            <w:pPr>
              <w:pStyle w:val="1297"/>
              <w:pBdr/>
              <w:spacing/>
              <w:ind/>
              <w:rPr/>
            </w:pPr>
            <w:r>
              <w:t xml:space="preserve">Figure 3. Grounding solution-space; Box 3. Why emptiness is not 'nothingness.'</w:t>
            </w:r>
            <w:r/>
          </w:p>
        </w:tc>
        <w:tc>
          <w:tcPr>
            <w:tcBorders/>
            <w:tcMar>
              <w:left w:w="70" w:type="dxa"/>
              <w:top w:w="60" w:type="dxa"/>
              <w:right w:w="70" w:type="dxa"/>
              <w:bottom w:w="60" w:type="dxa"/>
            </w:tcMar>
            <w:tcW w:w="4882" w:type="dxa"/>
            <w:vAlign w:val="top"/>
          </w:tcPr>
          <w:p>
            <w:pPr>
              <w:pStyle w:val="1297"/>
              <w:pBdr/>
              <w:spacing/>
              <w:ind/>
              <w:rPr/>
            </w:pPr>
            <w:r>
              <w:t xml:space="preserve">Sanskrit/Indian-philosophy review under RG-07/RG-08; separate local Maimonidean Arabic/Judeo-Arabic philosophical-theology review where translation or genealogy is material.</w:t>
            </w:r>
            <w:r/>
          </w:p>
        </w:tc>
        <w:tc>
          <w:tcPr>
            <w:tcBorders/>
            <w:tcMar>
              <w:left w:w="70" w:type="dxa"/>
              <w:top w:w="60" w:type="dxa"/>
              <w:right w:w="70" w:type="dxa"/>
              <w:bottom w:w="60" w:type="dxa"/>
            </w:tcMar>
            <w:tcW w:w="1373" w:type="dxa"/>
            <w:vAlign w:val="top"/>
          </w:tcPr>
          <w:p>
            <w:pPr>
              <w:pStyle w:val="1297"/>
              <w:pBdr/>
              <w:spacing/>
              <w:ind/>
              <w:rPr/>
            </w:pPr>
            <w:r>
              <w:t xml:space="preserve">MCPC; </w:t>
            </w:r>
            <w:hyperlink w:tooltip="#CH_03" w:anchor="CH_03" w:history="1">
              <w:r>
                <w:t xml:space="preserve">Chapter 3 local brief</w:t>
              </w:r>
            </w:hyperlink>
            <w:r/>
            <w:r/>
          </w:p>
        </w:tc>
      </w:tr>
      <w:tr>
        <w:trPr>
          <w:cantSplit/>
        </w:trPr>
        <w:tc>
          <w:tcPr>
            <w:shd w:val="clear" w:color="auto" w:fill="f7f9fa"/>
            <w:tcBorders/>
            <w:tcMar>
              <w:left w:w="70" w:type="dxa"/>
              <w:top w:w="60" w:type="dxa"/>
              <w:right w:w="70" w:type="dxa"/>
              <w:bottom w:w="60" w:type="dxa"/>
            </w:tcMar>
            <w:tcW w:w="610" w:type="dxa"/>
            <w:vAlign w:val="top"/>
          </w:tcPr>
          <w:p>
            <w:pPr>
              <w:pStyle w:val="1297"/>
              <w:pBdr/>
              <w:spacing/>
              <w:ind/>
              <w:rPr/>
            </w:pPr>
            <w:r>
              <w:t xml:space="preserve">4</w:t>
            </w:r>
            <w:r/>
          </w:p>
        </w:tc>
        <w:tc>
          <w:tcPr>
            <w:shd w:val="clear" w:color="auto" w:fill="f7f9fa"/>
            <w:tcBorders/>
            <w:tcMar>
              <w:left w:w="70" w:type="dxa"/>
              <w:top w:w="60" w:type="dxa"/>
              <w:right w:w="70" w:type="dxa"/>
              <w:bottom w:w="60" w:type="dxa"/>
            </w:tcMar>
            <w:tcW w:w="4729" w:type="dxa"/>
            <w:vAlign w:val="top"/>
          </w:tcPr>
          <w:p>
            <w:pPr>
              <w:pStyle w:val="1297"/>
              <w:pBdr/>
              <w:spacing/>
              <w:ind/>
              <w:rPr/>
            </w:pPr>
            <w:r>
              <w:t xml:space="preserve">RG-09, RG-10, RG-11. More precise genealogy dossier on late antique/Islamic metaphysical vocabulary; no architecture change expected.</w:t>
            </w:r>
            <w:r/>
          </w:p>
        </w:tc>
        <w:tc>
          <w:tcPr>
            <w:shd w:val="clear" w:color="auto" w:fill="f7f9fa"/>
            <w:tcBorders/>
            <w:tcMar>
              <w:left w:w="70" w:type="dxa"/>
              <w:top w:w="60" w:type="dxa"/>
              <w:right w:w="70" w:type="dxa"/>
              <w:bottom w:w="60" w:type="dxa"/>
            </w:tcMar>
            <w:tcW w:w="3661" w:type="dxa"/>
            <w:vAlign w:val="top"/>
          </w:tcPr>
          <w:p>
            <w:pPr>
              <w:pStyle w:val="1297"/>
              <w:pBdr/>
              <w:spacing/>
              <w:ind/>
              <w:rPr/>
            </w:pPr>
            <w:r>
              <w:t xml:space="preserve">Figure 4. One/two/many as distinct dependency graphs.</w:t>
            </w:r>
            <w:r/>
          </w:p>
        </w:tc>
        <w:tc>
          <w:tcPr>
            <w:shd w:val="clear" w:color="auto" w:fill="f7f9fa"/>
            <w:tcBorders/>
            <w:tcMar>
              <w:left w:w="70" w:type="dxa"/>
              <w:top w:w="60" w:type="dxa"/>
              <w:right w:w="70" w:type="dxa"/>
              <w:bottom w:w="60" w:type="dxa"/>
            </w:tcMar>
            <w:tcW w:w="4882" w:type="dxa"/>
            <w:vAlign w:val="top"/>
          </w:tcPr>
          <w:p>
            <w:pPr>
              <w:pStyle w:val="1297"/>
              <w:pBdr/>
              <w:spacing/>
              <w:ind/>
              <w:rPr/>
            </w:pPr>
            <w:r>
              <w:t xml:space="preserve">Sanskrit/Jaina/Sāṃkhya review and the named Plotinus/Avicenna/Ibn ʿArabī genealogy and terminology dossiers under RG-09–RG-11.</w:t>
            </w:r>
            <w:r/>
          </w:p>
        </w:tc>
        <w:tc>
          <w:tcPr>
            <w:shd w:val="clear" w:color="auto" w:fill="f7f9fa"/>
            <w:tcBorders/>
            <w:tcMar>
              <w:left w:w="70" w:type="dxa"/>
              <w:top w:w="60" w:type="dxa"/>
              <w:right w:w="70" w:type="dxa"/>
              <w:bottom w:w="60" w:type="dxa"/>
            </w:tcMar>
            <w:tcW w:w="1373" w:type="dxa"/>
            <w:vAlign w:val="top"/>
          </w:tcPr>
          <w:p>
            <w:pPr>
              <w:pStyle w:val="1297"/>
              <w:pBdr/>
              <w:spacing/>
              <w:ind/>
              <w:rPr/>
            </w:pPr>
            <w:r>
              <w:t xml:space="preserve">MCPC; </w:t>
            </w:r>
            <w:hyperlink w:tooltip="#CH_04" w:anchor="CH_04" w:history="1">
              <w:r>
                <w:t xml:space="preserve">Chapter 4 local brief</w:t>
              </w:r>
            </w:hyperlink>
            <w:r/>
            <w:r/>
          </w:p>
        </w:tc>
      </w:tr>
      <w:tr>
        <w:trPr>
          <w:cantSplit/>
        </w:trPr>
        <w:tc>
          <w:tcPr>
            <w:tcBorders/>
            <w:tcMar>
              <w:left w:w="70" w:type="dxa"/>
              <w:top w:w="60" w:type="dxa"/>
              <w:right w:w="70" w:type="dxa"/>
              <w:bottom w:w="60" w:type="dxa"/>
            </w:tcMar>
            <w:tcW w:w="610" w:type="dxa"/>
            <w:vAlign w:val="top"/>
          </w:tcPr>
          <w:p>
            <w:pPr>
              <w:pStyle w:val="1297"/>
              <w:pBdr/>
              <w:spacing/>
              <w:ind/>
              <w:rPr/>
            </w:pPr>
            <w:r>
              <w:t xml:space="preserve">5</w:t>
            </w:r>
            <w:r/>
          </w:p>
        </w:tc>
        <w:tc>
          <w:tcPr>
            <w:tcBorders/>
            <w:tcMar>
              <w:left w:w="70" w:type="dxa"/>
              <w:top w:w="60" w:type="dxa"/>
              <w:right w:w="70" w:type="dxa"/>
              <w:bottom w:w="60" w:type="dxa"/>
            </w:tcMar>
            <w:tcW w:w="4729" w:type="dxa"/>
            <w:vAlign w:val="top"/>
          </w:tcPr>
          <w:p>
            <w:pPr>
              <w:pStyle w:val="1297"/>
              <w:pBdr/>
              <w:spacing/>
              <w:ind/>
              <w:rPr/>
            </w:pPr>
            <w:r>
              <w:t xml:space="preserve">RG-09. Avicenna/Plotinus historical transmission summary needs specialist verification.</w:t>
            </w:r>
            <w:r/>
          </w:p>
        </w:tc>
        <w:tc>
          <w:tcPr>
            <w:tcBorders/>
            <w:tcMar>
              <w:left w:w="70" w:type="dxa"/>
              <w:top w:w="60" w:type="dxa"/>
              <w:right w:w="70" w:type="dxa"/>
              <w:bottom w:w="60" w:type="dxa"/>
            </w:tcMar>
            <w:tcW w:w="3661" w:type="dxa"/>
            <w:vAlign w:val="top"/>
          </w:tcPr>
          <w:p>
            <w:pPr>
              <w:pStyle w:val="1297"/>
              <w:pBdr/>
              <w:spacing/>
              <w:ind/>
              <w:rPr/>
            </w:pPr>
            <w:r>
              <w:t xml:space="preserve">Figure 5. Six cosmogenetic/dependence architectures.</w:t>
            </w:r>
            <w:r/>
          </w:p>
        </w:tc>
        <w:tc>
          <w:tcPr>
            <w:tcBorders/>
            <w:tcMar>
              <w:left w:w="70" w:type="dxa"/>
              <w:top w:w="60" w:type="dxa"/>
              <w:right w:w="70" w:type="dxa"/>
              <w:bottom w:w="60" w:type="dxa"/>
            </w:tcMar>
            <w:tcW w:w="4882" w:type="dxa"/>
            <w:vAlign w:val="top"/>
          </w:tcPr>
          <w:p>
            <w:pPr>
              <w:pStyle w:val="1297"/>
              <w:pBdr/>
              <w:spacing/>
              <w:ind/>
              <w:rPr/>
            </w:pPr>
            <w:r>
              <w:t xml:space="preserve">Arabic/Judeo-Arabic philosophical-theology specialist review where claims are translation/genealogy-sensitive</w:t>
            </w:r>
            <w:r/>
          </w:p>
        </w:tc>
        <w:tc>
          <w:tcPr>
            <w:tcBorders/>
            <w:tcMar>
              <w:left w:w="70" w:type="dxa"/>
              <w:top w:w="60" w:type="dxa"/>
              <w:right w:w="70" w:type="dxa"/>
              <w:bottom w:w="60" w:type="dxa"/>
            </w:tcMar>
            <w:tcW w:w="1373" w:type="dxa"/>
            <w:vAlign w:val="top"/>
          </w:tcPr>
          <w:p>
            <w:pPr>
              <w:pStyle w:val="1297"/>
              <w:pBdr/>
              <w:spacing/>
              <w:ind/>
              <w:rPr/>
            </w:pPr>
            <w:r>
              <w:t xml:space="preserve">MCPC; </w:t>
            </w:r>
            <w:hyperlink w:tooltip="#CH_05" w:anchor="CH_05" w:history="1">
              <w:r>
                <w:t xml:space="preserve">Chapter 5 local brief</w:t>
              </w:r>
            </w:hyperlink>
            <w:r/>
            <w:r/>
          </w:p>
        </w:tc>
      </w:tr>
      <w:tr>
        <w:trPr>
          <w:cantSplit/>
        </w:trPr>
        <w:tc>
          <w:tcPr>
            <w:shd w:val="clear" w:color="auto" w:fill="f7f9fa"/>
            <w:tcBorders/>
            <w:tcMar>
              <w:left w:w="70" w:type="dxa"/>
              <w:top w:w="60" w:type="dxa"/>
              <w:right w:w="70" w:type="dxa"/>
              <w:bottom w:w="60" w:type="dxa"/>
            </w:tcMar>
            <w:tcW w:w="610" w:type="dxa"/>
            <w:vAlign w:val="top"/>
          </w:tcPr>
          <w:p>
            <w:pPr>
              <w:pStyle w:val="1297"/>
              <w:pBdr/>
              <w:spacing/>
              <w:ind/>
              <w:rPr/>
            </w:pPr>
            <w:r>
              <w:t xml:space="preserve">6</w:t>
            </w:r>
            <w:r/>
          </w:p>
        </w:tc>
        <w:tc>
          <w:tcPr>
            <w:shd w:val="clear" w:color="auto" w:fill="f7f9fa"/>
            <w:tcBorders/>
            <w:tcMar>
              <w:left w:w="70" w:type="dxa"/>
              <w:top w:w="60" w:type="dxa"/>
              <w:right w:w="70" w:type="dxa"/>
              <w:bottom w:w="60" w:type="dxa"/>
            </w:tcMar>
            <w:tcW w:w="4729" w:type="dxa"/>
            <w:vAlign w:val="top"/>
          </w:tcPr>
          <w:p>
            <w:pPr>
              <w:pStyle w:val="1297"/>
              <w:pBdr/>
              <w:spacing/>
              <w:ind/>
              <w:rPr/>
            </w:pPr>
            <w:r>
              <w:t xml:space="preserve">RG-01, RG-02, RG-03. Ifá oral SourceInstance and community review are blocking for every retained unit of the selected treatment under §12, not only for a project capability case; Achuar cannot be upgraded without direct/community evidence.</w:t>
            </w:r>
            <w:r/>
          </w:p>
        </w:tc>
        <w:tc>
          <w:tcPr>
            <w:shd w:val="clear" w:color="auto" w:fill="f7f9fa"/>
            <w:tcBorders/>
            <w:tcMar>
              <w:left w:w="70" w:type="dxa"/>
              <w:top w:w="60" w:type="dxa"/>
              <w:right w:w="70" w:type="dxa"/>
              <w:bottom w:w="60" w:type="dxa"/>
            </w:tcMar>
            <w:tcW w:w="3661" w:type="dxa"/>
            <w:vAlign w:val="top"/>
          </w:tcPr>
          <w:p>
            <w:pPr>
              <w:pStyle w:val="1297"/>
              <w:pBdr/>
              <w:spacing/>
              <w:ind/>
              <w:rPr/>
            </w:pPr>
            <w:r>
              <w:t xml:space="preserve">Figure 6. World-relation matrix; Box 6. Why 'nature' cannot be presumed universal.</w:t>
            </w:r>
            <w:r/>
          </w:p>
        </w:tc>
        <w:tc>
          <w:tcPr>
            <w:shd w:val="clear" w:color="auto" w:fill="f7f9fa"/>
            <w:tcBorders/>
            <w:tcMar>
              <w:left w:w="70" w:type="dxa"/>
              <w:top w:w="60" w:type="dxa"/>
              <w:right w:w="70" w:type="dxa"/>
              <w:bottom w:w="60" w:type="dxa"/>
            </w:tcMar>
            <w:tcW w:w="4882" w:type="dxa"/>
            <w:vAlign w:val="top"/>
          </w:tcPr>
          <w:p>
            <w:pPr>
              <w:pStyle w:val="1297"/>
              <w:pBdr/>
              <w:spacing/>
              <w:ind/>
              <w:rPr/>
            </w:pPr>
            <w:r>
              <w:t xml:space="preserve">Ifá capability plus every retained unit’s provenance, source-community/governance, rights and review under §12; Achuar promotion and representation controls.</w:t>
            </w:r>
            <w:r/>
          </w:p>
        </w:tc>
        <w:tc>
          <w:tcPr>
            <w:shd w:val="clear" w:color="auto" w:fill="f7f9fa"/>
            <w:tcBorders/>
            <w:tcMar>
              <w:left w:w="70" w:type="dxa"/>
              <w:top w:w="60" w:type="dxa"/>
              <w:right w:w="70" w:type="dxa"/>
              <w:bottom w:w="60" w:type="dxa"/>
            </w:tcMar>
            <w:tcW w:w="1373" w:type="dxa"/>
            <w:vAlign w:val="top"/>
          </w:tcPr>
          <w:p>
            <w:pPr>
              <w:pStyle w:val="1297"/>
              <w:pBdr/>
              <w:spacing/>
              <w:ind/>
              <w:rPr/>
            </w:pPr>
            <w:r>
              <w:t xml:space="preserve">MCPC; </w:t>
            </w:r>
            <w:hyperlink w:tooltip="#CH_06" w:anchor="CH_06" w:history="1">
              <w:r>
                <w:t xml:space="preserve">Chapter 6 local brief</w:t>
              </w:r>
            </w:hyperlink>
            <w:r/>
            <w:r/>
          </w:p>
        </w:tc>
      </w:tr>
      <w:tr>
        <w:trPr>
          <w:cantSplit/>
        </w:trPr>
        <w:tc>
          <w:tcPr>
            <w:tcBorders/>
            <w:tcMar>
              <w:left w:w="70" w:type="dxa"/>
              <w:top w:w="60" w:type="dxa"/>
              <w:right w:w="70" w:type="dxa"/>
              <w:bottom w:w="60" w:type="dxa"/>
            </w:tcMar>
            <w:tcW w:w="610" w:type="dxa"/>
            <w:vAlign w:val="top"/>
          </w:tcPr>
          <w:p>
            <w:pPr>
              <w:pStyle w:val="1297"/>
              <w:pBdr/>
              <w:spacing/>
              <w:ind/>
              <w:rPr/>
            </w:pPr>
            <w:r>
              <w:t xml:space="preserve">7</w:t>
            </w:r>
            <w:r/>
          </w:p>
        </w:tc>
        <w:tc>
          <w:tcPr>
            <w:tcBorders/>
            <w:tcMar>
              <w:left w:w="70" w:type="dxa"/>
              <w:top w:w="60" w:type="dxa"/>
              <w:right w:w="70" w:type="dxa"/>
              <w:bottom w:w="60" w:type="dxa"/>
            </w:tcMar>
            <w:tcW w:w="4729" w:type="dxa"/>
            <w:vAlign w:val="top"/>
          </w:tcPr>
          <w:p>
            <w:pPr>
              <w:pStyle w:val="1297"/>
              <w:pBdr/>
              <w:spacing/>
              <w:ind/>
              <w:rPr/>
            </w:pPr>
            <w:r>
              <w:t xml:space="preserve">RG-06, RG-12, RG-13, RG-14. Update analytic literature immediately before manuscript freeze; specialist check on Utpaladeva terminology.</w:t>
            </w:r>
            <w:r/>
          </w:p>
        </w:tc>
        <w:tc>
          <w:tcPr>
            <w:tcBorders/>
            <w:tcMar>
              <w:left w:w="70" w:type="dxa"/>
              <w:top w:w="60" w:type="dxa"/>
              <w:right w:w="70" w:type="dxa"/>
              <w:bottom w:w="60" w:type="dxa"/>
            </w:tcMar>
            <w:tcW w:w="3661" w:type="dxa"/>
            <w:vAlign w:val="top"/>
          </w:tcPr>
          <w:p>
            <w:pPr>
              <w:pStyle w:val="1297"/>
              <w:pBdr/>
              <w:spacing/>
              <w:ind/>
              <w:rPr/>
            </w:pPr>
            <w:r>
              <w:t xml:space="preserve">Figure 7. Consciousness ontology solution-space; Table 7. What each thesis actually entails.</w:t>
            </w:r>
            <w:r/>
          </w:p>
        </w:tc>
        <w:tc>
          <w:tcPr>
            <w:tcBorders/>
            <w:tcMar>
              <w:left w:w="70" w:type="dxa"/>
              <w:top w:w="60" w:type="dxa"/>
              <w:right w:w="70" w:type="dxa"/>
              <w:bottom w:w="60" w:type="dxa"/>
            </w:tcMar>
            <w:tcW w:w="4882" w:type="dxa"/>
            <w:vAlign w:val="top"/>
          </w:tcPr>
          <w:p>
            <w:pPr>
              <w:pStyle w:val="1297"/>
              <w:pBdr/>
              <w:spacing/>
              <w:ind/>
              <w:rPr/>
            </w:pPr>
            <w:r>
              <w:t xml:space="preserve">Utpaladeva/Śaiva terminology and Sanskrit source review under RG-06; current physicalism, micropsychism and illusionism literature/source-bounding review under RG-12–RG-14.</w:t>
            </w:r>
            <w:r/>
          </w:p>
        </w:tc>
        <w:tc>
          <w:tcPr>
            <w:tcBorders/>
            <w:tcMar>
              <w:left w:w="70" w:type="dxa"/>
              <w:top w:w="60" w:type="dxa"/>
              <w:right w:w="70" w:type="dxa"/>
              <w:bottom w:w="60" w:type="dxa"/>
            </w:tcMar>
            <w:tcW w:w="1373" w:type="dxa"/>
            <w:vAlign w:val="top"/>
          </w:tcPr>
          <w:p>
            <w:pPr>
              <w:pStyle w:val="1297"/>
              <w:pBdr/>
              <w:spacing/>
              <w:ind/>
              <w:rPr/>
            </w:pPr>
            <w:r>
              <w:t xml:space="preserve">MCPC; </w:t>
            </w:r>
            <w:hyperlink w:tooltip="#CH_07" w:anchor="CH_07" w:history="1">
              <w:r>
                <w:t xml:space="preserve">Chapter 7 local brief</w:t>
              </w:r>
            </w:hyperlink>
            <w:r/>
            <w:r/>
          </w:p>
        </w:tc>
      </w:tr>
      <w:tr>
        <w:trPr>
          <w:cantSplit/>
        </w:trPr>
        <w:tc>
          <w:tcPr>
            <w:shd w:val="clear" w:color="auto" w:fill="f7f9fa"/>
            <w:tcBorders/>
            <w:tcMar>
              <w:left w:w="70" w:type="dxa"/>
              <w:top w:w="60" w:type="dxa"/>
              <w:right w:w="70" w:type="dxa"/>
              <w:bottom w:w="60" w:type="dxa"/>
            </w:tcMar>
            <w:tcW w:w="610" w:type="dxa"/>
            <w:vAlign w:val="top"/>
          </w:tcPr>
          <w:p>
            <w:pPr>
              <w:pStyle w:val="1297"/>
              <w:pBdr/>
              <w:spacing/>
              <w:ind/>
              <w:rPr/>
            </w:pPr>
            <w:r>
              <w:t xml:space="preserve">8</w:t>
            </w:r>
            <w:r/>
          </w:p>
        </w:tc>
        <w:tc>
          <w:tcPr>
            <w:shd w:val="clear" w:color="auto" w:fill="f7f9fa"/>
            <w:tcBorders/>
            <w:tcMar>
              <w:left w:w="70" w:type="dxa"/>
              <w:top w:w="60" w:type="dxa"/>
              <w:right w:w="70" w:type="dxa"/>
              <w:bottom w:w="60" w:type="dxa"/>
            </w:tcMar>
            <w:tcW w:w="4729" w:type="dxa"/>
            <w:vAlign w:val="top"/>
          </w:tcPr>
          <w:p>
            <w:pPr>
              <w:pStyle w:val="1297"/>
              <w:pBdr/>
              <w:spacing/>
              <w:ind/>
              <w:rPr/>
            </w:pPr>
            <w:r>
              <w:t xml:space="preserve">RG-07, RG-08, RG-15. Yogācāra school-internal interpretation must remain bounded to selected Vasubandhu texts.</w:t>
            </w:r>
            <w:r/>
          </w:p>
        </w:tc>
        <w:tc>
          <w:tcPr>
            <w:shd w:val="clear" w:color="auto" w:fill="f7f9fa"/>
            <w:tcBorders/>
            <w:tcMar>
              <w:left w:w="70" w:type="dxa"/>
              <w:top w:w="60" w:type="dxa"/>
              <w:right w:w="70" w:type="dxa"/>
              <w:bottom w:w="60" w:type="dxa"/>
            </w:tcMar>
            <w:tcW w:w="3661" w:type="dxa"/>
            <w:vAlign w:val="top"/>
          </w:tcPr>
          <w:p>
            <w:pPr>
              <w:pStyle w:val="1297"/>
              <w:pBdr/>
              <w:spacing/>
              <w:ind/>
              <w:rPr/>
            </w:pPr>
            <w:r>
              <w:t xml:space="preserve">Figure 8. Awareness/self/person identity matrix.</w:t>
            </w:r>
            <w:r/>
          </w:p>
        </w:tc>
        <w:tc>
          <w:tcPr>
            <w:shd w:val="clear" w:color="auto" w:fill="f7f9fa"/>
            <w:tcBorders/>
            <w:tcMar>
              <w:left w:w="70" w:type="dxa"/>
              <w:top w:w="60" w:type="dxa"/>
              <w:right w:w="70" w:type="dxa"/>
              <w:bottom w:w="60" w:type="dxa"/>
            </w:tcMar>
            <w:tcW w:w="4882" w:type="dxa"/>
            <w:vAlign w:val="top"/>
          </w:tcPr>
          <w:p>
            <w:pPr>
              <w:pStyle w:val="1297"/>
              <w:pBdr/>
              <w:spacing/>
              <w:ind/>
              <w:rPr/>
            </w:pPr>
            <w:r>
              <w:t xml:space="preserve">Relevant Sanskrit/Indian-philosophy specialist review</w:t>
            </w:r>
            <w:r/>
          </w:p>
        </w:tc>
        <w:tc>
          <w:tcPr>
            <w:shd w:val="clear" w:color="auto" w:fill="f7f9fa"/>
            <w:tcBorders/>
            <w:tcMar>
              <w:left w:w="70" w:type="dxa"/>
              <w:top w:w="60" w:type="dxa"/>
              <w:right w:w="70" w:type="dxa"/>
              <w:bottom w:w="60" w:type="dxa"/>
            </w:tcMar>
            <w:tcW w:w="1373" w:type="dxa"/>
            <w:vAlign w:val="top"/>
          </w:tcPr>
          <w:p>
            <w:pPr>
              <w:pStyle w:val="1297"/>
              <w:pBdr/>
              <w:spacing/>
              <w:ind/>
              <w:rPr/>
            </w:pPr>
            <w:r>
              <w:t xml:space="preserve">MCPC; </w:t>
            </w:r>
            <w:hyperlink w:tooltip="#CH_08" w:anchor="CH_08" w:history="1">
              <w:r>
                <w:t xml:space="preserve">Chapter 8 local brief</w:t>
              </w:r>
            </w:hyperlink>
            <w:r/>
            <w:r/>
          </w:p>
        </w:tc>
      </w:tr>
      <w:tr>
        <w:trPr>
          <w:cantSplit/>
        </w:trPr>
        <w:tc>
          <w:tcPr>
            <w:tcBorders/>
            <w:tcMar>
              <w:left w:w="70" w:type="dxa"/>
              <w:top w:w="60" w:type="dxa"/>
              <w:right w:w="70" w:type="dxa"/>
              <w:bottom w:w="60" w:type="dxa"/>
            </w:tcMar>
            <w:tcW w:w="610" w:type="dxa"/>
            <w:vAlign w:val="top"/>
          </w:tcPr>
          <w:p>
            <w:pPr>
              <w:pStyle w:val="1297"/>
              <w:pBdr/>
              <w:spacing/>
              <w:ind/>
              <w:rPr/>
            </w:pPr>
            <w:r>
              <w:t xml:space="preserve">9</w:t>
            </w:r>
            <w:r/>
          </w:p>
        </w:tc>
        <w:tc>
          <w:tcPr>
            <w:tcBorders/>
            <w:tcMar>
              <w:left w:w="70" w:type="dxa"/>
              <w:top w:w="60" w:type="dxa"/>
              <w:right w:w="70" w:type="dxa"/>
              <w:bottom w:w="60" w:type="dxa"/>
            </w:tcMar>
            <w:tcW w:w="4729" w:type="dxa"/>
            <w:vAlign w:val="top"/>
          </w:tcPr>
          <w:p>
            <w:pPr>
              <w:pStyle w:val="1297"/>
              <w:pBdr/>
              <w:spacing/>
              <w:ind/>
              <w:rPr/>
            </w:pPr>
            <w:r>
              <w:t xml:space="preserve">RG-11 governs J</w:t>
            </w:r>
            <w:r>
              <w:t xml:space="preserve">aina sources, RG-15 Yogācāra and RG-22 Gregory. Exact Gregory resurrection identity and Avicennan postmortem identity require specialist review. The Avicennan psychology and Arabic-source review is a separate local MCPC obligation; RG-11 does not cover it.</w:t>
            </w:r>
            <w:r/>
          </w:p>
        </w:tc>
        <w:tc>
          <w:tcPr>
            <w:tcBorders/>
            <w:tcMar>
              <w:left w:w="70" w:type="dxa"/>
              <w:top w:w="60" w:type="dxa"/>
              <w:right w:w="70" w:type="dxa"/>
              <w:bottom w:w="60" w:type="dxa"/>
            </w:tcMar>
            <w:tcW w:w="3661" w:type="dxa"/>
            <w:vAlign w:val="top"/>
          </w:tcPr>
          <w:p>
            <w:pPr>
              <w:pStyle w:val="1297"/>
              <w:pBdr/>
              <w:spacing/>
              <w:ind/>
              <w:rPr/>
            </w:pPr>
            <w:r>
              <w:t xml:space="preserve">Figure 9. Continuity criteria across positions.</w:t>
            </w:r>
            <w:r/>
          </w:p>
        </w:tc>
        <w:tc>
          <w:tcPr>
            <w:tcBorders/>
            <w:tcMar>
              <w:left w:w="70" w:type="dxa"/>
              <w:top w:w="60" w:type="dxa"/>
              <w:right w:w="70" w:type="dxa"/>
              <w:bottom w:w="60" w:type="dxa"/>
            </w:tcMar>
            <w:tcW w:w="4882" w:type="dxa"/>
            <w:vAlign w:val="top"/>
          </w:tcPr>
          <w:p>
            <w:pPr>
              <w:pStyle w:val="1297"/>
              <w:pBdr/>
              <w:spacing/>
              <w:ind/>
              <w:rPr/>
            </w:pPr>
            <w:r>
              <w:t xml:space="preserve">Gregory resurrection identity review (RG-22), Jaina/Yogācāra source review (RG-11/RG-15) and separate local Avicennan psychology/Arabic-source review.</w:t>
            </w:r>
            <w:r/>
          </w:p>
        </w:tc>
        <w:tc>
          <w:tcPr>
            <w:tcBorders/>
            <w:tcMar>
              <w:left w:w="70" w:type="dxa"/>
              <w:top w:w="60" w:type="dxa"/>
              <w:right w:w="70" w:type="dxa"/>
              <w:bottom w:w="60" w:type="dxa"/>
            </w:tcMar>
            <w:tcW w:w="1373" w:type="dxa"/>
            <w:vAlign w:val="top"/>
          </w:tcPr>
          <w:p>
            <w:pPr>
              <w:pStyle w:val="1297"/>
              <w:pBdr/>
              <w:spacing/>
              <w:ind/>
              <w:rPr/>
            </w:pPr>
            <w:r>
              <w:t xml:space="preserve">MCPC; </w:t>
            </w:r>
            <w:hyperlink w:tooltip="#CH_09" w:anchor="CH_09" w:history="1">
              <w:r>
                <w:t xml:space="preserve">Chapter 9 local brief</w:t>
              </w:r>
            </w:hyperlink>
            <w:r/>
            <w:r/>
          </w:p>
        </w:tc>
      </w:tr>
      <w:tr>
        <w:trPr>
          <w:cantSplit/>
        </w:trPr>
        <w:tc>
          <w:tcPr>
            <w:shd w:val="clear" w:color="auto" w:fill="f7f9fa"/>
            <w:tcBorders/>
            <w:tcMar>
              <w:left w:w="70" w:type="dxa"/>
              <w:top w:w="60" w:type="dxa"/>
              <w:right w:w="70" w:type="dxa"/>
              <w:bottom w:w="60" w:type="dxa"/>
            </w:tcMar>
            <w:tcW w:w="610" w:type="dxa"/>
            <w:vAlign w:val="top"/>
          </w:tcPr>
          <w:p>
            <w:pPr>
              <w:pStyle w:val="1297"/>
              <w:pBdr/>
              <w:spacing/>
              <w:ind/>
              <w:rPr/>
            </w:pPr>
            <w:r>
              <w:t xml:space="preserve">10</w:t>
            </w:r>
            <w:r/>
          </w:p>
        </w:tc>
        <w:tc>
          <w:tcPr>
            <w:shd w:val="clear" w:color="auto" w:fill="f7f9fa"/>
            <w:tcBorders/>
            <w:tcMar>
              <w:left w:w="70" w:type="dxa"/>
              <w:top w:w="60" w:type="dxa"/>
              <w:right w:w="70" w:type="dxa"/>
              <w:bottom w:w="60" w:type="dxa"/>
            </w:tcMar>
            <w:tcW w:w="4729" w:type="dxa"/>
            <w:vAlign w:val="top"/>
          </w:tcPr>
          <w:p>
            <w:pPr>
              <w:pStyle w:val="1297"/>
              <w:pBdr/>
              <w:spacing/>
              <w:ind/>
              <w:rPr/>
            </w:pPr>
            <w:r>
              <w:t xml:space="preserve">RG-01, RG-02, RG-03, RG-04, RG-16. Māori and Achuar remain HOLD; Ifá depends on G4/G5; Akan discussion must foreground Wiredu/Gyekye disagreement rather than 'Akan belief.'</w:t>
            </w:r>
            <w:r/>
          </w:p>
        </w:tc>
        <w:tc>
          <w:tcPr>
            <w:shd w:val="clear" w:color="auto" w:fill="f7f9fa"/>
            <w:tcBorders/>
            <w:tcMar>
              <w:left w:w="70" w:type="dxa"/>
              <w:top w:w="60" w:type="dxa"/>
              <w:right w:w="70" w:type="dxa"/>
              <w:bottom w:w="60" w:type="dxa"/>
            </w:tcMar>
            <w:tcW w:w="3661" w:type="dxa"/>
            <w:vAlign w:val="top"/>
          </w:tcPr>
          <w:p>
            <w:pPr>
              <w:pStyle w:val="1297"/>
              <w:pBdr/>
              <w:spacing/>
              <w:ind/>
              <w:rPr/>
            </w:pPr>
            <w:r>
              <w:t xml:space="preserve">Figure 10. Four dimensions of subjecthood/personhood.</w:t>
            </w:r>
            <w:r/>
          </w:p>
        </w:tc>
        <w:tc>
          <w:tcPr>
            <w:shd w:val="clear" w:color="auto" w:fill="f7f9fa"/>
            <w:tcBorders/>
            <w:tcMar>
              <w:left w:w="70" w:type="dxa"/>
              <w:top w:w="60" w:type="dxa"/>
              <w:right w:w="70" w:type="dxa"/>
              <w:bottom w:w="60" w:type="dxa"/>
            </w:tcMar>
            <w:tcW w:w="4882" w:type="dxa"/>
            <w:vAlign w:val="top"/>
          </w:tcPr>
          <w:p>
            <w:pPr>
              <w:pStyle w:val="1297"/>
              <w:pBdr/>
              <w:spacing/>
              <w:ind/>
              <w:rPr/>
            </w:pPr>
            <w:r>
              <w:t xml:space="preserve">Ifá unit-level provenance/governance/rights; Akan philosophical and linguistic review under RG-16; Achuar/Māori promotion, authority, language and representation limits.</w:t>
            </w:r>
            <w:r/>
          </w:p>
        </w:tc>
        <w:tc>
          <w:tcPr>
            <w:shd w:val="clear" w:color="auto" w:fill="f7f9fa"/>
            <w:tcBorders/>
            <w:tcMar>
              <w:left w:w="70" w:type="dxa"/>
              <w:top w:w="60" w:type="dxa"/>
              <w:right w:w="70" w:type="dxa"/>
              <w:bottom w:w="60" w:type="dxa"/>
            </w:tcMar>
            <w:tcW w:w="1373" w:type="dxa"/>
            <w:vAlign w:val="top"/>
          </w:tcPr>
          <w:p>
            <w:pPr>
              <w:pStyle w:val="1297"/>
              <w:pBdr/>
              <w:spacing/>
              <w:ind/>
              <w:rPr/>
            </w:pPr>
            <w:r>
              <w:t xml:space="preserve">MCPC; </w:t>
            </w:r>
            <w:hyperlink w:tooltip="#CH_10" w:anchor="CH_10" w:history="1">
              <w:r>
                <w:t xml:space="preserve">Chapter 10 local brief</w:t>
              </w:r>
            </w:hyperlink>
            <w:r/>
            <w:r/>
          </w:p>
        </w:tc>
      </w:tr>
      <w:tr>
        <w:trPr>
          <w:cantSplit/>
        </w:trPr>
        <w:tc>
          <w:tcPr>
            <w:tcBorders/>
            <w:tcMar>
              <w:left w:w="70" w:type="dxa"/>
              <w:top w:w="60" w:type="dxa"/>
              <w:right w:w="70" w:type="dxa"/>
              <w:bottom w:w="60" w:type="dxa"/>
            </w:tcMar>
            <w:tcW w:w="610" w:type="dxa"/>
            <w:vAlign w:val="top"/>
          </w:tcPr>
          <w:p>
            <w:pPr>
              <w:pStyle w:val="1297"/>
              <w:pBdr/>
              <w:spacing/>
              <w:ind/>
              <w:rPr/>
            </w:pPr>
            <w:r>
              <w:t xml:space="preserve">11</w:t>
            </w:r>
            <w:r/>
          </w:p>
        </w:tc>
        <w:tc>
          <w:tcPr>
            <w:tcBorders/>
            <w:tcMar>
              <w:left w:w="70" w:type="dxa"/>
              <w:top w:w="60" w:type="dxa"/>
              <w:right w:w="70" w:type="dxa"/>
              <w:bottom w:w="60" w:type="dxa"/>
            </w:tcMar>
            <w:tcW w:w="4729" w:type="dxa"/>
            <w:vAlign w:val="top"/>
          </w:tcPr>
          <w:p>
            <w:pPr>
              <w:pStyle w:val="1297"/>
              <w:pBdr/>
              <w:spacing/>
              <w:ind/>
              <w:rPr/>
            </w:pPr>
            <w:r>
              <w:t xml:space="preserve">RG-01, RG-02, RG-17. Ifá performance evidence remains blocking for release-level treatment; Guru Nanak epistemic terminology needs specialist review.</w:t>
            </w:r>
            <w:r/>
          </w:p>
        </w:tc>
        <w:tc>
          <w:tcPr>
            <w:tcBorders/>
            <w:tcMar>
              <w:left w:w="70" w:type="dxa"/>
              <w:top w:w="60" w:type="dxa"/>
              <w:right w:w="70" w:type="dxa"/>
              <w:bottom w:w="60" w:type="dxa"/>
            </w:tcMar>
            <w:tcW w:w="3661" w:type="dxa"/>
            <w:vAlign w:val="top"/>
          </w:tcPr>
          <w:p>
            <w:pPr>
              <w:pStyle w:val="1297"/>
              <w:pBdr/>
              <w:spacing/>
              <w:ind/>
              <w:rPr/>
            </w:pPr>
            <w:r>
              <w:t xml:space="preserve">Figure 11. Epistemic authority and access-condition architectures.</w:t>
            </w:r>
            <w:r/>
          </w:p>
        </w:tc>
        <w:tc>
          <w:tcPr>
            <w:tcBorders/>
            <w:tcMar>
              <w:left w:w="70" w:type="dxa"/>
              <w:top w:w="60" w:type="dxa"/>
              <w:right w:w="70" w:type="dxa"/>
              <w:bottom w:w="60" w:type="dxa"/>
            </w:tcMar>
            <w:tcW w:w="4882" w:type="dxa"/>
            <w:vAlign w:val="top"/>
          </w:tcPr>
          <w:p>
            <w:pPr>
              <w:pStyle w:val="1297"/>
              <w:pBdr/>
              <w:spacing/>
              <w:ind/>
              <w:rPr/>
            </w:pPr>
            <w:r>
              <w:t xml:space="preserve">Ifá unit-level performed-source provenance, community/governance and rights review; Guru Nanak source/epistemic terminology review under RG-17; source-fit review of each claimed access condition.</w:t>
            </w:r>
            <w:r/>
          </w:p>
        </w:tc>
        <w:tc>
          <w:tcPr>
            <w:tcBorders/>
            <w:tcMar>
              <w:left w:w="70" w:type="dxa"/>
              <w:top w:w="60" w:type="dxa"/>
              <w:right w:w="70" w:type="dxa"/>
              <w:bottom w:w="60" w:type="dxa"/>
            </w:tcMar>
            <w:tcW w:w="1373" w:type="dxa"/>
            <w:vAlign w:val="top"/>
          </w:tcPr>
          <w:p>
            <w:pPr>
              <w:pStyle w:val="1297"/>
              <w:pBdr/>
              <w:spacing/>
              <w:ind/>
              <w:rPr/>
            </w:pPr>
            <w:r>
              <w:t xml:space="preserve">MCPC; </w:t>
            </w:r>
            <w:hyperlink w:tooltip="#CH_11" w:anchor="CH_11" w:history="1">
              <w:r>
                <w:t xml:space="preserve">Chapter 11 local brief</w:t>
              </w:r>
            </w:hyperlink>
            <w:r/>
            <w:r/>
          </w:p>
        </w:tc>
      </w:tr>
      <w:tr>
        <w:trPr>
          <w:cantSplit/>
        </w:trPr>
        <w:tc>
          <w:tcPr>
            <w:shd w:val="clear" w:color="auto" w:fill="f7f9fa"/>
            <w:tcBorders/>
            <w:tcMar>
              <w:left w:w="70" w:type="dxa"/>
              <w:top w:w="60" w:type="dxa"/>
              <w:right w:w="70" w:type="dxa"/>
              <w:bottom w:w="60" w:type="dxa"/>
            </w:tcMar>
            <w:tcW w:w="610" w:type="dxa"/>
            <w:vAlign w:val="top"/>
          </w:tcPr>
          <w:p>
            <w:pPr>
              <w:pStyle w:val="1297"/>
              <w:pBdr/>
              <w:spacing/>
              <w:ind/>
              <w:rPr/>
            </w:pPr>
            <w:r>
              <w:t xml:space="preserve">12</w:t>
            </w:r>
            <w:r/>
          </w:p>
        </w:tc>
        <w:tc>
          <w:tcPr>
            <w:shd w:val="clear" w:color="auto" w:fill="f7f9fa"/>
            <w:tcBorders/>
            <w:tcMar>
              <w:left w:w="70" w:type="dxa"/>
              <w:top w:w="60" w:type="dxa"/>
              <w:right w:w="70" w:type="dxa"/>
              <w:bottom w:w="60" w:type="dxa"/>
            </w:tcMar>
            <w:tcW w:w="4729" w:type="dxa"/>
            <w:vAlign w:val="top"/>
          </w:tcPr>
          <w:p>
            <w:pPr>
              <w:pStyle w:val="1297"/>
              <w:pBdr/>
              <w:spacing/>
              <w:ind/>
              <w:rPr/>
            </w:pPr>
            <w:r>
              <w:t xml:space="preserve">RG-07, RG-08. Determine whether 'misidentification' is broad enough to include all retained cases or should remain one subpattern among several.</w:t>
            </w:r>
            <w:r/>
          </w:p>
        </w:tc>
        <w:tc>
          <w:tcPr>
            <w:shd w:val="clear" w:color="auto" w:fill="f7f9fa"/>
            <w:tcBorders/>
            <w:tcMar>
              <w:left w:w="70" w:type="dxa"/>
              <w:top w:w="60" w:type="dxa"/>
              <w:right w:w="70" w:type="dxa"/>
              <w:bottom w:w="60" w:type="dxa"/>
            </w:tcMar>
            <w:tcW w:w="3661" w:type="dxa"/>
            <w:vAlign w:val="top"/>
          </w:tcPr>
          <w:p>
            <w:pPr>
              <w:pStyle w:val="1297"/>
              <w:pBdr/>
              <w:spacing/>
              <w:ind/>
              <w:rPr/>
            </w:pPr>
            <w:r>
              <w:t xml:space="preserve">Figure 12. Diagnostic families and counterexamples.</w:t>
            </w:r>
            <w:r/>
          </w:p>
        </w:tc>
        <w:tc>
          <w:tcPr>
            <w:shd w:val="clear" w:color="auto" w:fill="f7f9fa"/>
            <w:tcBorders/>
            <w:tcMar>
              <w:left w:w="70" w:type="dxa"/>
              <w:top w:w="60" w:type="dxa"/>
              <w:right w:w="70" w:type="dxa"/>
              <w:bottom w:w="60" w:type="dxa"/>
            </w:tcMar>
            <w:tcW w:w="4882" w:type="dxa"/>
            <w:vAlign w:val="top"/>
          </w:tcPr>
          <w:p>
            <w:pPr>
              <w:pStyle w:val="1297"/>
              <w:pBdr/>
              <w:spacing/>
              <w:ind/>
              <w:rPr/>
            </w:pPr>
            <w:r>
              <w:t xml:space="preserve">Advaita/MMK source and concept review under RG-07/RG-08; diagnostic-family disanalogy, active counterexample and level-appropriate synthesis review under the MCPC.</w:t>
            </w:r>
            <w:r/>
          </w:p>
        </w:tc>
        <w:tc>
          <w:tcPr>
            <w:shd w:val="clear" w:color="auto" w:fill="f7f9fa"/>
            <w:tcBorders/>
            <w:tcMar>
              <w:left w:w="70" w:type="dxa"/>
              <w:top w:w="60" w:type="dxa"/>
              <w:right w:w="70" w:type="dxa"/>
              <w:bottom w:w="60" w:type="dxa"/>
            </w:tcMar>
            <w:tcW w:w="1373" w:type="dxa"/>
            <w:vAlign w:val="top"/>
          </w:tcPr>
          <w:p>
            <w:pPr>
              <w:pStyle w:val="1297"/>
              <w:pBdr/>
              <w:spacing/>
              <w:ind/>
              <w:rPr/>
            </w:pPr>
            <w:r>
              <w:t xml:space="preserve">MCPC; </w:t>
            </w:r>
            <w:hyperlink w:tooltip="#CH_12" w:anchor="CH_12" w:history="1">
              <w:r>
                <w:t xml:space="preserve">Chapter 12 local brief</w:t>
              </w:r>
            </w:hyperlink>
            <w:r/>
            <w:r/>
          </w:p>
        </w:tc>
      </w:tr>
      <w:tr>
        <w:trPr>
          <w:cantSplit/>
        </w:trPr>
        <w:tc>
          <w:tcPr>
            <w:tcBorders/>
            <w:tcMar>
              <w:left w:w="70" w:type="dxa"/>
              <w:top w:w="60" w:type="dxa"/>
              <w:right w:w="70" w:type="dxa"/>
              <w:bottom w:w="60" w:type="dxa"/>
            </w:tcMar>
            <w:tcW w:w="610" w:type="dxa"/>
            <w:vAlign w:val="top"/>
          </w:tcPr>
          <w:p>
            <w:pPr>
              <w:pStyle w:val="1297"/>
              <w:pBdr/>
              <w:spacing/>
              <w:ind/>
              <w:rPr/>
            </w:pPr>
            <w:r>
              <w:t xml:space="preserve">13</w:t>
            </w:r>
            <w:r/>
          </w:p>
        </w:tc>
        <w:tc>
          <w:tcPr>
            <w:tcBorders/>
            <w:tcMar>
              <w:left w:w="70" w:type="dxa"/>
              <w:top w:w="60" w:type="dxa"/>
              <w:right w:w="70" w:type="dxa"/>
              <w:bottom w:w="60" w:type="dxa"/>
            </w:tcMar>
            <w:tcW w:w="4729" w:type="dxa"/>
            <w:vAlign w:val="top"/>
          </w:tcPr>
          <w:p>
            <w:pPr>
              <w:pStyle w:val="1297"/>
              <w:pBdr/>
              <w:spacing/>
              <w:ind/>
              <w:rPr/>
            </w:pPr>
            <w:r>
              <w:t xml:space="preserve">RG-01, RG-02</w:t>
            </w:r>
            <w:r>
              <w:t xml:space="preserve">, RG-07, RG-17. Ifá treatment requires G4/G5 and each retained unit’s evidence, readiness, rights, review and authorization under §12; Dōgen retains DIGITAL-REFERENCE scope unless separately promoted. A print pointer does not establish public availability.</w:t>
            </w:r>
            <w:r/>
          </w:p>
        </w:tc>
        <w:tc>
          <w:tcPr>
            <w:tcBorders/>
            <w:tcMar>
              <w:left w:w="70" w:type="dxa"/>
              <w:top w:w="60" w:type="dxa"/>
              <w:right w:w="70" w:type="dxa"/>
              <w:bottom w:w="60" w:type="dxa"/>
            </w:tcMar>
            <w:tcW w:w="3661" w:type="dxa"/>
            <w:vAlign w:val="top"/>
          </w:tcPr>
          <w:p>
            <w:pPr>
              <w:pStyle w:val="1297"/>
              <w:pBdr/>
              <w:spacing/>
              <w:ind/>
              <w:rPr/>
            </w:pPr>
            <w:r>
              <w:t xml:space="preserve">Figure 13. Knowing–transformation architectures.</w:t>
            </w:r>
            <w:r/>
          </w:p>
        </w:tc>
        <w:tc>
          <w:tcPr>
            <w:tcBorders/>
            <w:tcMar>
              <w:left w:w="70" w:type="dxa"/>
              <w:top w:w="60" w:type="dxa"/>
              <w:right w:w="70" w:type="dxa"/>
              <w:bottom w:w="60" w:type="dxa"/>
            </w:tcMar>
            <w:tcW w:w="4882" w:type="dxa"/>
            <w:vAlign w:val="top"/>
          </w:tcPr>
          <w:p>
            <w:pPr>
              <w:pStyle w:val="1297"/>
              <w:pBdr/>
              <w:spacing/>
              <w:ind/>
              <w:rPr/>
            </w:pPr>
            <w:r>
              <w:t xml:space="preserve">Ifá unit-level provenance/governance/rights review; named Sanskrit/Advaita and Guru Nanak language/source reviews under RG-07/RG-17; source-fit knowing–transformation review. Dōgen remains DIGITAL-REFERENCE unless separately promoted.</w:t>
            </w:r>
            <w:r/>
          </w:p>
        </w:tc>
        <w:tc>
          <w:tcPr>
            <w:tcBorders/>
            <w:tcMar>
              <w:left w:w="70" w:type="dxa"/>
              <w:top w:w="60" w:type="dxa"/>
              <w:right w:w="70" w:type="dxa"/>
              <w:bottom w:w="60" w:type="dxa"/>
            </w:tcMar>
            <w:tcW w:w="1373" w:type="dxa"/>
            <w:vAlign w:val="top"/>
          </w:tcPr>
          <w:p>
            <w:pPr>
              <w:pStyle w:val="1297"/>
              <w:pBdr/>
              <w:spacing/>
              <w:ind/>
              <w:rPr/>
            </w:pPr>
            <w:r>
              <w:t xml:space="preserve">MCPC; </w:t>
            </w:r>
            <w:hyperlink w:tooltip="#CH_13" w:anchor="CH_13" w:history="1">
              <w:r>
                <w:t xml:space="preserve">Chapter 13 local brief</w:t>
              </w:r>
            </w:hyperlink>
            <w:r/>
            <w:r/>
          </w:p>
        </w:tc>
      </w:tr>
      <w:tr>
        <w:trPr>
          <w:cantSplit/>
        </w:trPr>
        <w:tc>
          <w:tcPr>
            <w:shd w:val="clear" w:color="auto" w:fill="f7f9fa"/>
            <w:tcBorders/>
            <w:tcMar>
              <w:left w:w="70" w:type="dxa"/>
              <w:top w:w="60" w:type="dxa"/>
              <w:right w:w="70" w:type="dxa"/>
              <w:bottom w:w="60" w:type="dxa"/>
            </w:tcMar>
            <w:tcW w:w="610" w:type="dxa"/>
            <w:vAlign w:val="top"/>
          </w:tcPr>
          <w:p>
            <w:pPr>
              <w:pStyle w:val="1297"/>
              <w:pBdr/>
              <w:spacing/>
              <w:ind/>
              <w:rPr/>
            </w:pPr>
            <w:r>
              <w:t xml:space="preserve">14</w:t>
            </w:r>
            <w:r/>
          </w:p>
        </w:tc>
        <w:tc>
          <w:tcPr>
            <w:shd w:val="clear" w:color="auto" w:fill="f7f9fa"/>
            <w:tcBorders/>
            <w:tcMar>
              <w:left w:w="70" w:type="dxa"/>
              <w:top w:w="60" w:type="dxa"/>
              <w:right w:w="70" w:type="dxa"/>
              <w:bottom w:w="60" w:type="dxa"/>
            </w:tcMar>
            <w:tcW w:w="4729" w:type="dxa"/>
            <w:vAlign w:val="top"/>
          </w:tcPr>
          <w:p>
            <w:pPr>
              <w:pStyle w:val="1297"/>
              <w:pBdr/>
              <w:spacing/>
              <w:ind/>
              <w:rPr/>
            </w:pPr>
            <w:r>
              <w:t xml:space="preserve">RG-01 and RG-02 govern Ifá capability and each retained unit’s read</w:t>
            </w:r>
            <w:r>
              <w:t xml:space="preserve">iness; RG-11 governs Jaina sources; RG-18 governs the Avicenna/al-Ghazālī causal-relation dossier and its Arabic philosophical specialist review. Ifá destiny terminology additionally requires unit-level rights, evidence, review and authorization under §12.</w:t>
            </w:r>
            <w:r/>
          </w:p>
        </w:tc>
        <w:tc>
          <w:tcPr>
            <w:shd w:val="clear" w:color="auto" w:fill="f7f9fa"/>
            <w:tcBorders/>
            <w:tcMar>
              <w:left w:w="70" w:type="dxa"/>
              <w:top w:w="60" w:type="dxa"/>
              <w:right w:w="70" w:type="dxa"/>
              <w:bottom w:w="60" w:type="dxa"/>
            </w:tcMar>
            <w:tcW w:w="3661" w:type="dxa"/>
            <w:vAlign w:val="top"/>
          </w:tcPr>
          <w:p>
            <w:pPr>
              <w:pStyle w:val="1297"/>
              <w:pBdr/>
              <w:spacing/>
              <w:ind/>
              <w:rPr/>
            </w:pPr>
            <w:r>
              <w:t xml:space="preserve">Figure 14. Causal-order taxonomy.</w:t>
            </w:r>
            <w:r/>
          </w:p>
        </w:tc>
        <w:tc>
          <w:tcPr>
            <w:shd w:val="clear" w:color="auto" w:fill="f7f9fa"/>
            <w:tcBorders/>
            <w:tcMar>
              <w:left w:w="70" w:type="dxa"/>
              <w:top w:w="60" w:type="dxa"/>
              <w:right w:w="70" w:type="dxa"/>
              <w:bottom w:w="60" w:type="dxa"/>
            </w:tcMar>
            <w:tcW w:w="4882" w:type="dxa"/>
            <w:vAlign w:val="top"/>
          </w:tcPr>
          <w:p>
            <w:pPr>
              <w:pStyle w:val="1297"/>
              <w:pBdr/>
              <w:spacing/>
              <w:ind/>
              <w:rPr/>
            </w:pPr>
            <w:r>
              <w:t xml:space="preserve">Arabic philosophical review of the RG-18 Avicenna/al-Ghazālī dossier; Jaina source review under RG-11; Ifá unit-level provenance, community/governance and rights review.</w:t>
            </w:r>
            <w:r/>
          </w:p>
        </w:tc>
        <w:tc>
          <w:tcPr>
            <w:shd w:val="clear" w:color="auto" w:fill="f7f9fa"/>
            <w:tcBorders/>
            <w:tcMar>
              <w:left w:w="70" w:type="dxa"/>
              <w:top w:w="60" w:type="dxa"/>
              <w:right w:w="70" w:type="dxa"/>
              <w:bottom w:w="60" w:type="dxa"/>
            </w:tcMar>
            <w:tcW w:w="1373" w:type="dxa"/>
            <w:vAlign w:val="top"/>
          </w:tcPr>
          <w:p>
            <w:pPr>
              <w:pStyle w:val="1297"/>
              <w:pBdr/>
              <w:spacing/>
              <w:ind/>
              <w:rPr/>
            </w:pPr>
            <w:r>
              <w:t xml:space="preserve">MCPC; </w:t>
            </w:r>
            <w:hyperlink w:tooltip="#CH_14" w:anchor="CH_14" w:history="1">
              <w:r>
                <w:t xml:space="preserve">Chapter 14 local brief</w:t>
              </w:r>
            </w:hyperlink>
            <w:r/>
            <w:r/>
          </w:p>
        </w:tc>
      </w:tr>
      <w:tr>
        <w:trPr>
          <w:cantSplit/>
        </w:trPr>
        <w:tc>
          <w:tcPr>
            <w:tcBorders/>
            <w:tcMar>
              <w:left w:w="70" w:type="dxa"/>
              <w:top w:w="60" w:type="dxa"/>
              <w:right w:w="70" w:type="dxa"/>
              <w:bottom w:w="60" w:type="dxa"/>
            </w:tcMar>
            <w:tcW w:w="610" w:type="dxa"/>
            <w:vAlign w:val="top"/>
          </w:tcPr>
          <w:p>
            <w:pPr>
              <w:pStyle w:val="1297"/>
              <w:pBdr/>
              <w:spacing/>
              <w:ind/>
              <w:rPr/>
            </w:pPr>
            <w:r>
              <w:t xml:space="preserve">15</w:t>
            </w:r>
            <w:r/>
          </w:p>
        </w:tc>
        <w:tc>
          <w:tcPr>
            <w:tcBorders/>
            <w:tcMar>
              <w:left w:w="70" w:type="dxa"/>
              <w:top w:w="60" w:type="dxa"/>
              <w:right w:w="70" w:type="dxa"/>
              <w:bottom w:w="60" w:type="dxa"/>
            </w:tcMar>
            <w:tcW w:w="4729" w:type="dxa"/>
            <w:vAlign w:val="top"/>
          </w:tcPr>
          <w:p>
            <w:pPr>
              <w:pStyle w:val="1297"/>
              <w:pBdr/>
              <w:spacing/>
              <w:ind/>
              <w:rPr/>
            </w:pPr>
            <w:r>
              <w:t xml:space="preserve">RG-01, RG-02, RG-19, RG-20. Ifá agency claims require G4/G5 and unit-level readiness; Stoic and Zhuangzi terms retain their local reviews.</w:t>
            </w:r>
            <w:r/>
          </w:p>
        </w:tc>
        <w:tc>
          <w:tcPr>
            <w:tcBorders/>
            <w:tcMar>
              <w:left w:w="70" w:type="dxa"/>
              <w:top w:w="60" w:type="dxa"/>
              <w:right w:w="70" w:type="dxa"/>
              <w:bottom w:w="60" w:type="dxa"/>
            </w:tcMar>
            <w:tcW w:w="3661" w:type="dxa"/>
            <w:vAlign w:val="top"/>
          </w:tcPr>
          <w:p>
            <w:pPr>
              <w:pStyle w:val="1297"/>
              <w:pBdr/>
              <w:spacing/>
              <w:ind/>
              <w:rPr/>
            </w:pPr>
            <w:r>
              <w:t xml:space="preserve">Figure 15. Agency under different orders.</w:t>
            </w:r>
            <w:r/>
          </w:p>
        </w:tc>
        <w:tc>
          <w:tcPr>
            <w:tcBorders/>
            <w:tcMar>
              <w:left w:w="70" w:type="dxa"/>
              <w:top w:w="60" w:type="dxa"/>
              <w:right w:w="70" w:type="dxa"/>
              <w:bottom w:w="60" w:type="dxa"/>
            </w:tcMar>
            <w:tcW w:w="4882" w:type="dxa"/>
            <w:vAlign w:val="top"/>
          </w:tcPr>
          <w:p>
            <w:pPr>
              <w:pStyle w:val="1297"/>
              <w:pBdr/>
              <w:spacing/>
              <w:ind/>
              <w:rPr/>
            </w:pPr>
            <w:r>
              <w:t xml:space="preserve">Stoic fragment/reconstruction review under RG-19; named Zhuangzi terminology review under the local brief and RG-20 where its scope applies; Ifá unit-level provenance, governance, rights and review.</w:t>
            </w:r>
            <w:r/>
          </w:p>
        </w:tc>
        <w:tc>
          <w:tcPr>
            <w:tcBorders/>
            <w:tcMar>
              <w:left w:w="70" w:type="dxa"/>
              <w:top w:w="60" w:type="dxa"/>
              <w:right w:w="70" w:type="dxa"/>
              <w:bottom w:w="60" w:type="dxa"/>
            </w:tcMar>
            <w:tcW w:w="1373" w:type="dxa"/>
            <w:vAlign w:val="top"/>
          </w:tcPr>
          <w:p>
            <w:pPr>
              <w:pStyle w:val="1297"/>
              <w:pBdr/>
              <w:spacing/>
              <w:ind/>
              <w:rPr/>
            </w:pPr>
            <w:r>
              <w:t xml:space="preserve">MCPC; </w:t>
            </w:r>
            <w:hyperlink w:tooltip="#CH_15" w:anchor="CH_15" w:history="1">
              <w:r>
                <w:t xml:space="preserve">Chapter 15 local brief</w:t>
              </w:r>
            </w:hyperlink>
            <w:r/>
            <w:r/>
          </w:p>
        </w:tc>
      </w:tr>
      <w:tr>
        <w:trPr>
          <w:cantSplit/>
        </w:trPr>
        <w:tc>
          <w:tcPr>
            <w:shd w:val="clear" w:color="auto" w:fill="f7f9fa"/>
            <w:tcBorders/>
            <w:tcMar>
              <w:left w:w="70" w:type="dxa"/>
              <w:top w:w="60" w:type="dxa"/>
              <w:right w:w="70" w:type="dxa"/>
              <w:bottom w:w="60" w:type="dxa"/>
            </w:tcMar>
            <w:tcW w:w="610" w:type="dxa"/>
            <w:vAlign w:val="top"/>
          </w:tcPr>
          <w:p>
            <w:pPr>
              <w:pStyle w:val="1297"/>
              <w:pBdr/>
              <w:spacing/>
              <w:ind/>
              <w:rPr/>
            </w:pPr>
            <w:r>
              <w:t xml:space="preserve">16</w:t>
            </w:r>
            <w:r/>
          </w:p>
        </w:tc>
        <w:tc>
          <w:tcPr>
            <w:shd w:val="clear" w:color="auto" w:fill="f7f9fa"/>
            <w:tcBorders/>
            <w:tcMar>
              <w:left w:w="70" w:type="dxa"/>
              <w:top w:w="60" w:type="dxa"/>
              <w:right w:w="70" w:type="dxa"/>
              <w:bottom w:w="60" w:type="dxa"/>
            </w:tcMar>
            <w:tcW w:w="4729" w:type="dxa"/>
            <w:vAlign w:val="top"/>
          </w:tcPr>
          <w:p>
            <w:pPr>
              <w:pStyle w:val="1297"/>
              <w:pBdr/>
              <w:spacing/>
              <w:ind/>
              <w:rPr/>
            </w:pPr>
            <w:r>
              <w:t xml:space="preserve">RG-17, RG-20, RG-21. Ensure Sikh treatment avoids modern ideological projection; distinguish Advaita renunciation from Sethian exit.</w:t>
            </w:r>
            <w:r/>
          </w:p>
        </w:tc>
        <w:tc>
          <w:tcPr>
            <w:shd w:val="clear" w:color="auto" w:fill="f7f9fa"/>
            <w:tcBorders/>
            <w:tcMar>
              <w:left w:w="70" w:type="dxa"/>
              <w:top w:w="60" w:type="dxa"/>
              <w:right w:w="70" w:type="dxa"/>
              <w:bottom w:w="60" w:type="dxa"/>
            </w:tcMar>
            <w:tcW w:w="3661" w:type="dxa"/>
            <w:vAlign w:val="top"/>
          </w:tcPr>
          <w:p>
            <w:pPr>
              <w:pStyle w:val="1297"/>
              <w:pBdr/>
              <w:spacing/>
              <w:ind/>
              <w:rPr/>
            </w:pPr>
            <w:r>
              <w:t xml:space="preserve">Figure 16. World-orientation map with metaphysical independence.</w:t>
            </w:r>
            <w:r/>
          </w:p>
        </w:tc>
        <w:tc>
          <w:tcPr>
            <w:shd w:val="clear" w:color="auto" w:fill="f7f9fa"/>
            <w:tcBorders/>
            <w:tcMar>
              <w:left w:w="70" w:type="dxa"/>
              <w:top w:w="60" w:type="dxa"/>
              <w:right w:w="70" w:type="dxa"/>
              <w:bottom w:w="60" w:type="dxa"/>
            </w:tcMar>
            <w:tcW w:w="4882" w:type="dxa"/>
            <w:vAlign w:val="top"/>
          </w:tcPr>
          <w:p>
            <w:pPr>
              <w:pStyle w:val="1297"/>
              <w:pBdr/>
              <w:spacing/>
              <w:ind/>
              <w:rPr/>
            </w:pPr>
            <w:r>
              <w:t xml:space="preserve">Relevant Sanskrit/Indian-philosophy specialist review; Coptic/Sethian textual or manuscript specialist review</w:t>
            </w:r>
            <w:r/>
          </w:p>
        </w:tc>
        <w:tc>
          <w:tcPr>
            <w:shd w:val="clear" w:color="auto" w:fill="f7f9fa"/>
            <w:tcBorders/>
            <w:tcMar>
              <w:left w:w="70" w:type="dxa"/>
              <w:top w:w="60" w:type="dxa"/>
              <w:right w:w="70" w:type="dxa"/>
              <w:bottom w:w="60" w:type="dxa"/>
            </w:tcMar>
            <w:tcW w:w="1373" w:type="dxa"/>
            <w:vAlign w:val="top"/>
          </w:tcPr>
          <w:p>
            <w:pPr>
              <w:pStyle w:val="1297"/>
              <w:pBdr/>
              <w:spacing/>
              <w:ind/>
              <w:rPr/>
            </w:pPr>
            <w:r>
              <w:t xml:space="preserve">MCPC; </w:t>
            </w:r>
            <w:hyperlink w:tooltip="#CH_16" w:anchor="CH_16" w:history="1">
              <w:r>
                <w:t xml:space="preserve">Chapter 16 local brief</w:t>
              </w:r>
            </w:hyperlink>
            <w:r/>
            <w:r/>
          </w:p>
        </w:tc>
      </w:tr>
      <w:tr>
        <w:trPr>
          <w:cantSplit/>
        </w:trPr>
        <w:tc>
          <w:tcPr>
            <w:tcBorders/>
            <w:tcMar>
              <w:left w:w="70" w:type="dxa"/>
              <w:top w:w="60" w:type="dxa"/>
              <w:right w:w="70" w:type="dxa"/>
              <w:bottom w:w="60" w:type="dxa"/>
            </w:tcMar>
            <w:tcW w:w="610" w:type="dxa"/>
            <w:vAlign w:val="top"/>
          </w:tcPr>
          <w:p>
            <w:pPr>
              <w:pStyle w:val="1297"/>
              <w:pBdr/>
              <w:spacing/>
              <w:ind/>
              <w:rPr/>
            </w:pPr>
            <w:r>
              <w:t xml:space="preserve">17</w:t>
            </w:r>
            <w:r/>
          </w:p>
        </w:tc>
        <w:tc>
          <w:tcPr>
            <w:tcBorders/>
            <w:tcMar>
              <w:left w:w="70" w:type="dxa"/>
              <w:top w:w="60" w:type="dxa"/>
              <w:right w:w="70" w:type="dxa"/>
              <w:bottom w:w="60" w:type="dxa"/>
            </w:tcMar>
            <w:tcW w:w="4729" w:type="dxa"/>
            <w:vAlign w:val="top"/>
          </w:tcPr>
          <w:p>
            <w:pPr>
              <w:pStyle w:val="1297"/>
              <w:pBdr/>
              <w:spacing/>
              <w:ind/>
              <w:rPr/>
            </w:pPr>
            <w:r>
              <w:t xml:space="preserve">RG-11 governs Jaina sources, RG-15 Yogācāra, RG-2</w:t>
            </w:r>
            <w:r>
              <w:t xml:space="preserve">2 Gregory and RG-23 Apocryphon witness/recension detail. Avicennan postmortem psychology and Arabic-source review remains a separate local MCPC obligation, not RG-11. Apocryphon mechanics remain recension-specific; the MMK is not a complete rebirth manual.</w:t>
            </w:r>
            <w:r/>
          </w:p>
        </w:tc>
        <w:tc>
          <w:tcPr>
            <w:tcBorders/>
            <w:tcMar>
              <w:left w:w="70" w:type="dxa"/>
              <w:top w:w="60" w:type="dxa"/>
              <w:right w:w="70" w:type="dxa"/>
              <w:bottom w:w="60" w:type="dxa"/>
            </w:tcMar>
            <w:tcW w:w="3661" w:type="dxa"/>
            <w:vAlign w:val="top"/>
          </w:tcPr>
          <w:p>
            <w:pPr>
              <w:pStyle w:val="1297"/>
              <w:pBdr/>
              <w:spacing/>
              <w:ind/>
              <w:rPr/>
            </w:pPr>
            <w:r>
              <w:t xml:space="preserve">Figure 17. Death/continuity architectures.</w:t>
            </w:r>
            <w:r/>
          </w:p>
        </w:tc>
        <w:tc>
          <w:tcPr>
            <w:tcBorders/>
            <w:tcMar>
              <w:left w:w="70" w:type="dxa"/>
              <w:top w:w="60" w:type="dxa"/>
              <w:right w:w="70" w:type="dxa"/>
              <w:bottom w:w="60" w:type="dxa"/>
            </w:tcMar>
            <w:tcW w:w="4882" w:type="dxa"/>
            <w:vAlign w:val="top"/>
          </w:tcPr>
          <w:p>
            <w:pPr>
              <w:pStyle w:val="1297"/>
              <w:pBdr/>
              <w:spacing/>
              <w:ind/>
              <w:rPr/>
            </w:pPr>
            <w:r>
              <w:t xml:space="preserve">Coptic/Sethian witness/recension review under RG-23; Gregory, Jaina and Yogācāra source reviews; separate local Avicennan psychology/Arabic-source specialist review.</w:t>
            </w:r>
            <w:r/>
          </w:p>
        </w:tc>
        <w:tc>
          <w:tcPr>
            <w:tcBorders/>
            <w:tcMar>
              <w:left w:w="70" w:type="dxa"/>
              <w:top w:w="60" w:type="dxa"/>
              <w:right w:w="70" w:type="dxa"/>
              <w:bottom w:w="60" w:type="dxa"/>
            </w:tcMar>
            <w:tcW w:w="1373" w:type="dxa"/>
            <w:vAlign w:val="top"/>
          </w:tcPr>
          <w:p>
            <w:pPr>
              <w:pStyle w:val="1297"/>
              <w:pBdr/>
              <w:spacing/>
              <w:ind/>
              <w:rPr/>
            </w:pPr>
            <w:r>
              <w:t xml:space="preserve">MCPC; </w:t>
            </w:r>
            <w:hyperlink w:tooltip="#CH_17" w:anchor="CH_17" w:history="1">
              <w:r>
                <w:t xml:space="preserve">Chapter 17 local brief</w:t>
              </w:r>
            </w:hyperlink>
            <w:r/>
            <w:r/>
          </w:p>
        </w:tc>
      </w:tr>
      <w:tr>
        <w:trPr>
          <w:cantSplit/>
        </w:trPr>
        <w:tc>
          <w:tcPr>
            <w:shd w:val="clear" w:color="auto" w:fill="f7f9fa"/>
            <w:tcBorders/>
            <w:tcMar>
              <w:left w:w="70" w:type="dxa"/>
              <w:top w:w="60" w:type="dxa"/>
              <w:right w:w="70" w:type="dxa"/>
              <w:bottom w:w="60" w:type="dxa"/>
            </w:tcMar>
            <w:tcW w:w="610" w:type="dxa"/>
            <w:vAlign w:val="top"/>
          </w:tcPr>
          <w:p>
            <w:pPr>
              <w:pStyle w:val="1297"/>
              <w:pBdr/>
              <w:spacing/>
              <w:ind/>
              <w:rPr/>
            </w:pPr>
            <w:r>
              <w:t xml:space="preserve">18</w:t>
            </w:r>
            <w:r/>
          </w:p>
        </w:tc>
        <w:tc>
          <w:tcPr>
            <w:shd w:val="clear" w:color="auto" w:fill="f7f9fa"/>
            <w:tcBorders/>
            <w:tcMar>
              <w:left w:w="70" w:type="dxa"/>
              <w:top w:w="60" w:type="dxa"/>
              <w:right w:w="70" w:type="dxa"/>
              <w:bottom w:w="60" w:type="dxa"/>
            </w:tcMar>
            <w:tcW w:w="4729" w:type="dxa"/>
            <w:vAlign w:val="top"/>
          </w:tcPr>
          <w:p>
            <w:pPr>
              <w:pStyle w:val="1297"/>
              <w:pBdr/>
              <w:spacing/>
              <w:ind/>
              <w:rPr/>
            </w:pPr>
            <w:r>
              <w:t xml:space="preserve">RG-08, RG-11, RG-17, RG-21, RG-24. Nirvāṇa, Jaina, Guru Nanak and telos formulations remain bounded to the named source packages.</w:t>
            </w:r>
            <w:r/>
          </w:p>
        </w:tc>
        <w:tc>
          <w:tcPr>
            <w:shd w:val="clear" w:color="auto" w:fill="f7f9fa"/>
            <w:tcBorders/>
            <w:tcMar>
              <w:left w:w="70" w:type="dxa"/>
              <w:top w:w="60" w:type="dxa"/>
              <w:right w:w="70" w:type="dxa"/>
              <w:bottom w:w="60" w:type="dxa"/>
            </w:tcMar>
            <w:tcW w:w="3661" w:type="dxa"/>
            <w:vAlign w:val="top"/>
          </w:tcPr>
          <w:p>
            <w:pPr>
              <w:pStyle w:val="1297"/>
              <w:pBdr/>
              <w:spacing/>
              <w:ind/>
              <w:rPr/>
            </w:pPr>
            <w:r>
              <w:t xml:space="preserve">Figure 18. Telos architectures: terminal, asymptotic, cyclical-release, immanent, none.</w:t>
            </w:r>
            <w:r/>
          </w:p>
        </w:tc>
        <w:tc>
          <w:tcPr>
            <w:shd w:val="clear" w:color="auto" w:fill="f7f9fa"/>
            <w:tcBorders/>
            <w:tcMar>
              <w:left w:w="70" w:type="dxa"/>
              <w:top w:w="60" w:type="dxa"/>
              <w:right w:w="70" w:type="dxa"/>
              <w:bottom w:w="60" w:type="dxa"/>
            </w:tcMar>
            <w:tcW w:w="4882" w:type="dxa"/>
            <w:vAlign w:val="top"/>
          </w:tcPr>
          <w:p>
            <w:pPr>
              <w:pStyle w:val="1297"/>
              <w:pBdr/>
              <w:spacing/>
              <w:ind/>
              <w:rPr/>
            </w:pPr>
            <w:r>
              <w:t xml:space="preserve">Named nirvāṇa, Jaina, Guru Nanak and telos source/translation review under RG-08/RG-11/RG-17/RG-21/RG-24; counterexample and level-appropriate synthesis/publication-scope review.</w:t>
            </w:r>
            <w:r/>
          </w:p>
        </w:tc>
        <w:tc>
          <w:tcPr>
            <w:shd w:val="clear" w:color="auto" w:fill="f7f9fa"/>
            <w:tcBorders/>
            <w:tcMar>
              <w:left w:w="70" w:type="dxa"/>
              <w:top w:w="60" w:type="dxa"/>
              <w:right w:w="70" w:type="dxa"/>
              <w:bottom w:w="60" w:type="dxa"/>
            </w:tcMar>
            <w:tcW w:w="1373" w:type="dxa"/>
            <w:vAlign w:val="top"/>
          </w:tcPr>
          <w:p>
            <w:pPr>
              <w:pStyle w:val="1297"/>
              <w:pBdr/>
              <w:spacing/>
              <w:ind/>
              <w:rPr/>
            </w:pPr>
            <w:r>
              <w:t xml:space="preserve">MCPC; </w:t>
            </w:r>
            <w:hyperlink w:tooltip="#CH_18" w:anchor="CH_18" w:history="1">
              <w:r>
                <w:t xml:space="preserve">Chapter 18 local brief</w:t>
              </w:r>
            </w:hyperlink>
            <w:r/>
            <w:r/>
          </w:p>
        </w:tc>
      </w:tr>
      <w:tr>
        <w:trPr>
          <w:cantSplit/>
        </w:trPr>
        <w:tc>
          <w:tcPr>
            <w:tcBorders/>
            <w:tcMar>
              <w:left w:w="70" w:type="dxa"/>
              <w:top w:w="60" w:type="dxa"/>
              <w:right w:w="70" w:type="dxa"/>
              <w:bottom w:w="60" w:type="dxa"/>
            </w:tcMar>
            <w:tcW w:w="610" w:type="dxa"/>
            <w:vAlign w:val="top"/>
          </w:tcPr>
          <w:p>
            <w:pPr>
              <w:pStyle w:val="1297"/>
              <w:pBdr/>
              <w:spacing/>
              <w:ind/>
              <w:rPr/>
            </w:pPr>
            <w:r>
              <w:t xml:space="preserve">19</w:t>
            </w:r>
            <w:r/>
          </w:p>
        </w:tc>
        <w:tc>
          <w:tcPr>
            <w:tcBorders/>
            <w:tcMar>
              <w:left w:w="70" w:type="dxa"/>
              <w:top w:w="60" w:type="dxa"/>
              <w:right w:w="70" w:type="dxa"/>
              <w:bottom w:w="60" w:type="dxa"/>
            </w:tcMar>
            <w:tcW w:w="4729" w:type="dxa"/>
            <w:vAlign w:val="top"/>
          </w:tcPr>
          <w:p>
            <w:pPr>
              <w:pStyle w:val="1297"/>
              <w:pBdr/>
              <w:spacing/>
              <w:ind/>
              <w:rPr/>
            </w:pPr>
            <w:r>
              <w:t xml:space="preserve">RG-25, RG-26, RG-27, RG-28, RG-29, RG-31, RG-32, RG-33. L2 synthesis also depends on all-state, relation and traceability evidence.</w:t>
            </w:r>
            <w:r/>
          </w:p>
        </w:tc>
        <w:tc>
          <w:tcPr>
            <w:tcBorders/>
            <w:tcMar>
              <w:left w:w="70" w:type="dxa"/>
              <w:top w:w="60" w:type="dxa"/>
              <w:right w:w="70" w:type="dxa"/>
              <w:bottom w:w="60" w:type="dxa"/>
            </w:tcMar>
            <w:tcW w:w="3661" w:type="dxa"/>
            <w:vAlign w:val="top"/>
          </w:tcPr>
          <w:p>
            <w:pPr>
              <w:pStyle w:val="1297"/>
              <w:pBdr/>
              <w:spacing/>
              <w:ind/>
              <w:rPr/>
            </w:pPr>
            <w:r>
              <w:t xml:space="preserve">Figure 19. Pattern/counterexample graph; Table 19. L2 candidates and falsifiers.</w:t>
            </w:r>
            <w:r/>
          </w:p>
        </w:tc>
        <w:tc>
          <w:tcPr>
            <w:tcBorders/>
            <w:tcMar>
              <w:left w:w="70" w:type="dxa"/>
              <w:top w:w="60" w:type="dxa"/>
              <w:right w:w="70" w:type="dxa"/>
              <w:bottom w:w="60" w:type="dxa"/>
            </w:tcMar>
            <w:tcW w:w="4882" w:type="dxa"/>
            <w:vAlign w:val="top"/>
          </w:tcPr>
          <w:p>
            <w:pPr>
              <w:pStyle w:val="1297"/>
              <w:pBdr/>
              <w:spacing/>
              <w:ind/>
              <w:rPr/>
            </w:pPr>
            <w:r>
              <w:t xml:space="preserve">Level-appropriate synthesis, relation/reliability and negative-case review; complete cross-pattern audit, genealogy/contact, translation/boundary and sensitivity evidence. G2/G3 and G6 burdens remain distinct from per-record review.</w:t>
            </w:r>
            <w:r/>
          </w:p>
        </w:tc>
        <w:tc>
          <w:tcPr>
            <w:tcBorders/>
            <w:tcMar>
              <w:left w:w="70" w:type="dxa"/>
              <w:top w:w="60" w:type="dxa"/>
              <w:right w:w="70" w:type="dxa"/>
              <w:bottom w:w="60" w:type="dxa"/>
            </w:tcMar>
            <w:tcW w:w="1373" w:type="dxa"/>
            <w:vAlign w:val="top"/>
          </w:tcPr>
          <w:p>
            <w:pPr>
              <w:pStyle w:val="1297"/>
              <w:pBdr/>
              <w:spacing/>
              <w:ind/>
              <w:rPr/>
            </w:pPr>
            <w:r>
              <w:t xml:space="preserve">MCPC; </w:t>
            </w:r>
            <w:hyperlink w:tooltip="#CH_19" w:anchor="CH_19" w:history="1">
              <w:r>
                <w:t xml:space="preserve">Chapter 19 local brief</w:t>
              </w:r>
            </w:hyperlink>
            <w:r/>
            <w:r/>
          </w:p>
        </w:tc>
      </w:tr>
      <w:tr>
        <w:trPr>
          <w:cantSplit/>
        </w:trPr>
        <w:tc>
          <w:tcPr>
            <w:shd w:val="clear" w:color="auto" w:fill="f7f9fa"/>
            <w:tcBorders/>
            <w:tcMar>
              <w:left w:w="70" w:type="dxa"/>
              <w:top w:w="60" w:type="dxa"/>
              <w:right w:w="70" w:type="dxa"/>
              <w:bottom w:w="60" w:type="dxa"/>
            </w:tcMar>
            <w:tcW w:w="610" w:type="dxa"/>
            <w:vAlign w:val="top"/>
          </w:tcPr>
          <w:p>
            <w:pPr>
              <w:pStyle w:val="1297"/>
              <w:pBdr/>
              <w:spacing/>
              <w:ind/>
              <w:rPr/>
            </w:pPr>
            <w:r>
              <w:t xml:space="preserve">20</w:t>
            </w:r>
            <w:r/>
          </w:p>
        </w:tc>
        <w:tc>
          <w:tcPr>
            <w:shd w:val="clear" w:color="auto" w:fill="f7f9fa"/>
            <w:tcBorders/>
            <w:tcMar>
              <w:left w:w="70" w:type="dxa"/>
              <w:top w:w="60" w:type="dxa"/>
              <w:right w:w="70" w:type="dxa"/>
              <w:bottom w:w="60" w:type="dxa"/>
            </w:tcMar>
            <w:tcW w:w="4729" w:type="dxa"/>
            <w:vAlign w:val="top"/>
          </w:tcPr>
          <w:p>
            <w:pPr>
              <w:pStyle w:val="1297"/>
              <w:pBdr/>
              <w:spacing/>
              <w:ind/>
              <w:rPr/>
            </w:pPr>
            <w:r>
              <w:t xml:space="preserve">RG-30, RG-31, RG-32, RG-33, RG-35. Final claims depend on saturation, reliability, traceability and a contemporaneous novelty refresh.</w:t>
            </w:r>
            <w:r/>
          </w:p>
        </w:tc>
        <w:tc>
          <w:tcPr>
            <w:shd w:val="clear" w:color="auto" w:fill="f7f9fa"/>
            <w:tcBorders/>
            <w:tcMar>
              <w:left w:w="70" w:type="dxa"/>
              <w:top w:w="60" w:type="dxa"/>
              <w:right w:w="70" w:type="dxa"/>
              <w:bottom w:w="60" w:type="dxa"/>
            </w:tcMar>
            <w:tcW w:w="3661" w:type="dxa"/>
            <w:vAlign w:val="top"/>
          </w:tcPr>
          <w:p>
            <w:pPr>
              <w:pStyle w:val="1297"/>
              <w:pBdr/>
              <w:spacing/>
              <w:ind/>
              <w:rPr/>
            </w:pPr>
            <w:r>
              <w:t xml:space="preserve">Figure 20. Atlas solution-space map; Box 20. Claims the Atlas refuses, including: “No universal Being–Knowing–Becoming triad, fixed sequence, consciousness-to-knower shortcut or privileged route from transformation or experience to truth.”</w:t>
            </w:r>
            <w:r/>
          </w:p>
        </w:tc>
        <w:tc>
          <w:tcPr>
            <w:shd w:val="clear" w:color="auto" w:fill="f7f9fa"/>
            <w:tcBorders/>
            <w:tcMar>
              <w:left w:w="70" w:type="dxa"/>
              <w:top w:w="60" w:type="dxa"/>
              <w:right w:w="70" w:type="dxa"/>
              <w:bottom w:w="60" w:type="dxa"/>
            </w:tcMar>
            <w:tcW w:w="4882" w:type="dxa"/>
            <w:vAlign w:val="top"/>
          </w:tcPr>
          <w:p>
            <w:pPr>
              <w:pStyle w:val="1297"/>
              <w:pBdr/>
              <w:spacing/>
              <w:ind/>
              <w:rPr/>
            </w:pPr>
            <w:r>
              <w:t xml:space="preserve">Contemporaneous novelty review under RG-35; G6 Claim and PublicationClaim traceability; applicable synthesis, concluding-claim and release review. Final wording is limited to actual release-eligible findings.</w:t>
            </w:r>
            <w:r/>
          </w:p>
        </w:tc>
        <w:tc>
          <w:tcPr>
            <w:shd w:val="clear" w:color="auto" w:fill="f7f9fa"/>
            <w:tcBorders/>
            <w:tcMar>
              <w:left w:w="70" w:type="dxa"/>
              <w:top w:w="60" w:type="dxa"/>
              <w:right w:w="70" w:type="dxa"/>
              <w:bottom w:w="60" w:type="dxa"/>
            </w:tcMar>
            <w:tcW w:w="1373" w:type="dxa"/>
            <w:vAlign w:val="top"/>
          </w:tcPr>
          <w:p>
            <w:pPr>
              <w:pStyle w:val="1297"/>
              <w:pBdr/>
              <w:spacing/>
              <w:ind/>
              <w:rPr/>
            </w:pPr>
            <w:r>
              <w:t xml:space="preserve">MCPC; </w:t>
            </w:r>
            <w:hyperlink w:tooltip="#CH_20" w:anchor="CH_20" w:history="1">
              <w:r>
                <w:t xml:space="preserve">Chapter 20 local brief</w:t>
              </w:r>
            </w:hyperlink>
            <w:r/>
            <w:r/>
          </w:p>
        </w:tc>
      </w:tr>
    </w:tbl>
    <w:p>
      <w:pPr>
        <w:pStyle w:val="1300"/>
        <w:pBdr/>
        <w:spacing/>
        <w:ind/>
        <w:rPr/>
      </w:pPr>
      <w:r/>
      <w:r/>
    </w:p>
    <w:p>
      <w:pPr>
        <w:pStyle w:val="1136"/>
        <w:keepNext w:val="true"/>
        <w:keepLines w:val="true"/>
        <w:pBdr/>
        <w:spacing/>
        <w:ind/>
        <w:rPr/>
      </w:pPr>
      <w:r/>
      <w:bookmarkStart w:id="196" w:name="B4"/>
      <w:r>
        <w:t xml:space="preserve">B4. Chapter and Position crosswalk</w:t>
      </w:r>
      <w:bookmarkEnd w:id="196"/>
      <w:r/>
      <w:r/>
    </w:p>
    <w:p>
      <w:pPr>
        <w:pStyle w:val="1184"/>
        <w:keepNext w:val="true"/>
        <w:keepLines w:val="true"/>
        <w:pBdr/>
        <w:spacing/>
        <w:ind/>
        <w:rPr/>
      </w:pPr>
      <w:r/>
      <w:bookmarkStart w:id="197" w:name="T_POSITION_CROSSWALK"/>
      <w:r>
        <w:t xml:space="preserve">Derived — Chapter and Position crosswalk; source: adopted corpus</w:t>
      </w:r>
      <w:bookmarkEnd w:id="197"/>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7405"/>
        <w:gridCol w:w="2962"/>
        <w:gridCol w:w="4888"/>
      </w:tblGrid>
      <w:tr>
        <w:trPr>
          <w:cantSplit/>
          <w:tblHeader/>
        </w:trPr>
        <w:tc>
          <w:tcPr>
            <w:shd w:val="clear" w:color="auto" w:fill="1f5a73"/>
            <w:tcBorders/>
            <w:tcMar>
              <w:left w:w="70" w:type="dxa"/>
              <w:top w:w="60" w:type="dxa"/>
              <w:right w:w="70" w:type="dxa"/>
              <w:bottom w:w="60" w:type="dxa"/>
            </w:tcMar>
            <w:tcW w:w="7405" w:type="dxa"/>
            <w:vAlign w:val="top"/>
          </w:tcPr>
          <w:p>
            <w:pPr>
              <w:pStyle w:val="1299"/>
              <w:pBdr/>
              <w:spacing/>
              <w:ind/>
              <w:rPr/>
            </w:pPr>
            <w:r>
              <w:t xml:space="preserve">Position</w:t>
            </w:r>
            <w:r/>
          </w:p>
        </w:tc>
        <w:tc>
          <w:tcPr>
            <w:shd w:val="clear" w:color="auto" w:fill="1f5a73"/>
            <w:tcBorders/>
            <w:tcMar>
              <w:left w:w="70" w:type="dxa"/>
              <w:top w:w="60" w:type="dxa"/>
              <w:right w:w="70" w:type="dxa"/>
              <w:bottom w:w="60" w:type="dxa"/>
            </w:tcMar>
            <w:tcW w:w="2962" w:type="dxa"/>
            <w:vAlign w:val="top"/>
          </w:tcPr>
          <w:p>
            <w:pPr>
              <w:pStyle w:val="1299"/>
              <w:pBdr/>
              <w:spacing/>
              <w:ind/>
              <w:rPr/>
            </w:pPr>
            <w:r>
              <w:t xml:space="preserve">Editorial role</w:t>
            </w:r>
            <w:r/>
          </w:p>
        </w:tc>
        <w:tc>
          <w:tcPr>
            <w:shd w:val="clear" w:color="auto" w:fill="1f5a73"/>
            <w:tcBorders/>
            <w:tcMar>
              <w:left w:w="70" w:type="dxa"/>
              <w:top w:w="60" w:type="dxa"/>
              <w:right w:w="70" w:type="dxa"/>
              <w:bottom w:w="60" w:type="dxa"/>
            </w:tcMar>
            <w:tcW w:w="4888" w:type="dxa"/>
            <w:vAlign w:val="top"/>
          </w:tcPr>
          <w:p>
            <w:pPr>
              <w:pStyle w:val="1299"/>
              <w:pBdr/>
              <w:spacing/>
              <w:ind/>
              <w:rPr/>
            </w:pPr>
            <w:r>
              <w:t xml:space="preserve">Primary chapters</w:t>
            </w:r>
            <w:r/>
          </w:p>
        </w:tc>
      </w:tr>
      <w:tr>
        <w:trPr>
          <w:cantSplit/>
        </w:trPr>
        <w:tc>
          <w:tcPr>
            <w:tcBorders/>
            <w:tcMar>
              <w:left w:w="70" w:type="dxa"/>
              <w:top w:w="60" w:type="dxa"/>
              <w:right w:w="70" w:type="dxa"/>
              <w:bottom w:w="60" w:type="dxa"/>
            </w:tcMar>
            <w:tcW w:w="7405" w:type="dxa"/>
            <w:vAlign w:val="top"/>
          </w:tcPr>
          <w:p>
            <w:pPr>
              <w:pStyle w:val="1297"/>
              <w:pBdr/>
              <w:spacing/>
              <w:ind/>
              <w:rPr/>
            </w:pPr>
            <w:r>
              <w:t xml:space="preserve">Apocryphon of John, long-recension position</w:t>
            </w:r>
            <w:r/>
          </w:p>
        </w:tc>
        <w:tc>
          <w:tcPr>
            <w:tcBorders/>
            <w:tcMar>
              <w:left w:w="70" w:type="dxa"/>
              <w:top w:w="60" w:type="dxa"/>
              <w:right w:w="70" w:type="dxa"/>
              <w:bottom w:w="60" w:type="dxa"/>
            </w:tcMar>
            <w:tcW w:w="2962" w:type="dxa"/>
            <w:vAlign w:val="top"/>
          </w:tcPr>
          <w:p>
            <w:pPr>
              <w:pStyle w:val="1297"/>
              <w:pBdr/>
              <w:spacing/>
              <w:ind/>
              <w:rPr/>
            </w:pPr>
            <w:r>
              <w:t xml:space="preserve">CORE</w:t>
            </w:r>
            <w:r/>
          </w:p>
        </w:tc>
        <w:tc>
          <w:tcPr>
            <w:tcBorders/>
            <w:tcMar>
              <w:left w:w="70" w:type="dxa"/>
              <w:top w:w="60" w:type="dxa"/>
              <w:right w:w="70" w:type="dxa"/>
              <w:bottom w:w="60" w:type="dxa"/>
            </w:tcMar>
            <w:tcW w:w="4888" w:type="dxa"/>
            <w:vAlign w:val="top"/>
          </w:tcPr>
          <w:p>
            <w:pPr>
              <w:pStyle w:val="1297"/>
              <w:pBdr/>
              <w:spacing/>
              <w:ind/>
              <w:rPr/>
            </w:pPr>
            <w:r>
              <w:t xml:space="preserve">2, 5, 6, 12, 16, 17</w:t>
            </w:r>
            <w:r/>
          </w:p>
        </w:tc>
      </w:tr>
      <w:tr>
        <w:trPr>
          <w:cantSplit/>
        </w:trPr>
        <w:tc>
          <w:tcPr>
            <w:shd w:val="clear" w:color="auto" w:fill="f7f9fa"/>
            <w:tcBorders/>
            <w:tcMar>
              <w:left w:w="70" w:type="dxa"/>
              <w:top w:w="60" w:type="dxa"/>
              <w:right w:w="70" w:type="dxa"/>
              <w:bottom w:w="60" w:type="dxa"/>
            </w:tcMar>
            <w:tcW w:w="7405" w:type="dxa"/>
            <w:vAlign w:val="top"/>
          </w:tcPr>
          <w:p>
            <w:pPr>
              <w:pStyle w:val="1297"/>
              <w:pBdr/>
              <w:spacing/>
              <w:ind/>
              <w:rPr/>
            </w:pPr>
            <w:r>
              <w:t xml:space="preserve">Gregory of Nyssa, mature anthropology/eschatology</w:t>
            </w:r>
            <w:r/>
          </w:p>
        </w:tc>
        <w:tc>
          <w:tcPr>
            <w:shd w:val="clear" w:color="auto" w:fill="f7f9fa"/>
            <w:tcBorders/>
            <w:tcMar>
              <w:left w:w="70" w:type="dxa"/>
              <w:top w:w="60" w:type="dxa"/>
              <w:right w:w="70" w:type="dxa"/>
              <w:bottom w:w="60" w:type="dxa"/>
            </w:tcMar>
            <w:tcW w:w="2962" w:type="dxa"/>
            <w:vAlign w:val="top"/>
          </w:tcPr>
          <w:p>
            <w:pPr>
              <w:pStyle w:val="1297"/>
              <w:pBdr/>
              <w:spacing/>
              <w:ind/>
              <w:rPr/>
            </w:pPr>
            <w:r>
              <w:t xml:space="preserve">CORE</w:t>
            </w:r>
            <w:r/>
          </w:p>
        </w:tc>
        <w:tc>
          <w:tcPr>
            <w:shd w:val="clear" w:color="auto" w:fill="f7f9fa"/>
            <w:tcBorders/>
            <w:tcMar>
              <w:left w:w="70" w:type="dxa"/>
              <w:top w:w="60" w:type="dxa"/>
              <w:right w:w="70" w:type="dxa"/>
              <w:bottom w:w="60" w:type="dxa"/>
            </w:tcMar>
            <w:tcW w:w="4888" w:type="dxa"/>
            <w:vAlign w:val="top"/>
          </w:tcPr>
          <w:p>
            <w:pPr>
              <w:pStyle w:val="1297"/>
              <w:pBdr/>
              <w:spacing/>
              <w:ind/>
              <w:rPr/>
            </w:pPr>
            <w:r>
              <w:t xml:space="preserve">1, 2, 5, 6, 9, 11, 12, 13, 15, 16, 17, 18</w:t>
            </w:r>
            <w:r/>
          </w:p>
        </w:tc>
      </w:tr>
      <w:tr>
        <w:trPr>
          <w:cantSplit/>
        </w:trPr>
        <w:tc>
          <w:tcPr>
            <w:tcBorders/>
            <w:tcMar>
              <w:left w:w="70" w:type="dxa"/>
              <w:top w:w="60" w:type="dxa"/>
              <w:right w:w="70" w:type="dxa"/>
              <w:bottom w:w="60" w:type="dxa"/>
            </w:tcMar>
            <w:tcW w:w="7405" w:type="dxa"/>
            <w:vAlign w:val="top"/>
          </w:tcPr>
          <w:p>
            <w:pPr>
              <w:pStyle w:val="1297"/>
              <w:pBdr/>
              <w:spacing/>
              <w:ind/>
              <w:rPr/>
            </w:pPr>
            <w:r>
              <w:t xml:space="preserve">Śaṅkara, securely attributed Advaita position</w:t>
            </w:r>
            <w:r/>
          </w:p>
        </w:tc>
        <w:tc>
          <w:tcPr>
            <w:tcBorders/>
            <w:tcMar>
              <w:left w:w="70" w:type="dxa"/>
              <w:top w:w="60" w:type="dxa"/>
              <w:right w:w="70" w:type="dxa"/>
              <w:bottom w:w="60" w:type="dxa"/>
            </w:tcMar>
            <w:tcW w:w="2962" w:type="dxa"/>
            <w:vAlign w:val="top"/>
          </w:tcPr>
          <w:p>
            <w:pPr>
              <w:pStyle w:val="1297"/>
              <w:pBdr/>
              <w:spacing/>
              <w:ind/>
              <w:rPr/>
            </w:pPr>
            <w:r>
              <w:t xml:space="preserve">CORE</w:t>
            </w:r>
            <w:r/>
          </w:p>
        </w:tc>
        <w:tc>
          <w:tcPr>
            <w:tcBorders/>
            <w:tcMar>
              <w:left w:w="70" w:type="dxa"/>
              <w:top w:w="60" w:type="dxa"/>
              <w:right w:w="70" w:type="dxa"/>
              <w:bottom w:w="60" w:type="dxa"/>
            </w:tcMar>
            <w:tcW w:w="4888" w:type="dxa"/>
            <w:vAlign w:val="top"/>
          </w:tcPr>
          <w:p>
            <w:pPr>
              <w:pStyle w:val="1297"/>
              <w:pBdr/>
              <w:spacing/>
              <w:ind/>
              <w:rPr/>
            </w:pPr>
            <w:r>
              <w:t xml:space="preserve">2, 3, 8, 11, 12, 13, 16, 17, 18</w:t>
            </w:r>
            <w:r/>
          </w:p>
        </w:tc>
      </w:tr>
      <w:tr>
        <w:trPr>
          <w:cantSplit/>
        </w:trPr>
        <w:tc>
          <w:tcPr>
            <w:shd w:val="clear" w:color="auto" w:fill="f7f9fa"/>
            <w:tcBorders/>
            <w:tcMar>
              <w:left w:w="70" w:type="dxa"/>
              <w:top w:w="60" w:type="dxa"/>
              <w:right w:w="70" w:type="dxa"/>
              <w:bottom w:w="60" w:type="dxa"/>
            </w:tcMar>
            <w:tcW w:w="7405" w:type="dxa"/>
            <w:vAlign w:val="top"/>
          </w:tcPr>
          <w:p>
            <w:pPr>
              <w:pStyle w:val="1297"/>
              <w:pBdr/>
              <w:spacing/>
              <w:ind/>
              <w:rPr/>
            </w:pPr>
            <w:r>
              <w:t xml:space="preserve">Nāgārjuna, Mūlamadhyamakakārikā position</w:t>
            </w:r>
            <w:r/>
          </w:p>
        </w:tc>
        <w:tc>
          <w:tcPr>
            <w:shd w:val="clear" w:color="auto" w:fill="f7f9fa"/>
            <w:tcBorders/>
            <w:tcMar>
              <w:left w:w="70" w:type="dxa"/>
              <w:top w:w="60" w:type="dxa"/>
              <w:right w:w="70" w:type="dxa"/>
              <w:bottom w:w="60" w:type="dxa"/>
            </w:tcMar>
            <w:tcW w:w="2962" w:type="dxa"/>
            <w:vAlign w:val="top"/>
          </w:tcPr>
          <w:p>
            <w:pPr>
              <w:pStyle w:val="1297"/>
              <w:pBdr/>
              <w:spacing/>
              <w:ind/>
              <w:rPr/>
            </w:pPr>
            <w:r>
              <w:t xml:space="preserve">CORE</w:t>
            </w:r>
            <w:r/>
          </w:p>
        </w:tc>
        <w:tc>
          <w:tcPr>
            <w:shd w:val="clear" w:color="auto" w:fill="f7f9fa"/>
            <w:tcBorders/>
            <w:tcMar>
              <w:left w:w="70" w:type="dxa"/>
              <w:top w:w="60" w:type="dxa"/>
              <w:right w:w="70" w:type="dxa"/>
              <w:bottom w:w="60" w:type="dxa"/>
            </w:tcMar>
            <w:tcW w:w="4888" w:type="dxa"/>
            <w:vAlign w:val="top"/>
          </w:tcPr>
          <w:p>
            <w:pPr>
              <w:pStyle w:val="1297"/>
              <w:pBdr/>
              <w:spacing/>
              <w:ind/>
              <w:rPr/>
            </w:pPr>
            <w:r>
              <w:t xml:space="preserve">1, 2, 3, 5, 8, 11, 12, 13, 16, 18, 19</w:t>
            </w:r>
            <w:r/>
          </w:p>
        </w:tc>
      </w:tr>
      <w:tr>
        <w:trPr>
          <w:cantSplit/>
        </w:trPr>
        <w:tc>
          <w:tcPr>
            <w:tcBorders/>
            <w:tcMar>
              <w:left w:w="70" w:type="dxa"/>
              <w:top w:w="60" w:type="dxa"/>
              <w:right w:w="70" w:type="dxa"/>
              <w:bottom w:w="60" w:type="dxa"/>
            </w:tcMar>
            <w:tcW w:w="7405" w:type="dxa"/>
            <w:vAlign w:val="top"/>
          </w:tcPr>
          <w:p>
            <w:pPr>
              <w:pStyle w:val="1297"/>
              <w:pBdr/>
              <w:spacing/>
              <w:ind/>
              <w:rPr/>
            </w:pPr>
            <w:r>
              <w:t xml:space="preserve">Zhuangzi Inner-Chapter position</w:t>
            </w:r>
            <w:r/>
          </w:p>
        </w:tc>
        <w:tc>
          <w:tcPr>
            <w:tcBorders/>
            <w:tcMar>
              <w:left w:w="70" w:type="dxa"/>
              <w:top w:w="60" w:type="dxa"/>
              <w:right w:w="70" w:type="dxa"/>
              <w:bottom w:w="60" w:type="dxa"/>
            </w:tcMar>
            <w:tcW w:w="2962" w:type="dxa"/>
            <w:vAlign w:val="top"/>
          </w:tcPr>
          <w:p>
            <w:pPr>
              <w:pStyle w:val="1297"/>
              <w:pBdr/>
              <w:spacing/>
              <w:ind/>
              <w:rPr/>
            </w:pPr>
            <w:r>
              <w:t xml:space="preserve">CORE</w:t>
            </w:r>
            <w:r/>
          </w:p>
        </w:tc>
        <w:tc>
          <w:tcPr>
            <w:tcBorders/>
            <w:tcMar>
              <w:left w:w="70" w:type="dxa"/>
              <w:top w:w="60" w:type="dxa"/>
              <w:right w:w="70" w:type="dxa"/>
              <w:bottom w:w="60" w:type="dxa"/>
            </w:tcMar>
            <w:tcW w:w="4888" w:type="dxa"/>
            <w:vAlign w:val="top"/>
          </w:tcPr>
          <w:p>
            <w:pPr>
              <w:pStyle w:val="1297"/>
              <w:pBdr/>
              <w:spacing/>
              <w:ind/>
              <w:rPr/>
            </w:pPr>
            <w:r>
              <w:t xml:space="preserve">3, 6, 15, 16, 18</w:t>
            </w:r>
            <w:r/>
          </w:p>
        </w:tc>
      </w:tr>
      <w:tr>
        <w:trPr>
          <w:cantSplit/>
        </w:trPr>
        <w:tc>
          <w:tcPr>
            <w:shd w:val="clear" w:color="auto" w:fill="f7f9fa"/>
            <w:tcBorders/>
            <w:tcMar>
              <w:left w:w="70" w:type="dxa"/>
              <w:top w:w="60" w:type="dxa"/>
              <w:right w:w="70" w:type="dxa"/>
              <w:bottom w:w="60" w:type="dxa"/>
            </w:tcMar>
            <w:tcW w:w="7405" w:type="dxa"/>
            <w:vAlign w:val="top"/>
          </w:tcPr>
          <w:p>
            <w:pPr>
              <w:pStyle w:val="1297"/>
              <w:pBdr/>
              <w:spacing/>
              <w:ind/>
              <w:rPr/>
            </w:pPr>
            <w:r>
              <w:t xml:space="preserve">Zhu Xi, mature Neo-Confucian synthesis</w:t>
            </w:r>
            <w:r/>
          </w:p>
        </w:tc>
        <w:tc>
          <w:tcPr>
            <w:shd w:val="clear" w:color="auto" w:fill="f7f9fa"/>
            <w:tcBorders/>
            <w:tcMar>
              <w:left w:w="70" w:type="dxa"/>
              <w:top w:w="60" w:type="dxa"/>
              <w:right w:w="70" w:type="dxa"/>
              <w:bottom w:w="60" w:type="dxa"/>
            </w:tcMar>
            <w:tcW w:w="2962" w:type="dxa"/>
            <w:vAlign w:val="top"/>
          </w:tcPr>
          <w:p>
            <w:pPr>
              <w:pStyle w:val="1297"/>
              <w:pBdr/>
              <w:spacing/>
              <w:ind/>
              <w:rPr/>
            </w:pPr>
            <w:r>
              <w:t xml:space="preserve">CORE</w:t>
            </w:r>
            <w:r/>
          </w:p>
        </w:tc>
        <w:tc>
          <w:tcPr>
            <w:shd w:val="clear" w:color="auto" w:fill="f7f9fa"/>
            <w:tcBorders/>
            <w:tcMar>
              <w:left w:w="70" w:type="dxa"/>
              <w:top w:w="60" w:type="dxa"/>
              <w:right w:w="70" w:type="dxa"/>
              <w:bottom w:w="60" w:type="dxa"/>
            </w:tcMar>
            <w:tcW w:w="4888" w:type="dxa"/>
            <w:vAlign w:val="top"/>
          </w:tcPr>
          <w:p>
            <w:pPr>
              <w:pStyle w:val="1297"/>
              <w:pBdr/>
              <w:spacing/>
              <w:ind/>
              <w:rPr/>
            </w:pPr>
            <w:r>
              <w:t xml:space="preserve">5, 6, 10, 11, 13, 16, 18, 19</w:t>
            </w:r>
            <w:r/>
          </w:p>
        </w:tc>
      </w:tr>
      <w:tr>
        <w:trPr>
          <w:cantSplit/>
        </w:trPr>
        <w:tc>
          <w:tcPr>
            <w:tcBorders/>
            <w:tcMar>
              <w:left w:w="70" w:type="dxa"/>
              <w:top w:w="60" w:type="dxa"/>
              <w:right w:w="70" w:type="dxa"/>
              <w:bottom w:w="60" w:type="dxa"/>
            </w:tcMar>
            <w:tcW w:w="7405" w:type="dxa"/>
            <w:vAlign w:val="top"/>
          </w:tcPr>
          <w:p>
            <w:pPr>
              <w:pStyle w:val="1297"/>
              <w:pBdr/>
              <w:spacing/>
              <w:ind/>
              <w:rPr/>
            </w:pPr>
            <w:r>
              <w:t xml:space="preserve">Ibn ʿArabī on divine self-disclosure</w:t>
            </w:r>
            <w:r/>
          </w:p>
        </w:tc>
        <w:tc>
          <w:tcPr>
            <w:tcBorders/>
            <w:tcMar>
              <w:left w:w="70" w:type="dxa"/>
              <w:top w:w="60" w:type="dxa"/>
              <w:right w:w="70" w:type="dxa"/>
              <w:bottom w:w="60" w:type="dxa"/>
            </w:tcMar>
            <w:tcW w:w="2962" w:type="dxa"/>
            <w:vAlign w:val="top"/>
          </w:tcPr>
          <w:p>
            <w:pPr>
              <w:pStyle w:val="1297"/>
              <w:pBdr/>
              <w:spacing/>
              <w:ind/>
              <w:rPr/>
            </w:pPr>
            <w:r>
              <w:t xml:space="preserve">CORE</w:t>
            </w:r>
            <w:r/>
          </w:p>
        </w:tc>
        <w:tc>
          <w:tcPr>
            <w:tcBorders/>
            <w:tcMar>
              <w:left w:w="70" w:type="dxa"/>
              <w:top w:w="60" w:type="dxa"/>
              <w:right w:w="70" w:type="dxa"/>
              <w:bottom w:w="60" w:type="dxa"/>
            </w:tcMar>
            <w:tcW w:w="4888" w:type="dxa"/>
            <w:vAlign w:val="top"/>
          </w:tcPr>
          <w:p>
            <w:pPr>
              <w:pStyle w:val="1297"/>
              <w:pBdr/>
              <w:spacing/>
              <w:ind/>
              <w:rPr/>
            </w:pPr>
            <w:r>
              <w:t xml:space="preserve">2, 4, 13, 19</w:t>
            </w:r>
            <w:r/>
          </w:p>
        </w:tc>
      </w:tr>
      <w:tr>
        <w:trPr>
          <w:cantSplit/>
        </w:trPr>
        <w:tc>
          <w:tcPr>
            <w:shd w:val="clear" w:color="auto" w:fill="f7f9fa"/>
            <w:tcBorders/>
            <w:tcMar>
              <w:left w:w="70" w:type="dxa"/>
              <w:top w:w="60" w:type="dxa"/>
              <w:right w:w="70" w:type="dxa"/>
              <w:bottom w:w="60" w:type="dxa"/>
            </w:tcMar>
            <w:tcW w:w="7405" w:type="dxa"/>
            <w:vAlign w:val="top"/>
          </w:tcPr>
          <w:p>
            <w:pPr>
              <w:pStyle w:val="1297"/>
              <w:pBdr/>
              <w:spacing/>
              <w:ind/>
              <w:rPr/>
            </w:pPr>
            <w:r>
              <w:t xml:space="preserve">Source-bounded Ifá position</w:t>
            </w:r>
            <w:r/>
          </w:p>
        </w:tc>
        <w:tc>
          <w:tcPr>
            <w:shd w:val="clear" w:color="auto" w:fill="f7f9fa"/>
            <w:tcBorders/>
            <w:tcMar>
              <w:left w:w="70" w:type="dxa"/>
              <w:top w:w="60" w:type="dxa"/>
              <w:right w:w="70" w:type="dxa"/>
              <w:bottom w:w="60" w:type="dxa"/>
            </w:tcMar>
            <w:tcW w:w="2962" w:type="dxa"/>
            <w:vAlign w:val="top"/>
          </w:tcPr>
          <w:p>
            <w:pPr>
              <w:pStyle w:val="1297"/>
              <w:pBdr/>
              <w:spacing/>
              <w:ind/>
              <w:rPr/>
            </w:pPr>
            <w:r>
              <w:t xml:space="preserve">CORE</w:t>
            </w:r>
            <w:r/>
          </w:p>
        </w:tc>
        <w:tc>
          <w:tcPr>
            <w:shd w:val="clear" w:color="auto" w:fill="f7f9fa"/>
            <w:tcBorders/>
            <w:tcMar>
              <w:left w:w="70" w:type="dxa"/>
              <w:top w:w="60" w:type="dxa"/>
              <w:right w:w="70" w:type="dxa"/>
              <w:bottom w:w="60" w:type="dxa"/>
            </w:tcMar>
            <w:tcW w:w="4888" w:type="dxa"/>
            <w:vAlign w:val="top"/>
          </w:tcPr>
          <w:p>
            <w:pPr>
              <w:pStyle w:val="1297"/>
              <w:pBdr/>
              <w:spacing/>
              <w:ind/>
              <w:rPr/>
            </w:pPr>
            <w:r>
              <w:t xml:space="preserve">1, 6, 10, 11, 13, 14, 15</w:t>
            </w:r>
            <w:r/>
          </w:p>
        </w:tc>
      </w:tr>
      <w:tr>
        <w:trPr>
          <w:cantSplit/>
        </w:trPr>
        <w:tc>
          <w:tcPr>
            <w:tcBorders/>
            <w:tcMar>
              <w:left w:w="70" w:type="dxa"/>
              <w:top w:w="60" w:type="dxa"/>
              <w:right w:w="70" w:type="dxa"/>
              <w:bottom w:w="60" w:type="dxa"/>
            </w:tcMar>
            <w:tcW w:w="7405" w:type="dxa"/>
            <w:vAlign w:val="top"/>
          </w:tcPr>
          <w:p>
            <w:pPr>
              <w:pStyle w:val="1297"/>
              <w:pBdr/>
              <w:spacing/>
              <w:ind/>
              <w:rPr/>
            </w:pPr>
            <w:r>
              <w:t xml:space="preserve">Achuar relational ontology as Descola reconstruction</w:t>
            </w:r>
            <w:r/>
          </w:p>
        </w:tc>
        <w:tc>
          <w:tcPr>
            <w:tcBorders/>
            <w:tcMar>
              <w:left w:w="70" w:type="dxa"/>
              <w:top w:w="60" w:type="dxa"/>
              <w:right w:w="70" w:type="dxa"/>
              <w:bottom w:w="60" w:type="dxa"/>
            </w:tcMar>
            <w:tcW w:w="2962" w:type="dxa"/>
            <w:vAlign w:val="top"/>
          </w:tcPr>
          <w:p>
            <w:pPr>
              <w:pStyle w:val="1297"/>
              <w:pBdr/>
              <w:spacing/>
              <w:ind/>
              <w:rPr/>
            </w:pPr>
            <w:r>
              <w:t xml:space="preserve">HOLD-FUTURE</w:t>
            </w:r>
            <w:r/>
          </w:p>
        </w:tc>
        <w:tc>
          <w:tcPr>
            <w:tcBorders/>
            <w:tcMar>
              <w:left w:w="70" w:type="dxa"/>
              <w:top w:w="60" w:type="dxa"/>
              <w:right w:w="70" w:type="dxa"/>
              <w:bottom w:w="60" w:type="dxa"/>
            </w:tcMar>
            <w:tcW w:w="4888" w:type="dxa"/>
            <w:vAlign w:val="top"/>
          </w:tcPr>
          <w:p>
            <w:pPr>
              <w:pStyle w:val="1297"/>
              <w:pBdr/>
              <w:spacing/>
              <w:ind/>
              <w:rPr/>
            </w:pPr>
            <w:r>
              <w:t xml:space="preserve">1, 6, 10</w:t>
            </w:r>
            <w:r/>
          </w:p>
        </w:tc>
      </w:tr>
      <w:tr>
        <w:trPr>
          <w:cantSplit/>
        </w:trPr>
        <w:tc>
          <w:tcPr>
            <w:shd w:val="clear" w:color="auto" w:fill="f7f9fa"/>
            <w:tcBorders/>
            <w:tcMar>
              <w:left w:w="70" w:type="dxa"/>
              <w:top w:w="60" w:type="dxa"/>
              <w:right w:w="70" w:type="dxa"/>
              <w:bottom w:w="60" w:type="dxa"/>
            </w:tcMar>
            <w:tcW w:w="7405" w:type="dxa"/>
            <w:vAlign w:val="top"/>
          </w:tcPr>
          <w:p>
            <w:pPr>
              <w:pStyle w:val="1297"/>
              <w:pBdr/>
              <w:spacing/>
              <w:ind/>
              <w:rPr/>
            </w:pPr>
            <w:r>
              <w:t xml:space="preserve">Sartrean existentialism, Being and Nothingness-centered</w:t>
            </w:r>
            <w:r/>
          </w:p>
        </w:tc>
        <w:tc>
          <w:tcPr>
            <w:shd w:val="clear" w:color="auto" w:fill="f7f9fa"/>
            <w:tcBorders/>
            <w:tcMar>
              <w:left w:w="70" w:type="dxa"/>
              <w:top w:w="60" w:type="dxa"/>
              <w:right w:w="70" w:type="dxa"/>
              <w:bottom w:w="60" w:type="dxa"/>
            </w:tcMar>
            <w:tcW w:w="2962" w:type="dxa"/>
            <w:vAlign w:val="top"/>
          </w:tcPr>
          <w:p>
            <w:pPr>
              <w:pStyle w:val="1297"/>
              <w:pBdr/>
              <w:spacing/>
              <w:ind/>
              <w:rPr/>
            </w:pPr>
            <w:r>
              <w:t xml:space="preserve">CORE</w:t>
            </w:r>
            <w:r/>
          </w:p>
        </w:tc>
        <w:tc>
          <w:tcPr>
            <w:shd w:val="clear" w:color="auto" w:fill="f7f9fa"/>
            <w:tcBorders/>
            <w:tcMar>
              <w:left w:w="70" w:type="dxa"/>
              <w:top w:w="60" w:type="dxa"/>
              <w:right w:w="70" w:type="dxa"/>
              <w:bottom w:w="60" w:type="dxa"/>
            </w:tcMar>
            <w:tcW w:w="4888" w:type="dxa"/>
            <w:vAlign w:val="top"/>
          </w:tcPr>
          <w:p>
            <w:pPr>
              <w:pStyle w:val="1297"/>
              <w:pBdr/>
              <w:spacing/>
              <w:ind/>
              <w:rPr/>
            </w:pPr>
            <w:r>
              <w:t xml:space="preserve">8, 9, 12, 15, 16, 18, 19</w:t>
            </w:r>
            <w:r/>
          </w:p>
        </w:tc>
      </w:tr>
      <w:tr>
        <w:trPr>
          <w:cantSplit/>
        </w:trPr>
        <w:tc>
          <w:tcPr>
            <w:tcBorders/>
            <w:tcMar>
              <w:left w:w="70" w:type="dxa"/>
              <w:top w:w="60" w:type="dxa"/>
              <w:right w:w="70" w:type="dxa"/>
              <w:bottom w:w="60" w:type="dxa"/>
            </w:tcMar>
            <w:tcW w:w="7405" w:type="dxa"/>
            <w:vAlign w:val="top"/>
          </w:tcPr>
          <w:p>
            <w:pPr>
              <w:pStyle w:val="1297"/>
              <w:pBdr/>
              <w:spacing/>
              <w:ind/>
              <w:rPr/>
            </w:pPr>
            <w:r>
              <w:t xml:space="preserve">Papineau-style contemporary physicalism</w:t>
            </w:r>
            <w:r/>
          </w:p>
        </w:tc>
        <w:tc>
          <w:tcPr>
            <w:tcBorders/>
            <w:tcMar>
              <w:left w:w="70" w:type="dxa"/>
              <w:top w:w="60" w:type="dxa"/>
              <w:right w:w="70" w:type="dxa"/>
              <w:bottom w:w="60" w:type="dxa"/>
            </w:tcMar>
            <w:tcW w:w="2962" w:type="dxa"/>
            <w:vAlign w:val="top"/>
          </w:tcPr>
          <w:p>
            <w:pPr>
              <w:pStyle w:val="1297"/>
              <w:pBdr/>
              <w:spacing/>
              <w:ind/>
              <w:rPr/>
            </w:pPr>
            <w:r>
              <w:t xml:space="preserve">CORE</w:t>
            </w:r>
            <w:r/>
          </w:p>
        </w:tc>
        <w:tc>
          <w:tcPr>
            <w:tcBorders/>
            <w:tcMar>
              <w:left w:w="70" w:type="dxa"/>
              <w:top w:w="60" w:type="dxa"/>
              <w:right w:w="70" w:type="dxa"/>
              <w:bottom w:w="60" w:type="dxa"/>
            </w:tcMar>
            <w:tcW w:w="4888" w:type="dxa"/>
            <w:vAlign w:val="top"/>
          </w:tcPr>
          <w:p>
            <w:pPr>
              <w:pStyle w:val="1297"/>
              <w:pBdr/>
              <w:spacing/>
              <w:ind/>
              <w:rPr/>
            </w:pPr>
            <w:r>
              <w:t xml:space="preserve">1, 7, 14, 17</w:t>
            </w:r>
            <w:r/>
          </w:p>
        </w:tc>
      </w:tr>
      <w:tr>
        <w:trPr>
          <w:cantSplit/>
        </w:trPr>
        <w:tc>
          <w:tcPr>
            <w:shd w:val="clear" w:color="auto" w:fill="f7f9fa"/>
            <w:tcBorders/>
            <w:tcMar>
              <w:left w:w="70" w:type="dxa"/>
              <w:top w:w="60" w:type="dxa"/>
              <w:right w:w="70" w:type="dxa"/>
              <w:bottom w:w="60" w:type="dxa"/>
            </w:tcMar>
            <w:tcW w:w="7405" w:type="dxa"/>
            <w:vAlign w:val="top"/>
          </w:tcPr>
          <w:p>
            <w:pPr>
              <w:pStyle w:val="1297"/>
              <w:pBdr/>
              <w:spacing/>
              <w:ind/>
              <w:rPr/>
            </w:pPr>
            <w:r>
              <w:t xml:space="preserve">Constitutive micropsychism</w:t>
            </w:r>
            <w:r/>
          </w:p>
        </w:tc>
        <w:tc>
          <w:tcPr>
            <w:shd w:val="clear" w:color="auto" w:fill="f7f9fa"/>
            <w:tcBorders/>
            <w:tcMar>
              <w:left w:w="70" w:type="dxa"/>
              <w:top w:w="60" w:type="dxa"/>
              <w:right w:w="70" w:type="dxa"/>
              <w:bottom w:w="60" w:type="dxa"/>
            </w:tcMar>
            <w:tcW w:w="2962" w:type="dxa"/>
            <w:vAlign w:val="top"/>
          </w:tcPr>
          <w:p>
            <w:pPr>
              <w:pStyle w:val="1297"/>
              <w:pBdr/>
              <w:spacing/>
              <w:ind/>
              <w:rPr/>
            </w:pPr>
            <w:r>
              <w:t xml:space="preserve">CORE</w:t>
            </w:r>
            <w:r/>
          </w:p>
        </w:tc>
        <w:tc>
          <w:tcPr>
            <w:shd w:val="clear" w:color="auto" w:fill="f7f9fa"/>
            <w:tcBorders/>
            <w:tcMar>
              <w:left w:w="70" w:type="dxa"/>
              <w:top w:w="60" w:type="dxa"/>
              <w:right w:w="70" w:type="dxa"/>
              <w:bottom w:w="60" w:type="dxa"/>
            </w:tcMar>
            <w:tcW w:w="4888" w:type="dxa"/>
            <w:vAlign w:val="top"/>
          </w:tcPr>
          <w:p>
            <w:pPr>
              <w:pStyle w:val="1297"/>
              <w:pBdr/>
              <w:spacing/>
              <w:ind/>
              <w:rPr/>
            </w:pPr>
            <w:r>
              <w:t xml:space="preserve">1, 2, 4, 7, 19</w:t>
            </w:r>
            <w:r/>
          </w:p>
        </w:tc>
      </w:tr>
      <w:tr>
        <w:trPr>
          <w:cantSplit/>
        </w:trPr>
        <w:tc>
          <w:tcPr>
            <w:tcBorders/>
            <w:tcMar>
              <w:left w:w="70" w:type="dxa"/>
              <w:top w:w="60" w:type="dxa"/>
              <w:right w:w="70" w:type="dxa"/>
              <w:bottom w:w="60" w:type="dxa"/>
            </w:tcMar>
            <w:tcW w:w="7405" w:type="dxa"/>
            <w:vAlign w:val="top"/>
          </w:tcPr>
          <w:p>
            <w:pPr>
              <w:pStyle w:val="1297"/>
              <w:pBdr/>
              <w:spacing/>
              <w:ind/>
              <w:rPr/>
            </w:pPr>
            <w:r>
              <w:t xml:space="preserve">Īśvarakṛṣṇa, Sāṃkhyakārikā classical Sāṃkhya</w:t>
            </w:r>
            <w:r/>
          </w:p>
        </w:tc>
        <w:tc>
          <w:tcPr>
            <w:tcBorders/>
            <w:tcMar>
              <w:left w:w="70" w:type="dxa"/>
              <w:top w:w="60" w:type="dxa"/>
              <w:right w:w="70" w:type="dxa"/>
              <w:bottom w:w="60" w:type="dxa"/>
            </w:tcMar>
            <w:tcW w:w="2962" w:type="dxa"/>
            <w:vAlign w:val="top"/>
          </w:tcPr>
          <w:p>
            <w:pPr>
              <w:pStyle w:val="1297"/>
              <w:pBdr/>
              <w:spacing/>
              <w:ind/>
              <w:rPr/>
            </w:pPr>
            <w:r>
              <w:t xml:space="preserve">CORE</w:t>
            </w:r>
            <w:r/>
          </w:p>
        </w:tc>
        <w:tc>
          <w:tcPr>
            <w:tcBorders/>
            <w:tcMar>
              <w:left w:w="70" w:type="dxa"/>
              <w:top w:w="60" w:type="dxa"/>
              <w:right w:w="70" w:type="dxa"/>
              <w:bottom w:w="60" w:type="dxa"/>
            </w:tcMar>
            <w:tcW w:w="4888" w:type="dxa"/>
            <w:vAlign w:val="top"/>
          </w:tcPr>
          <w:p>
            <w:pPr>
              <w:pStyle w:val="1297"/>
              <w:pBdr/>
              <w:spacing/>
              <w:ind/>
              <w:rPr/>
            </w:pPr>
            <w:r>
              <w:t xml:space="preserve">4, 7, 8, 19</w:t>
            </w:r>
            <w:r/>
          </w:p>
        </w:tc>
      </w:tr>
      <w:tr>
        <w:trPr>
          <w:cantSplit/>
        </w:trPr>
        <w:tc>
          <w:tcPr>
            <w:shd w:val="clear" w:color="auto" w:fill="f7f9fa"/>
            <w:tcBorders/>
            <w:tcMar>
              <w:left w:w="70" w:type="dxa"/>
              <w:top w:w="60" w:type="dxa"/>
              <w:right w:w="70" w:type="dxa"/>
              <w:bottom w:w="60" w:type="dxa"/>
            </w:tcMar>
            <w:tcW w:w="7405" w:type="dxa"/>
            <w:vAlign w:val="top"/>
          </w:tcPr>
          <w:p>
            <w:pPr>
              <w:pStyle w:val="1297"/>
              <w:pBdr/>
              <w:spacing/>
              <w:ind/>
              <w:rPr/>
            </w:pPr>
            <w:r>
              <w:t xml:space="preserve">Tattvārthasūtra-centered Jaina synthesis</w:t>
            </w:r>
            <w:r/>
          </w:p>
        </w:tc>
        <w:tc>
          <w:tcPr>
            <w:shd w:val="clear" w:color="auto" w:fill="f7f9fa"/>
            <w:tcBorders/>
            <w:tcMar>
              <w:left w:w="70" w:type="dxa"/>
              <w:top w:w="60" w:type="dxa"/>
              <w:right w:w="70" w:type="dxa"/>
              <w:bottom w:w="60" w:type="dxa"/>
            </w:tcMar>
            <w:tcW w:w="2962" w:type="dxa"/>
            <w:vAlign w:val="top"/>
          </w:tcPr>
          <w:p>
            <w:pPr>
              <w:pStyle w:val="1297"/>
              <w:pBdr/>
              <w:spacing/>
              <w:ind/>
              <w:rPr/>
            </w:pPr>
            <w:r>
              <w:t xml:space="preserve">CORE</w:t>
            </w:r>
            <w:r/>
          </w:p>
        </w:tc>
        <w:tc>
          <w:tcPr>
            <w:shd w:val="clear" w:color="auto" w:fill="f7f9fa"/>
            <w:tcBorders/>
            <w:tcMar>
              <w:left w:w="70" w:type="dxa"/>
              <w:top w:w="60" w:type="dxa"/>
              <w:right w:w="70" w:type="dxa"/>
              <w:bottom w:w="60" w:type="dxa"/>
            </w:tcMar>
            <w:tcW w:w="4888" w:type="dxa"/>
            <w:vAlign w:val="top"/>
          </w:tcPr>
          <w:p>
            <w:pPr>
              <w:pStyle w:val="1297"/>
              <w:pBdr/>
              <w:spacing/>
              <w:ind/>
              <w:rPr/>
            </w:pPr>
            <w:r>
              <w:t xml:space="preserve">4, 9, 10, 14, 15, 17, 18</w:t>
            </w:r>
            <w:r/>
          </w:p>
        </w:tc>
      </w:tr>
      <w:tr>
        <w:trPr>
          <w:cantSplit/>
        </w:trPr>
        <w:tc>
          <w:tcPr>
            <w:tcBorders/>
            <w:tcMar>
              <w:left w:w="70" w:type="dxa"/>
              <w:top w:w="60" w:type="dxa"/>
              <w:right w:w="70" w:type="dxa"/>
              <w:bottom w:w="60" w:type="dxa"/>
            </w:tcMar>
            <w:tcW w:w="7405" w:type="dxa"/>
            <w:vAlign w:val="top"/>
          </w:tcPr>
          <w:p>
            <w:pPr>
              <w:pStyle w:val="1297"/>
              <w:pBdr/>
              <w:spacing/>
              <w:ind/>
              <w:rPr/>
            </w:pPr>
            <w:r>
              <w:t xml:space="preserve">Vasubandhu, Viṃśikā/Triṃśikā Yogācāra position</w:t>
            </w:r>
            <w:r/>
          </w:p>
        </w:tc>
        <w:tc>
          <w:tcPr>
            <w:tcBorders/>
            <w:tcMar>
              <w:left w:w="70" w:type="dxa"/>
              <w:top w:w="60" w:type="dxa"/>
              <w:right w:w="70" w:type="dxa"/>
              <w:bottom w:w="60" w:type="dxa"/>
            </w:tcMar>
            <w:tcW w:w="2962" w:type="dxa"/>
            <w:vAlign w:val="top"/>
          </w:tcPr>
          <w:p>
            <w:pPr>
              <w:pStyle w:val="1297"/>
              <w:pBdr/>
              <w:spacing/>
              <w:ind/>
              <w:rPr/>
            </w:pPr>
            <w:r>
              <w:t xml:space="preserve">CORE</w:t>
            </w:r>
            <w:r/>
          </w:p>
        </w:tc>
        <w:tc>
          <w:tcPr>
            <w:tcBorders/>
            <w:tcMar>
              <w:left w:w="70" w:type="dxa"/>
              <w:top w:w="60" w:type="dxa"/>
              <w:right w:w="70" w:type="dxa"/>
              <w:bottom w:w="60" w:type="dxa"/>
            </w:tcMar>
            <w:tcW w:w="4888" w:type="dxa"/>
            <w:vAlign w:val="top"/>
          </w:tcPr>
          <w:p>
            <w:pPr>
              <w:pStyle w:val="1297"/>
              <w:pBdr/>
              <w:spacing/>
              <w:ind/>
              <w:rPr/>
            </w:pPr>
            <w:r>
              <w:t xml:space="preserve">8, 9, 17, 19</w:t>
            </w:r>
            <w:r/>
          </w:p>
        </w:tc>
      </w:tr>
      <w:tr>
        <w:trPr>
          <w:cantSplit/>
        </w:trPr>
        <w:tc>
          <w:tcPr>
            <w:shd w:val="clear" w:color="auto" w:fill="f7f9fa"/>
            <w:tcBorders/>
            <w:tcMar>
              <w:left w:w="70" w:type="dxa"/>
              <w:top w:w="60" w:type="dxa"/>
              <w:right w:w="70" w:type="dxa"/>
              <w:bottom w:w="60" w:type="dxa"/>
            </w:tcMar>
            <w:tcW w:w="7405" w:type="dxa"/>
            <w:vAlign w:val="top"/>
          </w:tcPr>
          <w:p>
            <w:pPr>
              <w:pStyle w:val="1297"/>
              <w:pBdr/>
              <w:spacing/>
              <w:ind/>
              <w:rPr/>
            </w:pPr>
            <w:r>
              <w:t xml:space="preserve">Guru Nanak / early gurmat position</w:t>
            </w:r>
            <w:r/>
          </w:p>
        </w:tc>
        <w:tc>
          <w:tcPr>
            <w:shd w:val="clear" w:color="auto" w:fill="f7f9fa"/>
            <w:tcBorders/>
            <w:tcMar>
              <w:left w:w="70" w:type="dxa"/>
              <w:top w:w="60" w:type="dxa"/>
              <w:right w:w="70" w:type="dxa"/>
              <w:bottom w:w="60" w:type="dxa"/>
            </w:tcMar>
            <w:tcW w:w="2962" w:type="dxa"/>
            <w:vAlign w:val="top"/>
          </w:tcPr>
          <w:p>
            <w:pPr>
              <w:pStyle w:val="1297"/>
              <w:pBdr/>
              <w:spacing/>
              <w:ind/>
              <w:rPr/>
            </w:pPr>
            <w:r>
              <w:t xml:space="preserve">CORE</w:t>
            </w:r>
            <w:r/>
          </w:p>
        </w:tc>
        <w:tc>
          <w:tcPr>
            <w:shd w:val="clear" w:color="auto" w:fill="f7f9fa"/>
            <w:tcBorders/>
            <w:tcMar>
              <w:left w:w="70" w:type="dxa"/>
              <w:top w:w="60" w:type="dxa"/>
              <w:right w:w="70" w:type="dxa"/>
              <w:bottom w:w="60" w:type="dxa"/>
            </w:tcMar>
            <w:tcW w:w="4888" w:type="dxa"/>
            <w:vAlign w:val="top"/>
          </w:tcPr>
          <w:p>
            <w:pPr>
              <w:pStyle w:val="1297"/>
              <w:pBdr/>
              <w:spacing/>
              <w:ind/>
              <w:rPr/>
            </w:pPr>
            <w:r>
              <w:t xml:space="preserve">6, 11, 13, 16, 18, 19</w:t>
            </w:r>
            <w:r/>
          </w:p>
        </w:tc>
      </w:tr>
      <w:tr>
        <w:trPr>
          <w:cantSplit/>
        </w:trPr>
        <w:tc>
          <w:tcPr>
            <w:tcBorders/>
            <w:tcMar>
              <w:left w:w="70" w:type="dxa"/>
              <w:top w:w="60" w:type="dxa"/>
              <w:right w:w="70" w:type="dxa"/>
              <w:bottom w:w="60" w:type="dxa"/>
            </w:tcMar>
            <w:tcW w:w="7405" w:type="dxa"/>
            <w:vAlign w:val="top"/>
          </w:tcPr>
          <w:p>
            <w:pPr>
              <w:pStyle w:val="1297"/>
              <w:pBdr/>
              <w:spacing/>
              <w:ind/>
              <w:rPr/>
            </w:pPr>
            <w:r>
              <w:t xml:space="preserve">Avicenna, mature metaphysical psychology</w:t>
            </w:r>
            <w:r/>
          </w:p>
        </w:tc>
        <w:tc>
          <w:tcPr>
            <w:tcBorders/>
            <w:tcMar>
              <w:left w:w="70" w:type="dxa"/>
              <w:top w:w="60" w:type="dxa"/>
              <w:right w:w="70" w:type="dxa"/>
              <w:bottom w:w="60" w:type="dxa"/>
            </w:tcMar>
            <w:tcW w:w="2962" w:type="dxa"/>
            <w:vAlign w:val="top"/>
          </w:tcPr>
          <w:p>
            <w:pPr>
              <w:pStyle w:val="1297"/>
              <w:pBdr/>
              <w:spacing/>
              <w:ind/>
              <w:rPr/>
            </w:pPr>
            <w:r>
              <w:t xml:space="preserve">CORE</w:t>
            </w:r>
            <w:r/>
          </w:p>
        </w:tc>
        <w:tc>
          <w:tcPr>
            <w:tcBorders/>
            <w:tcMar>
              <w:left w:w="70" w:type="dxa"/>
              <w:top w:w="60" w:type="dxa"/>
              <w:right w:w="70" w:type="dxa"/>
              <w:bottom w:w="60" w:type="dxa"/>
            </w:tcMar>
            <w:tcW w:w="4888" w:type="dxa"/>
            <w:vAlign w:val="top"/>
          </w:tcPr>
          <w:p>
            <w:pPr>
              <w:pStyle w:val="1297"/>
              <w:pBdr/>
              <w:spacing/>
              <w:ind/>
              <w:rPr/>
            </w:pPr>
            <w:r>
              <w:t xml:space="preserve">5, 9, 14, 17</w:t>
            </w:r>
            <w:r/>
          </w:p>
        </w:tc>
      </w:tr>
      <w:tr>
        <w:trPr>
          <w:cantSplit/>
        </w:trPr>
        <w:tc>
          <w:tcPr>
            <w:shd w:val="clear" w:color="auto" w:fill="f7f9fa"/>
            <w:tcBorders/>
            <w:tcMar>
              <w:left w:w="70" w:type="dxa"/>
              <w:top w:w="60" w:type="dxa"/>
              <w:right w:w="70" w:type="dxa"/>
              <w:bottom w:w="60" w:type="dxa"/>
            </w:tcMar>
            <w:tcW w:w="7405" w:type="dxa"/>
            <w:vAlign w:val="top"/>
          </w:tcPr>
          <w:p>
            <w:pPr>
              <w:pStyle w:val="1297"/>
              <w:pBdr/>
              <w:spacing/>
              <w:ind/>
              <w:rPr/>
            </w:pPr>
            <w:r>
              <w:t xml:space="preserve">Maimonides, Guide-centered negative theology</w:t>
            </w:r>
            <w:r/>
          </w:p>
        </w:tc>
        <w:tc>
          <w:tcPr>
            <w:shd w:val="clear" w:color="auto" w:fill="f7f9fa"/>
            <w:tcBorders/>
            <w:tcMar>
              <w:left w:w="70" w:type="dxa"/>
              <w:top w:w="60" w:type="dxa"/>
              <w:right w:w="70" w:type="dxa"/>
              <w:bottom w:w="60" w:type="dxa"/>
            </w:tcMar>
            <w:tcW w:w="2962" w:type="dxa"/>
            <w:vAlign w:val="top"/>
          </w:tcPr>
          <w:p>
            <w:pPr>
              <w:pStyle w:val="1297"/>
              <w:pBdr/>
              <w:spacing/>
              <w:ind/>
              <w:rPr/>
            </w:pPr>
            <w:r>
              <w:t xml:space="preserve">CORE</w:t>
            </w:r>
            <w:r/>
          </w:p>
        </w:tc>
        <w:tc>
          <w:tcPr>
            <w:shd w:val="clear" w:color="auto" w:fill="f7f9fa"/>
            <w:tcBorders/>
            <w:tcMar>
              <w:left w:w="70" w:type="dxa"/>
              <w:top w:w="60" w:type="dxa"/>
              <w:right w:w="70" w:type="dxa"/>
              <w:bottom w:w="60" w:type="dxa"/>
            </w:tcMar>
            <w:tcW w:w="4888" w:type="dxa"/>
            <w:vAlign w:val="top"/>
          </w:tcPr>
          <w:p>
            <w:pPr>
              <w:pStyle w:val="1297"/>
              <w:pBdr/>
              <w:spacing/>
              <w:ind/>
              <w:rPr/>
            </w:pPr>
            <w:r>
              <w:t xml:space="preserve">3, 11</w:t>
            </w:r>
            <w:r/>
          </w:p>
        </w:tc>
      </w:tr>
      <w:tr>
        <w:trPr>
          <w:cantSplit/>
        </w:trPr>
        <w:tc>
          <w:tcPr>
            <w:tcBorders/>
            <w:tcMar>
              <w:left w:w="70" w:type="dxa"/>
              <w:top w:w="60" w:type="dxa"/>
              <w:right w:w="70" w:type="dxa"/>
              <w:bottom w:w="60" w:type="dxa"/>
            </w:tcMar>
            <w:tcW w:w="7405" w:type="dxa"/>
            <w:vAlign w:val="top"/>
          </w:tcPr>
          <w:p>
            <w:pPr>
              <w:pStyle w:val="1297"/>
              <w:pBdr/>
              <w:spacing/>
              <w:ind/>
              <w:rPr/>
            </w:pPr>
            <w:r>
              <w:t xml:space="preserve">Spinoza, Ethics-centered position</w:t>
            </w:r>
            <w:r/>
          </w:p>
        </w:tc>
        <w:tc>
          <w:tcPr>
            <w:tcBorders/>
            <w:tcMar>
              <w:left w:w="70" w:type="dxa"/>
              <w:top w:w="60" w:type="dxa"/>
              <w:right w:w="70" w:type="dxa"/>
              <w:bottom w:w="60" w:type="dxa"/>
            </w:tcMar>
            <w:tcW w:w="2962" w:type="dxa"/>
            <w:vAlign w:val="top"/>
          </w:tcPr>
          <w:p>
            <w:pPr>
              <w:pStyle w:val="1297"/>
              <w:pBdr/>
              <w:spacing/>
              <w:ind/>
              <w:rPr/>
            </w:pPr>
            <w:r>
              <w:t xml:space="preserve">CORE</w:t>
            </w:r>
            <w:r/>
          </w:p>
        </w:tc>
        <w:tc>
          <w:tcPr>
            <w:tcBorders/>
            <w:tcMar>
              <w:left w:w="70" w:type="dxa"/>
              <w:top w:w="60" w:type="dxa"/>
              <w:right w:w="70" w:type="dxa"/>
              <w:bottom w:w="60" w:type="dxa"/>
            </w:tcMar>
            <w:tcW w:w="4888" w:type="dxa"/>
            <w:vAlign w:val="top"/>
          </w:tcPr>
          <w:p>
            <w:pPr>
              <w:pStyle w:val="1297"/>
              <w:pBdr/>
              <w:spacing/>
              <w:ind/>
              <w:rPr/>
            </w:pPr>
            <w:r>
              <w:t xml:space="preserve">3, 4, 12, 14, 15, 18, 19</w:t>
            </w:r>
            <w:r/>
          </w:p>
        </w:tc>
      </w:tr>
      <w:tr>
        <w:trPr>
          <w:cantSplit/>
        </w:trPr>
        <w:tc>
          <w:tcPr>
            <w:shd w:val="clear" w:color="auto" w:fill="f7f9fa"/>
            <w:tcBorders/>
            <w:tcMar>
              <w:left w:w="70" w:type="dxa"/>
              <w:top w:w="60" w:type="dxa"/>
              <w:right w:w="70" w:type="dxa"/>
              <w:bottom w:w="60" w:type="dxa"/>
            </w:tcMar>
            <w:tcW w:w="7405" w:type="dxa"/>
            <w:vAlign w:val="top"/>
          </w:tcPr>
          <w:p>
            <w:pPr>
              <w:pStyle w:val="1297"/>
              <w:pBdr/>
              <w:spacing/>
              <w:ind/>
              <w:rPr/>
            </w:pPr>
            <w:r>
              <w:t xml:space="preserve">Plotinus, Enneads-centered metaphysics</w:t>
            </w:r>
            <w:r/>
          </w:p>
        </w:tc>
        <w:tc>
          <w:tcPr>
            <w:shd w:val="clear" w:color="auto" w:fill="f7f9fa"/>
            <w:tcBorders/>
            <w:tcMar>
              <w:left w:w="70" w:type="dxa"/>
              <w:top w:w="60" w:type="dxa"/>
              <w:right w:w="70" w:type="dxa"/>
              <w:bottom w:w="60" w:type="dxa"/>
            </w:tcMar>
            <w:tcW w:w="2962" w:type="dxa"/>
            <w:vAlign w:val="top"/>
          </w:tcPr>
          <w:p>
            <w:pPr>
              <w:pStyle w:val="1297"/>
              <w:pBdr/>
              <w:spacing/>
              <w:ind/>
              <w:rPr/>
            </w:pPr>
            <w:r>
              <w:t xml:space="preserve">MAJOR COMPARATOR</w:t>
            </w:r>
            <w:r/>
          </w:p>
        </w:tc>
        <w:tc>
          <w:tcPr>
            <w:shd w:val="clear" w:color="auto" w:fill="f7f9fa"/>
            <w:tcBorders/>
            <w:tcMar>
              <w:left w:w="70" w:type="dxa"/>
              <w:top w:w="60" w:type="dxa"/>
              <w:right w:w="70" w:type="dxa"/>
              <w:bottom w:w="60" w:type="dxa"/>
            </w:tcMar>
            <w:tcW w:w="4888" w:type="dxa"/>
            <w:vAlign w:val="top"/>
          </w:tcPr>
          <w:p>
            <w:pPr>
              <w:pStyle w:val="1297"/>
              <w:pBdr/>
              <w:spacing/>
              <w:ind/>
              <w:rPr/>
            </w:pPr>
            <w:r>
              <w:t xml:space="preserve">2, 4, 5, 19</w:t>
            </w:r>
            <w:r/>
          </w:p>
        </w:tc>
      </w:tr>
      <w:tr>
        <w:trPr>
          <w:cantSplit/>
        </w:trPr>
        <w:tc>
          <w:tcPr>
            <w:tcBorders/>
            <w:tcMar>
              <w:left w:w="70" w:type="dxa"/>
              <w:top w:w="60" w:type="dxa"/>
              <w:right w:w="70" w:type="dxa"/>
              <w:bottom w:w="60" w:type="dxa"/>
            </w:tcMar>
            <w:tcW w:w="7405" w:type="dxa"/>
            <w:vAlign w:val="top"/>
          </w:tcPr>
          <w:p>
            <w:pPr>
              <w:pStyle w:val="1297"/>
              <w:pBdr/>
              <w:spacing/>
              <w:ind/>
              <w:rPr/>
            </w:pPr>
            <w:r>
              <w:t xml:space="preserve">Descartes, Meditations/Passions mind-body position</w:t>
            </w:r>
            <w:r/>
          </w:p>
        </w:tc>
        <w:tc>
          <w:tcPr>
            <w:tcBorders/>
            <w:tcMar>
              <w:left w:w="70" w:type="dxa"/>
              <w:top w:w="60" w:type="dxa"/>
              <w:right w:w="70" w:type="dxa"/>
              <w:bottom w:w="60" w:type="dxa"/>
            </w:tcMar>
            <w:tcW w:w="2962" w:type="dxa"/>
            <w:vAlign w:val="top"/>
          </w:tcPr>
          <w:p>
            <w:pPr>
              <w:pStyle w:val="1297"/>
              <w:pBdr/>
              <w:spacing/>
              <w:ind/>
              <w:rPr/>
            </w:pPr>
            <w:r>
              <w:t xml:space="preserve">MAJOR COMPARATOR</w:t>
            </w:r>
            <w:r/>
          </w:p>
        </w:tc>
        <w:tc>
          <w:tcPr>
            <w:tcBorders/>
            <w:tcMar>
              <w:left w:w="70" w:type="dxa"/>
              <w:top w:w="60" w:type="dxa"/>
              <w:right w:w="70" w:type="dxa"/>
              <w:bottom w:w="60" w:type="dxa"/>
            </w:tcMar>
            <w:tcW w:w="4888" w:type="dxa"/>
            <w:vAlign w:val="top"/>
          </w:tcPr>
          <w:p>
            <w:pPr>
              <w:pStyle w:val="1297"/>
              <w:pBdr/>
              <w:spacing/>
              <w:ind/>
              <w:rPr/>
            </w:pPr>
            <w:r>
              <w:t xml:space="preserve">8, 9</w:t>
            </w:r>
            <w:r/>
          </w:p>
        </w:tc>
      </w:tr>
      <w:tr>
        <w:trPr>
          <w:cantSplit/>
        </w:trPr>
        <w:tc>
          <w:tcPr>
            <w:shd w:val="clear" w:color="auto" w:fill="f7f9fa"/>
            <w:tcBorders/>
            <w:tcMar>
              <w:left w:w="70" w:type="dxa"/>
              <w:top w:w="60" w:type="dxa"/>
              <w:right w:w="70" w:type="dxa"/>
              <w:bottom w:w="60" w:type="dxa"/>
            </w:tcMar>
            <w:tcW w:w="7405" w:type="dxa"/>
            <w:vAlign w:val="top"/>
          </w:tcPr>
          <w:p>
            <w:pPr>
              <w:pStyle w:val="1297"/>
              <w:pBdr/>
              <w:spacing/>
              <w:ind/>
              <w:rPr/>
            </w:pPr>
            <w:r>
              <w:t xml:space="preserve">Leibniz, mature monadology</w:t>
            </w:r>
            <w:r/>
          </w:p>
        </w:tc>
        <w:tc>
          <w:tcPr>
            <w:shd w:val="clear" w:color="auto" w:fill="f7f9fa"/>
            <w:tcBorders/>
            <w:tcMar>
              <w:left w:w="70" w:type="dxa"/>
              <w:top w:w="60" w:type="dxa"/>
              <w:right w:w="70" w:type="dxa"/>
              <w:bottom w:w="60" w:type="dxa"/>
            </w:tcMar>
            <w:tcW w:w="2962" w:type="dxa"/>
            <w:vAlign w:val="top"/>
          </w:tcPr>
          <w:p>
            <w:pPr>
              <w:pStyle w:val="1297"/>
              <w:pBdr/>
              <w:spacing/>
              <w:ind/>
              <w:rPr/>
            </w:pPr>
            <w:r>
              <w:t xml:space="preserve">MAJOR COMPARATOR</w:t>
            </w:r>
            <w:r/>
          </w:p>
        </w:tc>
        <w:tc>
          <w:tcPr>
            <w:shd w:val="clear" w:color="auto" w:fill="f7f9fa"/>
            <w:tcBorders/>
            <w:tcMar>
              <w:left w:w="70" w:type="dxa"/>
              <w:top w:w="60" w:type="dxa"/>
              <w:right w:w="70" w:type="dxa"/>
              <w:bottom w:w="60" w:type="dxa"/>
            </w:tcMar>
            <w:tcW w:w="4888" w:type="dxa"/>
            <w:vAlign w:val="top"/>
          </w:tcPr>
          <w:p>
            <w:pPr>
              <w:pStyle w:val="1297"/>
              <w:pBdr/>
              <w:spacing/>
              <w:ind/>
              <w:rPr/>
            </w:pPr>
            <w:r>
              <w:t xml:space="preserve">2, 7, 10, 19</w:t>
            </w:r>
            <w:r/>
          </w:p>
        </w:tc>
      </w:tr>
      <w:tr>
        <w:trPr>
          <w:cantSplit/>
        </w:trPr>
        <w:tc>
          <w:tcPr>
            <w:tcBorders/>
            <w:tcMar>
              <w:left w:w="70" w:type="dxa"/>
              <w:top w:w="60" w:type="dxa"/>
              <w:right w:w="70" w:type="dxa"/>
              <w:bottom w:w="60" w:type="dxa"/>
            </w:tcMar>
            <w:tcW w:w="7405" w:type="dxa"/>
            <w:vAlign w:val="top"/>
          </w:tcPr>
          <w:p>
            <w:pPr>
              <w:pStyle w:val="1297"/>
              <w:pBdr/>
              <w:spacing/>
              <w:ind/>
              <w:rPr/>
            </w:pPr>
            <w:r>
              <w:t xml:space="preserve">Whitehead, Process and Reality position</w:t>
            </w:r>
            <w:r/>
          </w:p>
        </w:tc>
        <w:tc>
          <w:tcPr>
            <w:tcBorders/>
            <w:tcMar>
              <w:left w:w="70" w:type="dxa"/>
              <w:top w:w="60" w:type="dxa"/>
              <w:right w:w="70" w:type="dxa"/>
              <w:bottom w:w="60" w:type="dxa"/>
            </w:tcMar>
            <w:tcW w:w="2962" w:type="dxa"/>
            <w:vAlign w:val="top"/>
          </w:tcPr>
          <w:p>
            <w:pPr>
              <w:pStyle w:val="1297"/>
              <w:pBdr/>
              <w:spacing/>
              <w:ind/>
              <w:rPr/>
            </w:pPr>
            <w:r>
              <w:t xml:space="preserve">MAJOR COMPARATOR</w:t>
            </w:r>
            <w:r/>
          </w:p>
        </w:tc>
        <w:tc>
          <w:tcPr>
            <w:tcBorders/>
            <w:tcMar>
              <w:left w:w="70" w:type="dxa"/>
              <w:top w:w="60" w:type="dxa"/>
              <w:right w:w="70" w:type="dxa"/>
              <w:bottom w:w="60" w:type="dxa"/>
            </w:tcMar>
            <w:tcW w:w="4888" w:type="dxa"/>
            <w:vAlign w:val="top"/>
          </w:tcPr>
          <w:p>
            <w:pPr>
              <w:pStyle w:val="1297"/>
              <w:pBdr/>
              <w:spacing/>
              <w:ind/>
              <w:rPr/>
            </w:pPr>
            <w:r>
              <w:t xml:space="preserve">7, 10, 19</w:t>
            </w:r>
            <w:r/>
          </w:p>
        </w:tc>
      </w:tr>
      <w:tr>
        <w:trPr>
          <w:cantSplit/>
        </w:trPr>
        <w:tc>
          <w:tcPr>
            <w:shd w:val="clear" w:color="auto" w:fill="f7f9fa"/>
            <w:tcBorders/>
            <w:tcMar>
              <w:left w:w="70" w:type="dxa"/>
              <w:top w:w="60" w:type="dxa"/>
              <w:right w:w="70" w:type="dxa"/>
              <w:bottom w:w="60" w:type="dxa"/>
            </w:tcMar>
            <w:tcW w:w="7405" w:type="dxa"/>
            <w:vAlign w:val="top"/>
          </w:tcPr>
          <w:p>
            <w:pPr>
              <w:pStyle w:val="1297"/>
              <w:pBdr/>
              <w:spacing/>
              <w:ind/>
              <w:rPr/>
            </w:pPr>
            <w:r>
              <w:t xml:space="preserve">Epicurean atomism, Lucretius/Epicurus bounded synthesis</w:t>
            </w:r>
            <w:r/>
          </w:p>
        </w:tc>
        <w:tc>
          <w:tcPr>
            <w:shd w:val="clear" w:color="auto" w:fill="f7f9fa"/>
            <w:tcBorders/>
            <w:tcMar>
              <w:left w:w="70" w:type="dxa"/>
              <w:top w:w="60" w:type="dxa"/>
              <w:right w:w="70" w:type="dxa"/>
              <w:bottom w:w="60" w:type="dxa"/>
            </w:tcMar>
            <w:tcW w:w="2962" w:type="dxa"/>
            <w:vAlign w:val="top"/>
          </w:tcPr>
          <w:p>
            <w:pPr>
              <w:pStyle w:val="1297"/>
              <w:pBdr/>
              <w:spacing/>
              <w:ind/>
              <w:rPr/>
            </w:pPr>
            <w:r>
              <w:t xml:space="preserve">MAJOR COMPARATOR</w:t>
            </w:r>
            <w:r/>
          </w:p>
        </w:tc>
        <w:tc>
          <w:tcPr>
            <w:shd w:val="clear" w:color="auto" w:fill="f7f9fa"/>
            <w:tcBorders/>
            <w:tcMar>
              <w:left w:w="70" w:type="dxa"/>
              <w:top w:w="60" w:type="dxa"/>
              <w:right w:w="70" w:type="dxa"/>
              <w:bottom w:w="60" w:type="dxa"/>
            </w:tcMar>
            <w:tcW w:w="4888" w:type="dxa"/>
            <w:vAlign w:val="top"/>
          </w:tcPr>
          <w:p>
            <w:pPr>
              <w:pStyle w:val="1297"/>
              <w:pBdr/>
              <w:spacing/>
              <w:ind/>
              <w:rPr/>
            </w:pPr>
            <w:r>
              <w:t xml:space="preserve">5, 6, 12, 14, 16, 17, 18</w:t>
            </w:r>
            <w:r/>
          </w:p>
        </w:tc>
      </w:tr>
      <w:tr>
        <w:trPr>
          <w:cantSplit/>
        </w:trPr>
        <w:tc>
          <w:tcPr>
            <w:tcBorders/>
            <w:tcMar>
              <w:left w:w="70" w:type="dxa"/>
              <w:top w:w="60" w:type="dxa"/>
              <w:right w:w="70" w:type="dxa"/>
              <w:bottom w:w="60" w:type="dxa"/>
            </w:tcMar>
            <w:tcW w:w="7405" w:type="dxa"/>
            <w:vAlign w:val="top"/>
          </w:tcPr>
          <w:p>
            <w:pPr>
              <w:pStyle w:val="1297"/>
              <w:pBdr/>
              <w:spacing/>
              <w:ind/>
              <w:rPr/>
            </w:pPr>
            <w:r>
              <w:t xml:space="preserve">Chrysippan Stoic causal/agency synthesis</w:t>
            </w:r>
            <w:r/>
          </w:p>
        </w:tc>
        <w:tc>
          <w:tcPr>
            <w:tcBorders/>
            <w:tcMar>
              <w:left w:w="70" w:type="dxa"/>
              <w:top w:w="60" w:type="dxa"/>
              <w:right w:w="70" w:type="dxa"/>
              <w:bottom w:w="60" w:type="dxa"/>
            </w:tcMar>
            <w:tcW w:w="2962" w:type="dxa"/>
            <w:vAlign w:val="top"/>
          </w:tcPr>
          <w:p>
            <w:pPr>
              <w:pStyle w:val="1297"/>
              <w:pBdr/>
              <w:spacing/>
              <w:ind/>
              <w:rPr/>
            </w:pPr>
            <w:r>
              <w:t xml:space="preserve">MAJOR COMPARATOR</w:t>
            </w:r>
            <w:r/>
          </w:p>
        </w:tc>
        <w:tc>
          <w:tcPr>
            <w:tcBorders/>
            <w:tcMar>
              <w:left w:w="70" w:type="dxa"/>
              <w:top w:w="60" w:type="dxa"/>
              <w:right w:w="70" w:type="dxa"/>
              <w:bottom w:w="60" w:type="dxa"/>
            </w:tcMar>
            <w:tcW w:w="4888" w:type="dxa"/>
            <w:vAlign w:val="top"/>
          </w:tcPr>
          <w:p>
            <w:pPr>
              <w:pStyle w:val="1297"/>
              <w:pBdr/>
              <w:spacing/>
              <w:ind/>
              <w:rPr/>
            </w:pPr>
            <w:r>
              <w:t xml:space="preserve">14, 15</w:t>
            </w:r>
            <w:r/>
          </w:p>
        </w:tc>
      </w:tr>
      <w:tr>
        <w:trPr>
          <w:cantSplit/>
        </w:trPr>
        <w:tc>
          <w:tcPr>
            <w:shd w:val="clear" w:color="auto" w:fill="f7f9fa"/>
            <w:tcBorders/>
            <w:tcMar>
              <w:left w:w="70" w:type="dxa"/>
              <w:top w:w="60" w:type="dxa"/>
              <w:right w:w="70" w:type="dxa"/>
              <w:bottom w:w="60" w:type="dxa"/>
            </w:tcMar>
            <w:tcW w:w="7405" w:type="dxa"/>
            <w:vAlign w:val="top"/>
          </w:tcPr>
          <w:p>
            <w:pPr>
              <w:pStyle w:val="1297"/>
              <w:pBdr/>
              <w:spacing/>
              <w:ind/>
              <w:rPr/>
            </w:pPr>
            <w:r>
              <w:t xml:space="preserve">al-Ghazālī, Tahāfut causal critique</w:t>
            </w:r>
            <w:r/>
          </w:p>
        </w:tc>
        <w:tc>
          <w:tcPr>
            <w:shd w:val="clear" w:color="auto" w:fill="f7f9fa"/>
            <w:tcBorders/>
            <w:tcMar>
              <w:left w:w="70" w:type="dxa"/>
              <w:top w:w="60" w:type="dxa"/>
              <w:right w:w="70" w:type="dxa"/>
              <w:bottom w:w="60" w:type="dxa"/>
            </w:tcMar>
            <w:tcW w:w="2962" w:type="dxa"/>
            <w:vAlign w:val="top"/>
          </w:tcPr>
          <w:p>
            <w:pPr>
              <w:pStyle w:val="1297"/>
              <w:pBdr/>
              <w:spacing/>
              <w:ind/>
              <w:rPr/>
            </w:pPr>
            <w:r>
              <w:t xml:space="preserve">MAJOR COMPARATOR</w:t>
            </w:r>
            <w:r/>
          </w:p>
        </w:tc>
        <w:tc>
          <w:tcPr>
            <w:shd w:val="clear" w:color="auto" w:fill="f7f9fa"/>
            <w:tcBorders/>
            <w:tcMar>
              <w:left w:w="70" w:type="dxa"/>
              <w:top w:w="60" w:type="dxa"/>
              <w:right w:w="70" w:type="dxa"/>
              <w:bottom w:w="60" w:type="dxa"/>
            </w:tcMar>
            <w:tcW w:w="4888" w:type="dxa"/>
            <w:vAlign w:val="top"/>
          </w:tcPr>
          <w:p>
            <w:pPr>
              <w:pStyle w:val="1297"/>
              <w:pBdr/>
              <w:spacing/>
              <w:ind/>
              <w:rPr/>
            </w:pPr>
            <w:r>
              <w:t xml:space="preserve">14</w:t>
            </w:r>
            <w:r/>
          </w:p>
        </w:tc>
      </w:tr>
      <w:tr>
        <w:trPr>
          <w:cantSplit/>
        </w:trPr>
        <w:tc>
          <w:tcPr>
            <w:tcBorders/>
            <w:tcMar>
              <w:left w:w="70" w:type="dxa"/>
              <w:top w:w="60" w:type="dxa"/>
              <w:right w:w="70" w:type="dxa"/>
              <w:bottom w:w="60" w:type="dxa"/>
            </w:tcMar>
            <w:tcW w:w="7405" w:type="dxa"/>
            <w:vAlign w:val="top"/>
          </w:tcPr>
          <w:p>
            <w:pPr>
              <w:pStyle w:val="1297"/>
              <w:pBdr/>
              <w:spacing/>
              <w:ind/>
              <w:rPr/>
            </w:pPr>
            <w:r>
              <w:t xml:space="preserve">Utpaladeva, Īśvarapratyabhijñā position</w:t>
            </w:r>
            <w:r/>
          </w:p>
        </w:tc>
        <w:tc>
          <w:tcPr>
            <w:tcBorders/>
            <w:tcMar>
              <w:left w:w="70" w:type="dxa"/>
              <w:top w:w="60" w:type="dxa"/>
              <w:right w:w="70" w:type="dxa"/>
              <w:bottom w:w="60" w:type="dxa"/>
            </w:tcMar>
            <w:tcW w:w="2962" w:type="dxa"/>
            <w:vAlign w:val="top"/>
          </w:tcPr>
          <w:p>
            <w:pPr>
              <w:pStyle w:val="1297"/>
              <w:pBdr/>
              <w:spacing/>
              <w:ind/>
              <w:rPr/>
            </w:pPr>
            <w:r>
              <w:t xml:space="preserve">MAJOR COMPARATOR</w:t>
            </w:r>
            <w:r/>
          </w:p>
        </w:tc>
        <w:tc>
          <w:tcPr>
            <w:tcBorders/>
            <w:tcMar>
              <w:left w:w="70" w:type="dxa"/>
              <w:top w:w="60" w:type="dxa"/>
              <w:right w:w="70" w:type="dxa"/>
              <w:bottom w:w="60" w:type="dxa"/>
            </w:tcMar>
            <w:tcW w:w="4888" w:type="dxa"/>
            <w:vAlign w:val="top"/>
          </w:tcPr>
          <w:p>
            <w:pPr>
              <w:pStyle w:val="1297"/>
              <w:pBdr/>
              <w:spacing/>
              <w:ind/>
              <w:rPr/>
            </w:pPr>
            <w:r>
              <w:t xml:space="preserve">7, 19</w:t>
            </w:r>
            <w:r/>
          </w:p>
        </w:tc>
      </w:tr>
      <w:tr>
        <w:trPr>
          <w:cantSplit/>
        </w:trPr>
        <w:tc>
          <w:tcPr>
            <w:shd w:val="clear" w:color="auto" w:fill="f7f9fa"/>
            <w:tcBorders/>
            <w:tcMar>
              <w:left w:w="70" w:type="dxa"/>
              <w:top w:w="60" w:type="dxa"/>
              <w:right w:w="70" w:type="dxa"/>
              <w:bottom w:w="60" w:type="dxa"/>
            </w:tcMar>
            <w:tcW w:w="7405" w:type="dxa"/>
            <w:vAlign w:val="top"/>
          </w:tcPr>
          <w:p>
            <w:pPr>
              <w:pStyle w:val="1297"/>
              <w:pBdr/>
              <w:spacing/>
              <w:ind/>
              <w:rPr/>
            </w:pPr>
            <w:r>
              <w:t xml:space="preserve">Mencius, Mengzi moral-personhood position</w:t>
            </w:r>
            <w:r/>
          </w:p>
        </w:tc>
        <w:tc>
          <w:tcPr>
            <w:shd w:val="clear" w:color="auto" w:fill="f7f9fa"/>
            <w:tcBorders/>
            <w:tcMar>
              <w:left w:w="70" w:type="dxa"/>
              <w:top w:w="60" w:type="dxa"/>
              <w:right w:w="70" w:type="dxa"/>
              <w:bottom w:w="60" w:type="dxa"/>
            </w:tcMar>
            <w:tcW w:w="2962" w:type="dxa"/>
            <w:vAlign w:val="top"/>
          </w:tcPr>
          <w:p>
            <w:pPr>
              <w:pStyle w:val="1297"/>
              <w:pBdr/>
              <w:spacing/>
              <w:ind/>
              <w:rPr/>
            </w:pPr>
            <w:r>
              <w:t xml:space="preserve">MAJOR COMPARATOR</w:t>
            </w:r>
            <w:r/>
          </w:p>
        </w:tc>
        <w:tc>
          <w:tcPr>
            <w:shd w:val="clear" w:color="auto" w:fill="f7f9fa"/>
            <w:tcBorders/>
            <w:tcMar>
              <w:left w:w="70" w:type="dxa"/>
              <w:top w:w="60" w:type="dxa"/>
              <w:right w:w="70" w:type="dxa"/>
              <w:bottom w:w="60" w:type="dxa"/>
            </w:tcMar>
            <w:tcW w:w="4888" w:type="dxa"/>
            <w:vAlign w:val="top"/>
          </w:tcPr>
          <w:p>
            <w:pPr>
              <w:pStyle w:val="1297"/>
              <w:pBdr/>
              <w:spacing/>
              <w:ind/>
              <w:rPr/>
            </w:pPr>
            <w:r>
              <w:t xml:space="preserve">Digital/reference; no current primary print chapter</w:t>
            </w:r>
            <w:r/>
          </w:p>
        </w:tc>
      </w:tr>
      <w:tr>
        <w:trPr>
          <w:cantSplit/>
        </w:trPr>
        <w:tc>
          <w:tcPr>
            <w:tcBorders/>
            <w:tcMar>
              <w:left w:w="70" w:type="dxa"/>
              <w:top w:w="60" w:type="dxa"/>
              <w:right w:w="70" w:type="dxa"/>
              <w:bottom w:w="60" w:type="dxa"/>
            </w:tcMar>
            <w:tcW w:w="7405" w:type="dxa"/>
            <w:vAlign w:val="top"/>
          </w:tcPr>
          <w:p>
            <w:pPr>
              <w:pStyle w:val="1297"/>
              <w:pBdr/>
              <w:spacing/>
              <w:ind/>
              <w:rPr/>
            </w:pPr>
            <w:r>
              <w:t xml:space="preserve">Wiredu–Gyekye debate on Akan personhood, explicitly bounded modern philosophical reconstruction</w:t>
            </w:r>
            <w:r/>
          </w:p>
        </w:tc>
        <w:tc>
          <w:tcPr>
            <w:tcBorders/>
            <w:tcMar>
              <w:left w:w="70" w:type="dxa"/>
              <w:top w:w="60" w:type="dxa"/>
              <w:right w:w="70" w:type="dxa"/>
              <w:bottom w:w="60" w:type="dxa"/>
            </w:tcMar>
            <w:tcW w:w="2962" w:type="dxa"/>
            <w:vAlign w:val="top"/>
          </w:tcPr>
          <w:p>
            <w:pPr>
              <w:pStyle w:val="1297"/>
              <w:pBdr/>
              <w:spacing/>
              <w:ind/>
              <w:rPr/>
            </w:pPr>
            <w:r>
              <w:t xml:space="preserve">MAJOR COMPARATOR</w:t>
            </w:r>
            <w:r/>
          </w:p>
        </w:tc>
        <w:tc>
          <w:tcPr>
            <w:tcBorders/>
            <w:tcMar>
              <w:left w:w="70" w:type="dxa"/>
              <w:top w:w="60" w:type="dxa"/>
              <w:right w:w="70" w:type="dxa"/>
              <w:bottom w:w="60" w:type="dxa"/>
            </w:tcMar>
            <w:tcW w:w="4888" w:type="dxa"/>
            <w:vAlign w:val="top"/>
          </w:tcPr>
          <w:p>
            <w:pPr>
              <w:pStyle w:val="1297"/>
              <w:pBdr/>
              <w:spacing/>
              <w:ind/>
              <w:rPr/>
            </w:pPr>
            <w:r>
              <w:t xml:space="preserve">10</w:t>
            </w:r>
            <w:r/>
          </w:p>
        </w:tc>
      </w:tr>
      <w:tr>
        <w:trPr>
          <w:cantSplit/>
        </w:trPr>
        <w:tc>
          <w:tcPr>
            <w:shd w:val="clear" w:color="auto" w:fill="f7f9fa"/>
            <w:tcBorders/>
            <w:tcMar>
              <w:left w:w="70" w:type="dxa"/>
              <w:top w:w="60" w:type="dxa"/>
              <w:right w:w="70" w:type="dxa"/>
              <w:bottom w:w="60" w:type="dxa"/>
            </w:tcMar>
            <w:tcW w:w="7405" w:type="dxa"/>
            <w:vAlign w:val="top"/>
          </w:tcPr>
          <w:p>
            <w:pPr>
              <w:pStyle w:val="1297"/>
              <w:pBdr/>
              <w:spacing/>
              <w:ind/>
              <w:rPr/>
            </w:pPr>
            <w:r>
              <w:t xml:space="preserve">Hume, Treatise/Enquiry self-and-causation position</w:t>
            </w:r>
            <w:r/>
          </w:p>
        </w:tc>
        <w:tc>
          <w:tcPr>
            <w:shd w:val="clear" w:color="auto" w:fill="f7f9fa"/>
            <w:tcBorders/>
            <w:tcMar>
              <w:left w:w="70" w:type="dxa"/>
              <w:top w:w="60" w:type="dxa"/>
              <w:right w:w="70" w:type="dxa"/>
              <w:bottom w:w="60" w:type="dxa"/>
            </w:tcMar>
            <w:tcW w:w="2962" w:type="dxa"/>
            <w:vAlign w:val="top"/>
          </w:tcPr>
          <w:p>
            <w:pPr>
              <w:pStyle w:val="1297"/>
              <w:pBdr/>
              <w:spacing/>
              <w:ind/>
              <w:rPr/>
            </w:pPr>
            <w:r>
              <w:t xml:space="preserve">MAJOR COMPARATOR</w:t>
            </w:r>
            <w:r/>
          </w:p>
        </w:tc>
        <w:tc>
          <w:tcPr>
            <w:shd w:val="clear" w:color="auto" w:fill="f7f9fa"/>
            <w:tcBorders/>
            <w:tcMar>
              <w:left w:w="70" w:type="dxa"/>
              <w:top w:w="60" w:type="dxa"/>
              <w:right w:w="70" w:type="dxa"/>
              <w:bottom w:w="60" w:type="dxa"/>
            </w:tcMar>
            <w:tcW w:w="4888" w:type="dxa"/>
            <w:vAlign w:val="top"/>
          </w:tcPr>
          <w:p>
            <w:pPr>
              <w:pStyle w:val="1297"/>
              <w:pBdr/>
              <w:spacing/>
              <w:ind/>
              <w:rPr/>
            </w:pPr>
            <w:r>
              <w:t xml:space="preserve">8, 9, 19</w:t>
            </w:r>
            <w:r/>
          </w:p>
        </w:tc>
      </w:tr>
      <w:tr>
        <w:trPr>
          <w:cantSplit/>
        </w:trPr>
        <w:tc>
          <w:tcPr>
            <w:tcBorders/>
            <w:tcMar>
              <w:left w:w="70" w:type="dxa"/>
              <w:top w:w="60" w:type="dxa"/>
              <w:right w:w="70" w:type="dxa"/>
              <w:bottom w:w="60" w:type="dxa"/>
            </w:tcMar>
            <w:tcW w:w="7405" w:type="dxa"/>
            <w:vAlign w:val="top"/>
          </w:tcPr>
          <w:p>
            <w:pPr>
              <w:pStyle w:val="1297"/>
              <w:pBdr/>
              <w:spacing/>
              <w:ind/>
              <w:rPr/>
            </w:pPr>
            <w:r>
              <w:t xml:space="preserve">Chalmers-style naturalistic property dualism</w:t>
            </w:r>
            <w:r/>
          </w:p>
        </w:tc>
        <w:tc>
          <w:tcPr>
            <w:tcBorders/>
            <w:tcMar>
              <w:left w:w="70" w:type="dxa"/>
              <w:top w:w="60" w:type="dxa"/>
              <w:right w:w="70" w:type="dxa"/>
              <w:bottom w:w="60" w:type="dxa"/>
            </w:tcMar>
            <w:tcW w:w="2962" w:type="dxa"/>
            <w:vAlign w:val="top"/>
          </w:tcPr>
          <w:p>
            <w:pPr>
              <w:pStyle w:val="1297"/>
              <w:pBdr/>
              <w:spacing/>
              <w:ind/>
              <w:rPr/>
            </w:pPr>
            <w:r>
              <w:t xml:space="preserve">COUNTEREXAMPLE-STRESS</w:t>
            </w:r>
            <w:r/>
          </w:p>
        </w:tc>
        <w:tc>
          <w:tcPr>
            <w:tcBorders/>
            <w:tcMar>
              <w:left w:w="70" w:type="dxa"/>
              <w:top w:w="60" w:type="dxa"/>
              <w:right w:w="70" w:type="dxa"/>
              <w:bottom w:w="60" w:type="dxa"/>
            </w:tcMar>
            <w:tcW w:w="4888" w:type="dxa"/>
            <w:vAlign w:val="top"/>
          </w:tcPr>
          <w:p>
            <w:pPr>
              <w:pStyle w:val="1297"/>
              <w:pBdr/>
              <w:spacing/>
              <w:ind/>
              <w:rPr/>
            </w:pPr>
            <w:r>
              <w:t xml:space="preserve">7</w:t>
            </w:r>
            <w:r/>
          </w:p>
        </w:tc>
      </w:tr>
      <w:tr>
        <w:trPr>
          <w:cantSplit/>
        </w:trPr>
        <w:tc>
          <w:tcPr>
            <w:shd w:val="clear" w:color="auto" w:fill="f7f9fa"/>
            <w:tcBorders/>
            <w:tcMar>
              <w:left w:w="70" w:type="dxa"/>
              <w:top w:w="60" w:type="dxa"/>
              <w:right w:w="70" w:type="dxa"/>
              <w:bottom w:w="60" w:type="dxa"/>
            </w:tcMar>
            <w:tcW w:w="7405" w:type="dxa"/>
            <w:vAlign w:val="top"/>
          </w:tcPr>
          <w:p>
            <w:pPr>
              <w:pStyle w:val="1297"/>
              <w:pBdr/>
              <w:spacing/>
              <w:ind/>
              <w:rPr/>
            </w:pPr>
            <w:r>
              <w:t xml:space="preserve">Frankish-style illusionism about phenomenal consciousness</w:t>
            </w:r>
            <w:r/>
          </w:p>
        </w:tc>
        <w:tc>
          <w:tcPr>
            <w:shd w:val="clear" w:color="auto" w:fill="f7f9fa"/>
            <w:tcBorders/>
            <w:tcMar>
              <w:left w:w="70" w:type="dxa"/>
              <w:top w:w="60" w:type="dxa"/>
              <w:right w:w="70" w:type="dxa"/>
              <w:bottom w:w="60" w:type="dxa"/>
            </w:tcMar>
            <w:tcW w:w="2962" w:type="dxa"/>
            <w:vAlign w:val="top"/>
          </w:tcPr>
          <w:p>
            <w:pPr>
              <w:pStyle w:val="1297"/>
              <w:pBdr/>
              <w:spacing/>
              <w:ind/>
              <w:rPr/>
            </w:pPr>
            <w:r>
              <w:t xml:space="preserve">COUNTEREXAMPLE-STRESS</w:t>
            </w:r>
            <w:r/>
          </w:p>
        </w:tc>
        <w:tc>
          <w:tcPr>
            <w:shd w:val="clear" w:color="auto" w:fill="f7f9fa"/>
            <w:tcBorders/>
            <w:tcMar>
              <w:left w:w="70" w:type="dxa"/>
              <w:top w:w="60" w:type="dxa"/>
              <w:right w:w="70" w:type="dxa"/>
              <w:bottom w:w="60" w:type="dxa"/>
            </w:tcMar>
            <w:tcW w:w="4888" w:type="dxa"/>
            <w:vAlign w:val="top"/>
          </w:tcPr>
          <w:p>
            <w:pPr>
              <w:pStyle w:val="1297"/>
              <w:pBdr/>
              <w:spacing/>
              <w:ind/>
              <w:rPr/>
            </w:pPr>
            <w:r>
              <w:t xml:space="preserve">7</w:t>
            </w:r>
            <w:r/>
          </w:p>
        </w:tc>
      </w:tr>
      <w:tr>
        <w:trPr>
          <w:cantSplit/>
        </w:trPr>
        <w:tc>
          <w:tcPr>
            <w:tcBorders/>
            <w:tcMar>
              <w:left w:w="70" w:type="dxa"/>
              <w:top w:w="60" w:type="dxa"/>
              <w:right w:w="70" w:type="dxa"/>
              <w:bottom w:w="60" w:type="dxa"/>
            </w:tcMar>
            <w:tcW w:w="7405" w:type="dxa"/>
            <w:vAlign w:val="top"/>
          </w:tcPr>
          <w:p>
            <w:pPr>
              <w:pStyle w:val="1297"/>
              <w:pBdr/>
              <w:spacing/>
              <w:ind/>
              <w:rPr/>
            </w:pPr>
            <w:r>
              <w:t xml:space="preserve">Xunzi, Xunzi-centered cultivation position</w:t>
            </w:r>
            <w:r/>
          </w:p>
        </w:tc>
        <w:tc>
          <w:tcPr>
            <w:tcBorders/>
            <w:tcMar>
              <w:left w:w="70" w:type="dxa"/>
              <w:top w:w="60" w:type="dxa"/>
              <w:right w:w="70" w:type="dxa"/>
              <w:bottom w:w="60" w:type="dxa"/>
            </w:tcMar>
            <w:tcW w:w="2962" w:type="dxa"/>
            <w:vAlign w:val="top"/>
          </w:tcPr>
          <w:p>
            <w:pPr>
              <w:pStyle w:val="1297"/>
              <w:pBdr/>
              <w:spacing/>
              <w:ind/>
              <w:rPr/>
            </w:pPr>
            <w:r>
              <w:t xml:space="preserve">COUNTEREXAMPLE-STRESS</w:t>
            </w:r>
            <w:r/>
          </w:p>
        </w:tc>
        <w:tc>
          <w:tcPr>
            <w:tcBorders/>
            <w:tcMar>
              <w:left w:w="70" w:type="dxa"/>
              <w:top w:w="60" w:type="dxa"/>
              <w:right w:w="70" w:type="dxa"/>
              <w:bottom w:w="60" w:type="dxa"/>
            </w:tcMar>
            <w:tcW w:w="4888" w:type="dxa"/>
            <w:vAlign w:val="top"/>
          </w:tcPr>
          <w:p>
            <w:pPr>
              <w:pStyle w:val="1297"/>
              <w:pBdr/>
              <w:spacing/>
              <w:ind/>
              <w:rPr/>
            </w:pPr>
            <w:r>
              <w:t xml:space="preserve">12, 15</w:t>
            </w:r>
            <w:r/>
          </w:p>
        </w:tc>
      </w:tr>
      <w:tr>
        <w:trPr>
          <w:cantSplit/>
        </w:trPr>
        <w:tc>
          <w:tcPr>
            <w:shd w:val="clear" w:color="auto" w:fill="f7f9fa"/>
            <w:tcBorders/>
            <w:tcMar>
              <w:left w:w="70" w:type="dxa"/>
              <w:top w:w="60" w:type="dxa"/>
              <w:right w:w="70" w:type="dxa"/>
              <w:bottom w:w="60" w:type="dxa"/>
            </w:tcMar>
            <w:tcW w:w="7405" w:type="dxa"/>
            <w:vAlign w:val="top"/>
          </w:tcPr>
          <w:p>
            <w:pPr>
              <w:pStyle w:val="1297"/>
              <w:pBdr/>
              <w:spacing/>
              <w:ind/>
              <w:rPr/>
            </w:pPr>
            <w:r>
              <w:t xml:space="preserve">Berkeley, immaterialism</w:t>
            </w:r>
            <w:r/>
          </w:p>
        </w:tc>
        <w:tc>
          <w:tcPr>
            <w:shd w:val="clear" w:color="auto" w:fill="f7f9fa"/>
            <w:tcBorders/>
            <w:tcMar>
              <w:left w:w="70" w:type="dxa"/>
              <w:top w:w="60" w:type="dxa"/>
              <w:right w:w="70" w:type="dxa"/>
              <w:bottom w:w="60" w:type="dxa"/>
            </w:tcMar>
            <w:tcW w:w="2962" w:type="dxa"/>
            <w:vAlign w:val="top"/>
          </w:tcPr>
          <w:p>
            <w:pPr>
              <w:pStyle w:val="1297"/>
              <w:pBdr/>
              <w:spacing/>
              <w:ind/>
              <w:rPr/>
            </w:pPr>
            <w:r>
              <w:t xml:space="preserve">DIGITAL-REFERENCE</w:t>
            </w:r>
            <w:r/>
          </w:p>
        </w:tc>
        <w:tc>
          <w:tcPr>
            <w:shd w:val="clear" w:color="auto" w:fill="f7f9fa"/>
            <w:tcBorders/>
            <w:tcMar>
              <w:left w:w="70" w:type="dxa"/>
              <w:top w:w="60" w:type="dxa"/>
              <w:right w:w="70" w:type="dxa"/>
              <w:bottom w:w="60" w:type="dxa"/>
            </w:tcMar>
            <w:tcW w:w="4888" w:type="dxa"/>
            <w:vAlign w:val="top"/>
          </w:tcPr>
          <w:p>
            <w:pPr>
              <w:pStyle w:val="1297"/>
              <w:pBdr/>
              <w:spacing/>
              <w:ind/>
              <w:rPr/>
            </w:pPr>
            <w:r>
              <w:t xml:space="preserve">Digital/reference; no current primary print chapter</w:t>
            </w:r>
            <w:r/>
          </w:p>
        </w:tc>
      </w:tr>
      <w:tr>
        <w:trPr>
          <w:cantSplit/>
        </w:trPr>
        <w:tc>
          <w:tcPr>
            <w:tcBorders/>
            <w:tcMar>
              <w:left w:w="70" w:type="dxa"/>
              <w:top w:w="60" w:type="dxa"/>
              <w:right w:w="70" w:type="dxa"/>
              <w:bottom w:w="60" w:type="dxa"/>
            </w:tcMar>
            <w:tcW w:w="7405" w:type="dxa"/>
            <w:vAlign w:val="top"/>
          </w:tcPr>
          <w:p>
            <w:pPr>
              <w:pStyle w:val="1297"/>
              <w:pBdr/>
              <w:spacing/>
              <w:ind/>
              <w:rPr/>
            </w:pPr>
            <w:r>
              <w:t xml:space="preserve">Aquinas, Summa-centered creation/soul synthesis</w:t>
            </w:r>
            <w:r/>
          </w:p>
        </w:tc>
        <w:tc>
          <w:tcPr>
            <w:tcBorders/>
            <w:tcMar>
              <w:left w:w="70" w:type="dxa"/>
              <w:top w:w="60" w:type="dxa"/>
              <w:right w:w="70" w:type="dxa"/>
              <w:bottom w:w="60" w:type="dxa"/>
            </w:tcMar>
            <w:tcW w:w="2962" w:type="dxa"/>
            <w:vAlign w:val="top"/>
          </w:tcPr>
          <w:p>
            <w:pPr>
              <w:pStyle w:val="1297"/>
              <w:pBdr/>
              <w:spacing/>
              <w:ind/>
              <w:rPr/>
            </w:pPr>
            <w:r>
              <w:t xml:space="preserve">DIGITAL-REFERENCE</w:t>
            </w:r>
            <w:r/>
          </w:p>
        </w:tc>
        <w:tc>
          <w:tcPr>
            <w:tcBorders/>
            <w:tcMar>
              <w:left w:w="70" w:type="dxa"/>
              <w:top w:w="60" w:type="dxa"/>
              <w:right w:w="70" w:type="dxa"/>
              <w:bottom w:w="60" w:type="dxa"/>
            </w:tcMar>
            <w:tcW w:w="4888" w:type="dxa"/>
            <w:vAlign w:val="top"/>
          </w:tcPr>
          <w:p>
            <w:pPr>
              <w:pStyle w:val="1297"/>
              <w:pBdr/>
              <w:spacing/>
              <w:ind/>
              <w:rPr/>
            </w:pPr>
            <w:r>
              <w:t xml:space="preserve">Digital/reference; no current primary print chapter</w:t>
            </w:r>
            <w:r/>
          </w:p>
        </w:tc>
      </w:tr>
      <w:tr>
        <w:trPr>
          <w:cantSplit/>
        </w:trPr>
        <w:tc>
          <w:tcPr>
            <w:shd w:val="clear" w:color="auto" w:fill="f7f9fa"/>
            <w:tcBorders/>
            <w:tcMar>
              <w:left w:w="70" w:type="dxa"/>
              <w:top w:w="60" w:type="dxa"/>
              <w:right w:w="70" w:type="dxa"/>
              <w:bottom w:w="60" w:type="dxa"/>
            </w:tcMar>
            <w:tcW w:w="7405" w:type="dxa"/>
            <w:vAlign w:val="top"/>
          </w:tcPr>
          <w:p>
            <w:pPr>
              <w:pStyle w:val="1297"/>
              <w:pBdr/>
              <w:spacing/>
              <w:ind/>
              <w:rPr/>
            </w:pPr>
            <w:r>
              <w:t xml:space="preserve">Wang Yangming, mature xin/li cultivation position</w:t>
            </w:r>
            <w:r/>
          </w:p>
        </w:tc>
        <w:tc>
          <w:tcPr>
            <w:shd w:val="clear" w:color="auto" w:fill="f7f9fa"/>
            <w:tcBorders/>
            <w:tcMar>
              <w:left w:w="70" w:type="dxa"/>
              <w:top w:w="60" w:type="dxa"/>
              <w:right w:w="70" w:type="dxa"/>
              <w:bottom w:w="60" w:type="dxa"/>
            </w:tcMar>
            <w:tcW w:w="2962" w:type="dxa"/>
            <w:vAlign w:val="top"/>
          </w:tcPr>
          <w:p>
            <w:pPr>
              <w:pStyle w:val="1297"/>
              <w:pBdr/>
              <w:spacing/>
              <w:ind/>
              <w:rPr/>
            </w:pPr>
            <w:r>
              <w:t xml:space="preserve">DIGITAL-REFERENCE</w:t>
            </w:r>
            <w:r/>
          </w:p>
        </w:tc>
        <w:tc>
          <w:tcPr>
            <w:shd w:val="clear" w:color="auto" w:fill="f7f9fa"/>
            <w:tcBorders/>
            <w:tcMar>
              <w:left w:w="70" w:type="dxa"/>
              <w:top w:w="60" w:type="dxa"/>
              <w:right w:w="70" w:type="dxa"/>
              <w:bottom w:w="60" w:type="dxa"/>
            </w:tcMar>
            <w:tcW w:w="4888" w:type="dxa"/>
            <w:vAlign w:val="top"/>
          </w:tcPr>
          <w:p>
            <w:pPr>
              <w:pStyle w:val="1297"/>
              <w:pBdr/>
              <w:spacing/>
              <w:ind/>
              <w:rPr/>
            </w:pPr>
            <w:r>
              <w:t xml:space="preserve">Digital/reference; no current primary print chapter</w:t>
            </w:r>
            <w:r/>
          </w:p>
        </w:tc>
      </w:tr>
      <w:tr>
        <w:trPr>
          <w:cantSplit/>
        </w:trPr>
        <w:tc>
          <w:tcPr>
            <w:tcBorders/>
            <w:tcMar>
              <w:left w:w="70" w:type="dxa"/>
              <w:top w:w="60" w:type="dxa"/>
              <w:right w:w="70" w:type="dxa"/>
              <w:bottom w:w="60" w:type="dxa"/>
            </w:tcMar>
            <w:tcW w:w="7405" w:type="dxa"/>
            <w:vAlign w:val="top"/>
          </w:tcPr>
          <w:p>
            <w:pPr>
              <w:pStyle w:val="1297"/>
              <w:pBdr/>
              <w:spacing/>
              <w:ind/>
              <w:rPr/>
            </w:pPr>
            <w:r>
              <w:t xml:space="preserve">Oruka, selected philosophic-sage dossiers</w:t>
            </w:r>
            <w:r/>
          </w:p>
        </w:tc>
        <w:tc>
          <w:tcPr>
            <w:tcBorders/>
            <w:tcMar>
              <w:left w:w="70" w:type="dxa"/>
              <w:top w:w="60" w:type="dxa"/>
              <w:right w:w="70" w:type="dxa"/>
              <w:bottom w:w="60" w:type="dxa"/>
            </w:tcMar>
            <w:tcW w:w="2962" w:type="dxa"/>
            <w:vAlign w:val="top"/>
          </w:tcPr>
          <w:p>
            <w:pPr>
              <w:pStyle w:val="1297"/>
              <w:pBdr/>
              <w:spacing/>
              <w:ind/>
              <w:rPr/>
            </w:pPr>
            <w:r>
              <w:t xml:space="preserve">DIGITAL-REFERENCE</w:t>
            </w:r>
            <w:r/>
          </w:p>
        </w:tc>
        <w:tc>
          <w:tcPr>
            <w:tcBorders/>
            <w:tcMar>
              <w:left w:w="70" w:type="dxa"/>
              <w:top w:w="60" w:type="dxa"/>
              <w:right w:w="70" w:type="dxa"/>
              <w:bottom w:w="60" w:type="dxa"/>
            </w:tcMar>
            <w:tcW w:w="4888" w:type="dxa"/>
            <w:vAlign w:val="top"/>
          </w:tcPr>
          <w:p>
            <w:pPr>
              <w:pStyle w:val="1297"/>
              <w:pBdr/>
              <w:spacing/>
              <w:ind/>
              <w:rPr/>
            </w:pPr>
            <w:r>
              <w:t xml:space="preserve">Digital/reference; no current primary print chapter</w:t>
            </w:r>
            <w:r/>
          </w:p>
        </w:tc>
      </w:tr>
      <w:tr>
        <w:trPr>
          <w:cantSplit/>
        </w:trPr>
        <w:tc>
          <w:tcPr>
            <w:shd w:val="clear" w:color="auto" w:fill="f7f9fa"/>
            <w:tcBorders/>
            <w:tcMar>
              <w:left w:w="70" w:type="dxa"/>
              <w:top w:w="60" w:type="dxa"/>
              <w:right w:w="70" w:type="dxa"/>
              <w:bottom w:w="60" w:type="dxa"/>
            </w:tcMar>
            <w:tcW w:w="7405" w:type="dxa"/>
            <w:vAlign w:val="top"/>
          </w:tcPr>
          <w:p>
            <w:pPr>
              <w:pStyle w:val="1297"/>
              <w:pBdr/>
              <w:spacing/>
              <w:ind/>
              <w:rPr/>
            </w:pPr>
            <w:r>
              <w:t xml:space="preserve">Dōgen, Shōbōgenzō-centered position</w:t>
            </w:r>
            <w:r/>
          </w:p>
        </w:tc>
        <w:tc>
          <w:tcPr>
            <w:shd w:val="clear" w:color="auto" w:fill="f7f9fa"/>
            <w:tcBorders/>
            <w:tcMar>
              <w:left w:w="70" w:type="dxa"/>
              <w:top w:w="60" w:type="dxa"/>
              <w:right w:w="70" w:type="dxa"/>
              <w:bottom w:w="60" w:type="dxa"/>
            </w:tcMar>
            <w:tcW w:w="2962" w:type="dxa"/>
            <w:vAlign w:val="top"/>
          </w:tcPr>
          <w:p>
            <w:pPr>
              <w:pStyle w:val="1297"/>
              <w:pBdr/>
              <w:spacing/>
              <w:ind/>
              <w:rPr/>
            </w:pPr>
            <w:r>
              <w:t xml:space="preserve">DIGITAL-REFERENCE</w:t>
            </w:r>
            <w:r/>
          </w:p>
        </w:tc>
        <w:tc>
          <w:tcPr>
            <w:shd w:val="clear" w:color="auto" w:fill="f7f9fa"/>
            <w:tcBorders/>
            <w:tcMar>
              <w:left w:w="70" w:type="dxa"/>
              <w:top w:w="60" w:type="dxa"/>
              <w:right w:w="70" w:type="dxa"/>
              <w:bottom w:w="60" w:type="dxa"/>
            </w:tcMar>
            <w:tcW w:w="4888" w:type="dxa"/>
            <w:vAlign w:val="top"/>
          </w:tcPr>
          <w:p>
            <w:pPr>
              <w:pStyle w:val="1297"/>
              <w:pBdr/>
              <w:spacing/>
              <w:ind/>
              <w:rPr/>
            </w:pPr>
            <w:r>
              <w:t xml:space="preserve">13</w:t>
            </w:r>
            <w:r/>
          </w:p>
        </w:tc>
      </w:tr>
      <w:tr>
        <w:trPr>
          <w:cantSplit/>
        </w:trPr>
        <w:tc>
          <w:tcPr>
            <w:tcBorders/>
            <w:tcMar>
              <w:left w:w="70" w:type="dxa"/>
              <w:top w:w="60" w:type="dxa"/>
              <w:right w:w="70" w:type="dxa"/>
              <w:bottom w:w="60" w:type="dxa"/>
            </w:tcMar>
            <w:tcW w:w="7405" w:type="dxa"/>
            <w:vAlign w:val="top"/>
          </w:tcPr>
          <w:p>
            <w:pPr>
              <w:pStyle w:val="1297"/>
              <w:pBdr/>
              <w:spacing/>
              <w:ind/>
              <w:rPr/>
            </w:pPr>
            <w:r>
              <w:t xml:space="preserve">Nahua teotl reconstruction, source-bounded classical corpus candidate</w:t>
            </w:r>
            <w:r/>
          </w:p>
        </w:tc>
        <w:tc>
          <w:tcPr>
            <w:tcBorders/>
            <w:tcMar>
              <w:left w:w="70" w:type="dxa"/>
              <w:top w:w="60" w:type="dxa"/>
              <w:right w:w="70" w:type="dxa"/>
              <w:bottom w:w="60" w:type="dxa"/>
            </w:tcMar>
            <w:tcW w:w="2962" w:type="dxa"/>
            <w:vAlign w:val="top"/>
          </w:tcPr>
          <w:p>
            <w:pPr>
              <w:pStyle w:val="1297"/>
              <w:pBdr/>
              <w:spacing/>
              <w:ind/>
              <w:rPr/>
            </w:pPr>
            <w:r>
              <w:t xml:space="preserve">HOLD-FUTURE</w:t>
            </w:r>
            <w:r/>
          </w:p>
        </w:tc>
        <w:tc>
          <w:tcPr>
            <w:tcBorders/>
            <w:tcMar>
              <w:left w:w="70" w:type="dxa"/>
              <w:top w:w="60" w:type="dxa"/>
              <w:right w:w="70" w:type="dxa"/>
              <w:bottom w:w="60" w:type="dxa"/>
            </w:tcMar>
            <w:tcW w:w="4888" w:type="dxa"/>
            <w:vAlign w:val="top"/>
          </w:tcPr>
          <w:p>
            <w:pPr>
              <w:pStyle w:val="1297"/>
              <w:pBdr/>
              <w:spacing/>
              <w:ind/>
              <w:rPr/>
            </w:pPr>
            <w:r>
              <w:t xml:space="preserve">Future comparator; possible Chapters 3/4/6 after promotion</w:t>
            </w:r>
            <w:r/>
          </w:p>
        </w:tc>
      </w:tr>
      <w:tr>
        <w:trPr>
          <w:cantSplit/>
        </w:trPr>
        <w:tc>
          <w:tcPr>
            <w:shd w:val="clear" w:color="auto" w:fill="f7f9fa"/>
            <w:tcBorders/>
            <w:tcMar>
              <w:left w:w="70" w:type="dxa"/>
              <w:top w:w="60" w:type="dxa"/>
              <w:right w:w="70" w:type="dxa"/>
              <w:bottom w:w="60" w:type="dxa"/>
            </w:tcMar>
            <w:tcW w:w="7405" w:type="dxa"/>
            <w:vAlign w:val="top"/>
          </w:tcPr>
          <w:p>
            <w:pPr>
              <w:pStyle w:val="1297"/>
              <w:pBdr/>
              <w:spacing/>
              <w:ind/>
              <w:rPr/>
            </w:pPr>
            <w:r>
              <w:t xml:space="preserve">Māori whakapapa-centered relational ontology candidate</w:t>
            </w:r>
            <w:r/>
          </w:p>
        </w:tc>
        <w:tc>
          <w:tcPr>
            <w:shd w:val="clear" w:color="auto" w:fill="f7f9fa"/>
            <w:tcBorders/>
            <w:tcMar>
              <w:left w:w="70" w:type="dxa"/>
              <w:top w:w="60" w:type="dxa"/>
              <w:right w:w="70" w:type="dxa"/>
              <w:bottom w:w="60" w:type="dxa"/>
            </w:tcMar>
            <w:tcW w:w="2962" w:type="dxa"/>
            <w:vAlign w:val="top"/>
          </w:tcPr>
          <w:p>
            <w:pPr>
              <w:pStyle w:val="1297"/>
              <w:pBdr/>
              <w:spacing/>
              <w:ind/>
              <w:rPr/>
            </w:pPr>
            <w:r>
              <w:t xml:space="preserve">HOLD-FUTURE</w:t>
            </w:r>
            <w:r/>
          </w:p>
        </w:tc>
        <w:tc>
          <w:tcPr>
            <w:shd w:val="clear" w:color="auto" w:fill="f7f9fa"/>
            <w:tcBorders/>
            <w:tcMar>
              <w:left w:w="70" w:type="dxa"/>
              <w:top w:w="60" w:type="dxa"/>
              <w:right w:w="70" w:type="dxa"/>
              <w:bottom w:w="60" w:type="dxa"/>
            </w:tcMar>
            <w:tcW w:w="4888" w:type="dxa"/>
            <w:vAlign w:val="top"/>
          </w:tcPr>
          <w:p>
            <w:pPr>
              <w:pStyle w:val="1297"/>
              <w:pBdr/>
              <w:spacing/>
              <w:ind/>
              <w:rPr/>
            </w:pPr>
            <w:r>
              <w:t xml:space="preserve">10</w:t>
            </w:r>
            <w:r/>
          </w:p>
        </w:tc>
      </w:tr>
    </w:tbl>
    <w:p>
      <w:pPr>
        <w:pStyle w:val="1300"/>
        <w:pBdr/>
        <w:spacing/>
        <w:ind/>
        <w:rPr/>
      </w:pPr>
      <w:r/>
      <w:r/>
    </w:p>
    <w:p>
      <w:pPr>
        <w:pStyle w:val="1136"/>
        <w:keepNext w:val="true"/>
        <w:keepLines w:val="true"/>
        <w:pageBreakBefore w:val="true"/>
        <w:pBdr/>
        <w:spacing/>
        <w:ind/>
        <w:rPr/>
      </w:pPr>
      <w:r/>
      <w:bookmarkStart w:id="198" w:name="B5"/>
      <w:r>
        <w:t xml:space="preserve">B5. Chapter and domain crosswalk</w:t>
      </w:r>
      <w:bookmarkEnd w:id="198"/>
      <w:r/>
      <w:r/>
    </w:p>
    <w:p>
      <w:pPr>
        <w:pStyle w:val="1184"/>
        <w:keepNext w:val="true"/>
        <w:keepLines w:val="true"/>
        <w:pBdr/>
        <w:spacing/>
        <w:ind/>
        <w:rPr/>
      </w:pPr>
      <w:r/>
      <w:bookmarkStart w:id="199" w:name="T_DOMAIN_CROSSWALK"/>
      <w:r>
        <w:t xml:space="preserve">Derived — Chapter and domain crosswalk; source: Part II chapter briefs</w:t>
      </w:r>
      <w:bookmarkEnd w:id="199"/>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762"/>
        <w:gridCol w:w="5796"/>
        <w:gridCol w:w="6711"/>
        <w:gridCol w:w="1983"/>
      </w:tblGrid>
      <w:tr>
        <w:trPr>
          <w:cantSplit/>
          <w:tblHeader/>
        </w:trPr>
        <w:tc>
          <w:tcPr>
            <w:shd w:val="clear" w:color="auto" w:fill="1f5a73"/>
            <w:tcBorders/>
            <w:tcMar>
              <w:left w:w="70" w:type="dxa"/>
              <w:top w:w="60" w:type="dxa"/>
              <w:right w:w="70" w:type="dxa"/>
              <w:bottom w:w="60" w:type="dxa"/>
            </w:tcMar>
            <w:tcW w:w="762" w:type="dxa"/>
            <w:vAlign w:val="top"/>
          </w:tcPr>
          <w:p>
            <w:pPr>
              <w:pStyle w:val="1299"/>
              <w:pBdr/>
              <w:spacing/>
              <w:ind/>
              <w:rPr/>
            </w:pPr>
            <w:r>
              <w:t xml:space="preserve">Ch.</w:t>
            </w:r>
            <w:r/>
          </w:p>
        </w:tc>
        <w:tc>
          <w:tcPr>
            <w:shd w:val="clear" w:color="auto" w:fill="1f5a73"/>
            <w:tcBorders/>
            <w:tcMar>
              <w:left w:w="70" w:type="dxa"/>
              <w:top w:w="60" w:type="dxa"/>
              <w:right w:w="70" w:type="dxa"/>
              <w:bottom w:w="60" w:type="dxa"/>
            </w:tcMar>
            <w:tcW w:w="5796" w:type="dxa"/>
            <w:vAlign w:val="top"/>
          </w:tcPr>
          <w:p>
            <w:pPr>
              <w:pStyle w:val="1299"/>
              <w:pBdr/>
              <w:spacing/>
              <w:ind/>
              <w:rPr/>
            </w:pPr>
            <w:r>
              <w:t xml:space="preserve">Chapter</w:t>
            </w:r>
            <w:r/>
          </w:p>
        </w:tc>
        <w:tc>
          <w:tcPr>
            <w:shd w:val="clear" w:color="auto" w:fill="1f5a73"/>
            <w:tcBorders/>
            <w:tcMar>
              <w:left w:w="70" w:type="dxa"/>
              <w:top w:w="60" w:type="dxa"/>
              <w:right w:w="70" w:type="dxa"/>
              <w:bottom w:w="60" w:type="dxa"/>
            </w:tcMar>
            <w:tcW w:w="6711" w:type="dxa"/>
            <w:vAlign w:val="top"/>
          </w:tcPr>
          <w:p>
            <w:pPr>
              <w:pStyle w:val="1299"/>
              <w:pBdr/>
              <w:spacing/>
              <w:ind/>
              <w:rPr/>
            </w:pPr>
            <w:r>
              <w:t xml:space="preserve">Primary domains</w:t>
            </w:r>
            <w:r/>
          </w:p>
        </w:tc>
        <w:tc>
          <w:tcPr>
            <w:shd w:val="clear" w:color="auto" w:fill="1f5a73"/>
            <w:tcBorders/>
            <w:tcMar>
              <w:left w:w="70" w:type="dxa"/>
              <w:top w:w="60" w:type="dxa"/>
              <w:right w:w="70" w:type="dxa"/>
              <w:bottom w:w="60" w:type="dxa"/>
            </w:tcMar>
            <w:tcW w:w="1983" w:type="dxa"/>
            <w:vAlign w:val="top"/>
          </w:tcPr>
          <w:p>
            <w:pPr>
              <w:pStyle w:val="1299"/>
              <w:pBdr/>
              <w:spacing/>
              <w:ind/>
              <w:rPr/>
            </w:pPr>
            <w:r>
              <w:t xml:space="preserve">Publication use</w:t>
            </w:r>
            <w:r/>
          </w:p>
        </w:tc>
      </w:tr>
      <w:tr>
        <w:trPr>
          <w:cantSplit/>
        </w:trPr>
        <w:tc>
          <w:tcPr>
            <w:tcBorders/>
            <w:tcMar>
              <w:left w:w="70" w:type="dxa"/>
              <w:top w:w="60" w:type="dxa"/>
              <w:right w:w="70" w:type="dxa"/>
              <w:bottom w:w="60" w:type="dxa"/>
            </w:tcMar>
            <w:tcW w:w="762" w:type="dxa"/>
            <w:vAlign w:val="top"/>
          </w:tcPr>
          <w:p>
            <w:pPr>
              <w:pStyle w:val="1297"/>
              <w:pBdr/>
              <w:spacing/>
              <w:ind/>
              <w:rPr/>
            </w:pPr>
            <w:r>
              <w:t xml:space="preserve">1</w:t>
            </w:r>
            <w:r/>
          </w:p>
        </w:tc>
        <w:tc>
          <w:tcPr>
            <w:tcBorders/>
            <w:tcMar>
              <w:left w:w="70" w:type="dxa"/>
              <w:top w:w="60" w:type="dxa"/>
              <w:right w:w="70" w:type="dxa"/>
              <w:bottom w:w="60" w:type="dxa"/>
            </w:tcMar>
            <w:tcW w:w="5796" w:type="dxa"/>
            <w:vAlign w:val="top"/>
          </w:tcPr>
          <w:p>
            <w:pPr>
              <w:pStyle w:val="1297"/>
              <w:pBdr/>
              <w:spacing/>
              <w:ind/>
              <w:rPr/>
            </w:pPr>
            <w:r>
              <w:t xml:space="preserve">From Worldview Labels to Bounded Architectures</w:t>
            </w:r>
            <w:r/>
          </w:p>
        </w:tc>
        <w:tc>
          <w:tcPr>
            <w:tcBorders/>
            <w:tcMar>
              <w:left w:w="70" w:type="dxa"/>
              <w:top w:w="60" w:type="dxa"/>
              <w:right w:w="70" w:type="dxa"/>
              <w:bottom w:w="60" w:type="dxa"/>
            </w:tcMar>
            <w:tcW w:w="6711" w:type="dxa"/>
            <w:vAlign w:val="top"/>
          </w:tcPr>
          <w:p>
            <w:pPr>
              <w:pStyle w:val="1297"/>
              <w:pBdr/>
              <w:spacing/>
              <w:ind/>
              <w:rPr/>
            </w:pPr>
            <w:r>
              <w:t xml:space="preserve">D1–D15 as the underlying coverage framework; especially D3, D5/D6, D10/D11.</w:t>
            </w:r>
            <w:r/>
          </w:p>
        </w:tc>
        <w:tc>
          <w:tcPr>
            <w:tcBorders/>
            <w:tcMar>
              <w:left w:w="70" w:type="dxa"/>
              <w:top w:w="60" w:type="dxa"/>
              <w:right w:w="70" w:type="dxa"/>
              <w:bottom w:w="60" w:type="dxa"/>
            </w:tcMar>
            <w:tcW w:w="1983" w:type="dxa"/>
            <w:vAlign w:val="top"/>
          </w:tcPr>
          <w:p>
            <w:pPr>
              <w:pStyle w:val="1297"/>
              <w:pBdr/>
              <w:spacing/>
              <w:ind/>
              <w:rPr/>
            </w:pPr>
            <w:r>
              <w:t xml:space="preserve">Cross-domain</w:t>
            </w:r>
            <w:r/>
          </w:p>
        </w:tc>
      </w:tr>
      <w:tr>
        <w:trPr>
          <w:cantSplit/>
        </w:trPr>
        <w:tc>
          <w:tcPr>
            <w:shd w:val="clear" w:color="auto" w:fill="f7f9fa"/>
            <w:tcBorders/>
            <w:tcMar>
              <w:left w:w="70" w:type="dxa"/>
              <w:top w:w="60" w:type="dxa"/>
              <w:right w:w="70" w:type="dxa"/>
              <w:bottom w:w="60" w:type="dxa"/>
            </w:tcMar>
            <w:tcW w:w="762" w:type="dxa"/>
            <w:vAlign w:val="top"/>
          </w:tcPr>
          <w:p>
            <w:pPr>
              <w:pStyle w:val="1297"/>
              <w:pBdr/>
              <w:spacing/>
              <w:ind/>
              <w:rPr/>
            </w:pPr>
            <w:r>
              <w:t xml:space="preserve">2</w:t>
            </w:r>
            <w:r/>
          </w:p>
        </w:tc>
        <w:tc>
          <w:tcPr>
            <w:shd w:val="clear" w:color="auto" w:fill="f7f9fa"/>
            <w:tcBorders/>
            <w:tcMar>
              <w:left w:w="70" w:type="dxa"/>
              <w:top w:w="60" w:type="dxa"/>
              <w:right w:w="70" w:type="dxa"/>
              <w:bottom w:w="60" w:type="dxa"/>
            </w:tcMar>
            <w:tcW w:w="5796" w:type="dxa"/>
            <w:vAlign w:val="top"/>
          </w:tcPr>
          <w:p>
            <w:pPr>
              <w:pStyle w:val="1297"/>
              <w:pBdr/>
              <w:spacing/>
              <w:ind/>
              <w:rPr/>
            </w:pPr>
            <w:r>
              <w:t xml:space="preserve">Comparing Without Collapsing</w:t>
            </w:r>
            <w:r/>
          </w:p>
        </w:tc>
        <w:tc>
          <w:tcPr>
            <w:shd w:val="clear" w:color="auto" w:fill="f7f9fa"/>
            <w:tcBorders/>
            <w:tcMar>
              <w:left w:w="70" w:type="dxa"/>
              <w:top w:w="60" w:type="dxa"/>
              <w:right w:w="70" w:type="dxa"/>
              <w:bottom w:w="60" w:type="dxa"/>
            </w:tcMar>
            <w:tcW w:w="6711" w:type="dxa"/>
            <w:vAlign w:val="top"/>
          </w:tcPr>
          <w:p>
            <w:pPr>
              <w:pStyle w:val="1297"/>
              <w:pBdr/>
              <w:spacing/>
              <w:ind/>
              <w:rPr/>
            </w:pPr>
            <w:r>
              <w:t xml:space="preserve">Cross-domain; especially D1, D5, D6, D10, D14.</w:t>
            </w:r>
            <w:r/>
          </w:p>
        </w:tc>
        <w:tc>
          <w:tcPr>
            <w:shd w:val="clear" w:color="auto" w:fill="f7f9fa"/>
            <w:tcBorders/>
            <w:tcMar>
              <w:left w:w="70" w:type="dxa"/>
              <w:top w:w="60" w:type="dxa"/>
              <w:right w:w="70" w:type="dxa"/>
              <w:bottom w:w="60" w:type="dxa"/>
            </w:tcMar>
            <w:tcW w:w="1983" w:type="dxa"/>
            <w:vAlign w:val="top"/>
          </w:tcPr>
          <w:p>
            <w:pPr>
              <w:pStyle w:val="1297"/>
              <w:pBdr/>
              <w:spacing/>
              <w:ind/>
              <w:rPr/>
            </w:pPr>
            <w:r>
              <w:t xml:space="preserve">Cross-domain</w:t>
            </w:r>
            <w:r/>
          </w:p>
        </w:tc>
      </w:tr>
      <w:tr>
        <w:trPr>
          <w:cantSplit/>
        </w:trPr>
        <w:tc>
          <w:tcPr>
            <w:tcBorders/>
            <w:tcMar>
              <w:left w:w="70" w:type="dxa"/>
              <w:top w:w="60" w:type="dxa"/>
              <w:right w:w="70" w:type="dxa"/>
              <w:bottom w:w="60" w:type="dxa"/>
            </w:tcMar>
            <w:tcW w:w="762" w:type="dxa"/>
            <w:vAlign w:val="top"/>
          </w:tcPr>
          <w:p>
            <w:pPr>
              <w:pStyle w:val="1297"/>
              <w:pBdr/>
              <w:spacing/>
              <w:ind/>
              <w:rPr/>
            </w:pPr>
            <w:r>
              <w:t xml:space="preserve">3</w:t>
            </w:r>
            <w:r/>
          </w:p>
        </w:tc>
        <w:tc>
          <w:tcPr>
            <w:tcBorders/>
            <w:tcMar>
              <w:left w:w="70" w:type="dxa"/>
              <w:top w:w="60" w:type="dxa"/>
              <w:right w:w="70" w:type="dxa"/>
              <w:bottom w:w="60" w:type="dxa"/>
            </w:tcMar>
            <w:tcW w:w="5796" w:type="dxa"/>
            <w:vAlign w:val="top"/>
          </w:tcPr>
          <w:p>
            <w:pPr>
              <w:pStyle w:val="1297"/>
              <w:pBdr/>
              <w:spacing/>
              <w:ind/>
              <w:rPr/>
            </w:pPr>
            <w:r>
              <w:t xml:space="preserve">Can Reality Have No Ground?</w:t>
            </w:r>
            <w:r/>
          </w:p>
        </w:tc>
        <w:tc>
          <w:tcPr>
            <w:tcBorders/>
            <w:tcMar>
              <w:left w:w="70" w:type="dxa"/>
              <w:top w:w="60" w:type="dxa"/>
              <w:right w:w="70" w:type="dxa"/>
              <w:bottom w:w="60" w:type="dxa"/>
            </w:tcMar>
            <w:tcW w:w="6711" w:type="dxa"/>
            <w:vAlign w:val="top"/>
          </w:tcPr>
          <w:p>
            <w:pPr>
              <w:pStyle w:val="1297"/>
              <w:pBdr/>
              <w:spacing/>
              <w:ind/>
              <w:rPr/>
            </w:pPr>
            <w:r>
              <w:t xml:space="preserve">D1 D2 D7 D14.</w:t>
            </w:r>
            <w:r/>
          </w:p>
        </w:tc>
        <w:tc>
          <w:tcPr>
            <w:tcBorders/>
            <w:tcMar>
              <w:left w:w="70" w:type="dxa"/>
              <w:top w:w="60" w:type="dxa"/>
              <w:right w:w="70" w:type="dxa"/>
              <w:bottom w:w="60" w:type="dxa"/>
            </w:tcMar>
            <w:tcW w:w="1983" w:type="dxa"/>
            <w:vAlign w:val="top"/>
          </w:tcPr>
          <w:p>
            <w:pPr>
              <w:pStyle w:val="1297"/>
              <w:pBdr/>
              <w:spacing/>
              <w:ind/>
              <w:rPr/>
            </w:pPr>
            <w:r>
              <w:t xml:space="preserve">Main</w:t>
            </w:r>
            <w:r/>
          </w:p>
        </w:tc>
      </w:tr>
      <w:tr>
        <w:trPr>
          <w:cantSplit/>
        </w:trPr>
        <w:tc>
          <w:tcPr>
            <w:shd w:val="clear" w:color="auto" w:fill="f7f9fa"/>
            <w:tcBorders/>
            <w:tcMar>
              <w:left w:w="70" w:type="dxa"/>
              <w:top w:w="60" w:type="dxa"/>
              <w:right w:w="70" w:type="dxa"/>
              <w:bottom w:w="60" w:type="dxa"/>
            </w:tcMar>
            <w:tcW w:w="762" w:type="dxa"/>
            <w:vAlign w:val="top"/>
          </w:tcPr>
          <w:p>
            <w:pPr>
              <w:pStyle w:val="1297"/>
              <w:pBdr/>
              <w:spacing/>
              <w:ind/>
              <w:rPr/>
            </w:pPr>
            <w:r>
              <w:t xml:space="preserve">4</w:t>
            </w:r>
            <w:r/>
          </w:p>
        </w:tc>
        <w:tc>
          <w:tcPr>
            <w:shd w:val="clear" w:color="auto" w:fill="f7f9fa"/>
            <w:tcBorders/>
            <w:tcMar>
              <w:left w:w="70" w:type="dxa"/>
              <w:top w:w="60" w:type="dxa"/>
              <w:right w:w="70" w:type="dxa"/>
              <w:bottom w:w="60" w:type="dxa"/>
            </w:tcMar>
            <w:tcW w:w="5796" w:type="dxa"/>
            <w:vAlign w:val="top"/>
          </w:tcPr>
          <w:p>
            <w:pPr>
              <w:pStyle w:val="1297"/>
              <w:pBdr/>
              <w:spacing/>
              <w:ind/>
              <w:rPr/>
            </w:pPr>
            <w:r>
              <w:t xml:space="preserve">Must the Ultimate Be One?</w:t>
            </w:r>
            <w:r/>
          </w:p>
        </w:tc>
        <w:tc>
          <w:tcPr>
            <w:shd w:val="clear" w:color="auto" w:fill="f7f9fa"/>
            <w:tcBorders/>
            <w:tcMar>
              <w:left w:w="70" w:type="dxa"/>
              <w:top w:w="60" w:type="dxa"/>
              <w:right w:w="70" w:type="dxa"/>
              <w:bottom w:w="60" w:type="dxa"/>
            </w:tcMar>
            <w:tcW w:w="6711" w:type="dxa"/>
            <w:vAlign w:val="top"/>
          </w:tcPr>
          <w:p>
            <w:pPr>
              <w:pStyle w:val="1297"/>
              <w:pBdr/>
              <w:spacing/>
              <w:ind/>
              <w:rPr/>
            </w:pPr>
            <w:r>
              <w:t xml:space="preserve">D1 D2 D5 D10.</w:t>
            </w:r>
            <w:r/>
          </w:p>
        </w:tc>
        <w:tc>
          <w:tcPr>
            <w:shd w:val="clear" w:color="auto" w:fill="f7f9fa"/>
            <w:tcBorders/>
            <w:tcMar>
              <w:left w:w="70" w:type="dxa"/>
              <w:top w:w="60" w:type="dxa"/>
              <w:right w:w="70" w:type="dxa"/>
              <w:bottom w:w="60" w:type="dxa"/>
            </w:tcMar>
            <w:tcW w:w="1983" w:type="dxa"/>
            <w:vAlign w:val="top"/>
          </w:tcPr>
          <w:p>
            <w:pPr>
              <w:pStyle w:val="1297"/>
              <w:pBdr/>
              <w:spacing/>
              <w:ind/>
              <w:rPr/>
            </w:pPr>
            <w:r>
              <w:t xml:space="preserve">Main</w:t>
            </w:r>
            <w:r/>
          </w:p>
        </w:tc>
      </w:tr>
      <w:tr>
        <w:trPr>
          <w:cantSplit/>
        </w:trPr>
        <w:tc>
          <w:tcPr>
            <w:tcBorders/>
            <w:tcMar>
              <w:left w:w="70" w:type="dxa"/>
              <w:top w:w="60" w:type="dxa"/>
              <w:right w:w="70" w:type="dxa"/>
              <w:bottom w:w="60" w:type="dxa"/>
            </w:tcMar>
            <w:tcW w:w="762" w:type="dxa"/>
            <w:vAlign w:val="top"/>
          </w:tcPr>
          <w:p>
            <w:pPr>
              <w:pStyle w:val="1297"/>
              <w:pBdr/>
              <w:spacing/>
              <w:ind/>
              <w:rPr/>
            </w:pPr>
            <w:r>
              <w:t xml:space="preserve">5</w:t>
            </w:r>
            <w:r/>
          </w:p>
        </w:tc>
        <w:tc>
          <w:tcPr>
            <w:tcBorders/>
            <w:tcMar>
              <w:left w:w="70" w:type="dxa"/>
              <w:top w:w="60" w:type="dxa"/>
              <w:right w:w="70" w:type="dxa"/>
              <w:bottom w:w="60" w:type="dxa"/>
            </w:tcMar>
            <w:tcW w:w="5796" w:type="dxa"/>
            <w:vAlign w:val="top"/>
          </w:tcPr>
          <w:p>
            <w:pPr>
              <w:pStyle w:val="1297"/>
              <w:pBdr/>
              <w:spacing/>
              <w:ind/>
              <w:rPr/>
            </w:pPr>
            <w:r>
              <w:t xml:space="preserve">How Does a World Arise?</w:t>
            </w:r>
            <w:r/>
          </w:p>
        </w:tc>
        <w:tc>
          <w:tcPr>
            <w:tcBorders/>
            <w:tcMar>
              <w:left w:w="70" w:type="dxa"/>
              <w:top w:w="60" w:type="dxa"/>
              <w:right w:w="70" w:type="dxa"/>
              <w:bottom w:w="60" w:type="dxa"/>
            </w:tcMar>
            <w:tcW w:w="6711" w:type="dxa"/>
            <w:vAlign w:val="top"/>
          </w:tcPr>
          <w:p>
            <w:pPr>
              <w:pStyle w:val="1297"/>
              <w:pBdr/>
              <w:spacing/>
              <w:ind/>
              <w:rPr/>
            </w:pPr>
            <w:r>
              <w:t xml:space="preserve">D2 D10; linked D1 D15.</w:t>
            </w:r>
            <w:r/>
          </w:p>
        </w:tc>
        <w:tc>
          <w:tcPr>
            <w:tcBorders/>
            <w:tcMar>
              <w:left w:w="70" w:type="dxa"/>
              <w:top w:w="60" w:type="dxa"/>
              <w:right w:w="70" w:type="dxa"/>
              <w:bottom w:w="60" w:type="dxa"/>
            </w:tcMar>
            <w:tcW w:w="1983" w:type="dxa"/>
            <w:vAlign w:val="top"/>
          </w:tcPr>
          <w:p>
            <w:pPr>
              <w:pStyle w:val="1297"/>
              <w:pBdr/>
              <w:spacing/>
              <w:ind/>
              <w:rPr/>
            </w:pPr>
            <w:r>
              <w:t xml:space="preserve">Main</w:t>
            </w:r>
            <w:r/>
          </w:p>
        </w:tc>
      </w:tr>
      <w:tr>
        <w:trPr>
          <w:cantSplit/>
        </w:trPr>
        <w:tc>
          <w:tcPr>
            <w:shd w:val="clear" w:color="auto" w:fill="f7f9fa"/>
            <w:tcBorders/>
            <w:tcMar>
              <w:left w:w="70" w:type="dxa"/>
              <w:top w:w="60" w:type="dxa"/>
              <w:right w:w="70" w:type="dxa"/>
              <w:bottom w:w="60" w:type="dxa"/>
            </w:tcMar>
            <w:tcW w:w="762" w:type="dxa"/>
            <w:vAlign w:val="top"/>
          </w:tcPr>
          <w:p>
            <w:pPr>
              <w:pStyle w:val="1297"/>
              <w:pBdr/>
              <w:spacing/>
              <w:ind/>
              <w:rPr/>
            </w:pPr>
            <w:r>
              <w:t xml:space="preserve">6</w:t>
            </w:r>
            <w:r/>
          </w:p>
        </w:tc>
        <w:tc>
          <w:tcPr>
            <w:shd w:val="clear" w:color="auto" w:fill="f7f9fa"/>
            <w:tcBorders/>
            <w:tcMar>
              <w:left w:w="70" w:type="dxa"/>
              <w:top w:w="60" w:type="dxa"/>
              <w:right w:w="70" w:type="dxa"/>
              <w:bottom w:w="60" w:type="dxa"/>
            </w:tcMar>
            <w:tcW w:w="5796" w:type="dxa"/>
            <w:vAlign w:val="top"/>
          </w:tcPr>
          <w:p>
            <w:pPr>
              <w:pStyle w:val="1297"/>
              <w:pBdr/>
              <w:spacing/>
              <w:ind/>
              <w:rPr/>
            </w:pPr>
            <w:r>
              <w:t xml:space="preserve">What Kind of World Is This?</w:t>
            </w:r>
            <w:r/>
          </w:p>
        </w:tc>
        <w:tc>
          <w:tcPr>
            <w:shd w:val="clear" w:color="auto" w:fill="f7f9fa"/>
            <w:tcBorders/>
            <w:tcMar>
              <w:left w:w="70" w:type="dxa"/>
              <w:top w:w="60" w:type="dxa"/>
              <w:right w:w="70" w:type="dxa"/>
              <w:bottom w:w="60" w:type="dxa"/>
            </w:tcMar>
            <w:tcW w:w="6711" w:type="dxa"/>
            <w:vAlign w:val="top"/>
          </w:tcPr>
          <w:p>
            <w:pPr>
              <w:pStyle w:val="1297"/>
              <w:pBdr/>
              <w:spacing/>
              <w:ind/>
              <w:rPr/>
            </w:pPr>
            <w:r>
              <w:t xml:space="preserve">D3 D8 D15; linked D2 D14.</w:t>
            </w:r>
            <w:r/>
          </w:p>
        </w:tc>
        <w:tc>
          <w:tcPr>
            <w:shd w:val="clear" w:color="auto" w:fill="f7f9fa"/>
            <w:tcBorders/>
            <w:tcMar>
              <w:left w:w="70" w:type="dxa"/>
              <w:top w:w="60" w:type="dxa"/>
              <w:right w:w="70" w:type="dxa"/>
              <w:bottom w:w="60" w:type="dxa"/>
            </w:tcMar>
            <w:tcW w:w="1983" w:type="dxa"/>
            <w:vAlign w:val="top"/>
          </w:tcPr>
          <w:p>
            <w:pPr>
              <w:pStyle w:val="1297"/>
              <w:pBdr/>
              <w:spacing/>
              <w:ind/>
              <w:rPr/>
            </w:pPr>
            <w:r>
              <w:t xml:space="preserve">Main</w:t>
            </w:r>
            <w:r/>
          </w:p>
        </w:tc>
      </w:tr>
      <w:tr>
        <w:trPr>
          <w:cantSplit/>
        </w:trPr>
        <w:tc>
          <w:tcPr>
            <w:tcBorders/>
            <w:tcMar>
              <w:left w:w="70" w:type="dxa"/>
              <w:top w:w="60" w:type="dxa"/>
              <w:right w:w="70" w:type="dxa"/>
              <w:bottom w:w="60" w:type="dxa"/>
            </w:tcMar>
            <w:tcW w:w="762" w:type="dxa"/>
            <w:vAlign w:val="top"/>
          </w:tcPr>
          <w:p>
            <w:pPr>
              <w:pStyle w:val="1297"/>
              <w:pBdr/>
              <w:spacing/>
              <w:ind/>
              <w:rPr/>
            </w:pPr>
            <w:r>
              <w:t xml:space="preserve">7</w:t>
            </w:r>
            <w:r/>
          </w:p>
        </w:tc>
        <w:tc>
          <w:tcPr>
            <w:tcBorders/>
            <w:tcMar>
              <w:left w:w="70" w:type="dxa"/>
              <w:top w:w="60" w:type="dxa"/>
              <w:right w:w="70" w:type="dxa"/>
              <w:bottom w:w="60" w:type="dxa"/>
            </w:tcMar>
            <w:tcW w:w="5796" w:type="dxa"/>
            <w:vAlign w:val="top"/>
          </w:tcPr>
          <w:p>
            <w:pPr>
              <w:pStyle w:val="1297"/>
              <w:pBdr/>
              <w:spacing/>
              <w:ind/>
              <w:rPr/>
            </w:pPr>
            <w:r>
              <w:t xml:space="preserve">What Is Consciousness Made Of—or Is It Made at All?</w:t>
            </w:r>
            <w:r/>
          </w:p>
        </w:tc>
        <w:tc>
          <w:tcPr>
            <w:tcBorders/>
            <w:tcMar>
              <w:left w:w="70" w:type="dxa"/>
              <w:top w:w="60" w:type="dxa"/>
              <w:right w:w="70" w:type="dxa"/>
              <w:bottom w:w="60" w:type="dxa"/>
            </w:tcMar>
            <w:tcW w:w="6711" w:type="dxa"/>
            <w:vAlign w:val="top"/>
          </w:tcPr>
          <w:p>
            <w:pPr>
              <w:pStyle w:val="1297"/>
              <w:pBdr/>
              <w:spacing/>
              <w:ind/>
              <w:rPr/>
            </w:pPr>
            <w:r>
              <w:t xml:space="preserve">D5 D1 D10.</w:t>
            </w:r>
            <w:r/>
          </w:p>
        </w:tc>
        <w:tc>
          <w:tcPr>
            <w:tcBorders/>
            <w:tcMar>
              <w:left w:w="70" w:type="dxa"/>
              <w:top w:w="60" w:type="dxa"/>
              <w:right w:w="70" w:type="dxa"/>
              <w:bottom w:w="60" w:type="dxa"/>
            </w:tcMar>
            <w:tcW w:w="1983" w:type="dxa"/>
            <w:vAlign w:val="top"/>
          </w:tcPr>
          <w:p>
            <w:pPr>
              <w:pStyle w:val="1297"/>
              <w:pBdr/>
              <w:spacing/>
              <w:ind/>
              <w:rPr/>
            </w:pPr>
            <w:r>
              <w:t xml:space="preserve">Main</w:t>
            </w:r>
            <w:r/>
          </w:p>
        </w:tc>
      </w:tr>
      <w:tr>
        <w:trPr>
          <w:cantSplit/>
        </w:trPr>
        <w:tc>
          <w:tcPr>
            <w:shd w:val="clear" w:color="auto" w:fill="f7f9fa"/>
            <w:tcBorders/>
            <w:tcMar>
              <w:left w:w="70" w:type="dxa"/>
              <w:top w:w="60" w:type="dxa"/>
              <w:right w:w="70" w:type="dxa"/>
              <w:bottom w:w="60" w:type="dxa"/>
            </w:tcMar>
            <w:tcW w:w="762" w:type="dxa"/>
            <w:vAlign w:val="top"/>
          </w:tcPr>
          <w:p>
            <w:pPr>
              <w:pStyle w:val="1297"/>
              <w:pBdr/>
              <w:spacing/>
              <w:ind/>
              <w:rPr/>
            </w:pPr>
            <w:r>
              <w:t xml:space="preserve">8</w:t>
            </w:r>
            <w:r/>
          </w:p>
        </w:tc>
        <w:tc>
          <w:tcPr>
            <w:shd w:val="clear" w:color="auto" w:fill="f7f9fa"/>
            <w:tcBorders/>
            <w:tcMar>
              <w:left w:w="70" w:type="dxa"/>
              <w:top w:w="60" w:type="dxa"/>
              <w:right w:w="70" w:type="dxa"/>
              <w:bottom w:w="60" w:type="dxa"/>
            </w:tcMar>
            <w:tcW w:w="5796" w:type="dxa"/>
            <w:vAlign w:val="top"/>
          </w:tcPr>
          <w:p>
            <w:pPr>
              <w:pStyle w:val="1297"/>
              <w:pBdr/>
              <w:spacing/>
              <w:ind/>
              <w:rPr/>
            </w:pPr>
            <w:r>
              <w:t xml:space="preserve">Is Consciousness a Self?</w:t>
            </w:r>
            <w:r/>
          </w:p>
        </w:tc>
        <w:tc>
          <w:tcPr>
            <w:shd w:val="clear" w:color="auto" w:fill="f7f9fa"/>
            <w:tcBorders/>
            <w:tcMar>
              <w:left w:w="70" w:type="dxa"/>
              <w:top w:w="60" w:type="dxa"/>
              <w:right w:w="70" w:type="dxa"/>
              <w:bottom w:w="60" w:type="dxa"/>
            </w:tcMar>
            <w:tcW w:w="6711" w:type="dxa"/>
            <w:vAlign w:val="top"/>
          </w:tcPr>
          <w:p>
            <w:pPr>
              <w:pStyle w:val="1297"/>
              <w:pBdr/>
              <w:spacing/>
              <w:ind/>
              <w:rPr/>
            </w:pPr>
            <w:r>
              <w:t xml:space="preserve">D5 D6 D4.</w:t>
            </w:r>
            <w:r/>
          </w:p>
        </w:tc>
        <w:tc>
          <w:tcPr>
            <w:shd w:val="clear" w:color="auto" w:fill="f7f9fa"/>
            <w:tcBorders/>
            <w:tcMar>
              <w:left w:w="70" w:type="dxa"/>
              <w:top w:w="60" w:type="dxa"/>
              <w:right w:w="70" w:type="dxa"/>
              <w:bottom w:w="60" w:type="dxa"/>
            </w:tcMar>
            <w:tcW w:w="1983" w:type="dxa"/>
            <w:vAlign w:val="top"/>
          </w:tcPr>
          <w:p>
            <w:pPr>
              <w:pStyle w:val="1297"/>
              <w:pBdr/>
              <w:spacing/>
              <w:ind/>
              <w:rPr/>
            </w:pPr>
            <w:r>
              <w:t xml:space="preserve">Main</w:t>
            </w:r>
            <w:r/>
          </w:p>
        </w:tc>
      </w:tr>
      <w:tr>
        <w:trPr>
          <w:cantSplit/>
        </w:trPr>
        <w:tc>
          <w:tcPr>
            <w:tcBorders/>
            <w:tcMar>
              <w:left w:w="70" w:type="dxa"/>
              <w:top w:w="60" w:type="dxa"/>
              <w:right w:w="70" w:type="dxa"/>
              <w:bottom w:w="60" w:type="dxa"/>
            </w:tcMar>
            <w:tcW w:w="762" w:type="dxa"/>
            <w:vAlign w:val="top"/>
          </w:tcPr>
          <w:p>
            <w:pPr>
              <w:pStyle w:val="1297"/>
              <w:pBdr/>
              <w:spacing/>
              <w:ind/>
              <w:rPr/>
            </w:pPr>
            <w:r>
              <w:t xml:space="preserve">9</w:t>
            </w:r>
            <w:r/>
          </w:p>
        </w:tc>
        <w:tc>
          <w:tcPr>
            <w:tcBorders/>
            <w:tcMar>
              <w:left w:w="70" w:type="dxa"/>
              <w:top w:w="60" w:type="dxa"/>
              <w:right w:w="70" w:type="dxa"/>
              <w:bottom w:w="60" w:type="dxa"/>
            </w:tcMar>
            <w:tcW w:w="5796" w:type="dxa"/>
            <w:vAlign w:val="top"/>
          </w:tcPr>
          <w:p>
            <w:pPr>
              <w:pStyle w:val="1297"/>
              <w:pBdr/>
              <w:spacing/>
              <w:ind/>
              <w:rPr/>
            </w:pPr>
            <w:r>
              <w:t xml:space="preserve">What Makes a Person Persist?</w:t>
            </w:r>
            <w:r/>
          </w:p>
        </w:tc>
        <w:tc>
          <w:tcPr>
            <w:tcBorders/>
            <w:tcMar>
              <w:left w:w="70" w:type="dxa"/>
              <w:top w:w="60" w:type="dxa"/>
              <w:right w:w="70" w:type="dxa"/>
              <w:bottom w:w="60" w:type="dxa"/>
            </w:tcMar>
            <w:tcW w:w="6711" w:type="dxa"/>
            <w:vAlign w:val="top"/>
          </w:tcPr>
          <w:p>
            <w:pPr>
              <w:pStyle w:val="1297"/>
              <w:pBdr/>
              <w:spacing/>
              <w:ind/>
              <w:rPr/>
            </w:pPr>
            <w:r>
              <w:t xml:space="preserve">D4 D6 D13.</w:t>
            </w:r>
            <w:r/>
          </w:p>
        </w:tc>
        <w:tc>
          <w:tcPr>
            <w:tcBorders/>
            <w:tcMar>
              <w:left w:w="70" w:type="dxa"/>
              <w:top w:w="60" w:type="dxa"/>
              <w:right w:w="70" w:type="dxa"/>
              <w:bottom w:w="60" w:type="dxa"/>
            </w:tcMar>
            <w:tcW w:w="1983" w:type="dxa"/>
            <w:vAlign w:val="top"/>
          </w:tcPr>
          <w:p>
            <w:pPr>
              <w:pStyle w:val="1297"/>
              <w:pBdr/>
              <w:spacing/>
              <w:ind/>
              <w:rPr/>
            </w:pPr>
            <w:r>
              <w:t xml:space="preserve">Main</w:t>
            </w:r>
            <w:r/>
          </w:p>
        </w:tc>
      </w:tr>
      <w:tr>
        <w:trPr>
          <w:cantSplit/>
        </w:trPr>
        <w:tc>
          <w:tcPr>
            <w:shd w:val="clear" w:color="auto" w:fill="f7f9fa"/>
            <w:tcBorders/>
            <w:tcMar>
              <w:left w:w="70" w:type="dxa"/>
              <w:top w:w="60" w:type="dxa"/>
              <w:right w:w="70" w:type="dxa"/>
              <w:bottom w:w="60" w:type="dxa"/>
            </w:tcMar>
            <w:tcW w:w="762" w:type="dxa"/>
            <w:vAlign w:val="top"/>
          </w:tcPr>
          <w:p>
            <w:pPr>
              <w:pStyle w:val="1297"/>
              <w:pBdr/>
              <w:spacing/>
              <w:ind/>
              <w:rPr/>
            </w:pPr>
            <w:r>
              <w:t xml:space="preserve">10</w:t>
            </w:r>
            <w:r/>
          </w:p>
        </w:tc>
        <w:tc>
          <w:tcPr>
            <w:shd w:val="clear" w:color="auto" w:fill="f7f9fa"/>
            <w:tcBorders/>
            <w:tcMar>
              <w:left w:w="70" w:type="dxa"/>
              <w:top w:w="60" w:type="dxa"/>
              <w:right w:w="70" w:type="dxa"/>
              <w:bottom w:w="60" w:type="dxa"/>
            </w:tcMar>
            <w:tcW w:w="5796" w:type="dxa"/>
            <w:vAlign w:val="top"/>
          </w:tcPr>
          <w:p>
            <w:pPr>
              <w:pStyle w:val="1297"/>
              <w:pBdr/>
              <w:spacing/>
              <w:ind/>
              <w:rPr/>
            </w:pPr>
            <w:r>
              <w:t xml:space="preserve">Who or What Can Be a Subject?</w:t>
            </w:r>
            <w:r/>
          </w:p>
        </w:tc>
        <w:tc>
          <w:tcPr>
            <w:shd w:val="clear" w:color="auto" w:fill="f7f9fa"/>
            <w:tcBorders/>
            <w:tcMar>
              <w:left w:w="70" w:type="dxa"/>
              <w:top w:w="60" w:type="dxa"/>
              <w:right w:w="70" w:type="dxa"/>
              <w:bottom w:w="60" w:type="dxa"/>
            </w:tcMar>
            <w:tcW w:w="6711" w:type="dxa"/>
            <w:vAlign w:val="top"/>
          </w:tcPr>
          <w:p>
            <w:pPr>
              <w:pStyle w:val="1297"/>
              <w:pBdr/>
              <w:spacing/>
              <w:ind/>
              <w:rPr/>
            </w:pPr>
            <w:r>
              <w:t xml:space="preserve">D3 D6 D8 D11 D15.</w:t>
            </w:r>
            <w:r/>
          </w:p>
        </w:tc>
        <w:tc>
          <w:tcPr>
            <w:shd w:val="clear" w:color="auto" w:fill="f7f9fa"/>
            <w:tcBorders/>
            <w:tcMar>
              <w:left w:w="70" w:type="dxa"/>
              <w:top w:w="60" w:type="dxa"/>
              <w:right w:w="70" w:type="dxa"/>
              <w:bottom w:w="60" w:type="dxa"/>
            </w:tcMar>
            <w:tcW w:w="1983" w:type="dxa"/>
            <w:vAlign w:val="top"/>
          </w:tcPr>
          <w:p>
            <w:pPr>
              <w:pStyle w:val="1297"/>
              <w:pBdr/>
              <w:spacing/>
              <w:ind/>
              <w:rPr/>
            </w:pPr>
            <w:r>
              <w:t xml:space="preserve">Main</w:t>
            </w:r>
            <w:r/>
          </w:p>
        </w:tc>
      </w:tr>
      <w:tr>
        <w:trPr>
          <w:cantSplit/>
        </w:trPr>
        <w:tc>
          <w:tcPr>
            <w:tcBorders/>
            <w:tcMar>
              <w:left w:w="70" w:type="dxa"/>
              <w:top w:w="60" w:type="dxa"/>
              <w:right w:w="70" w:type="dxa"/>
              <w:bottom w:w="60" w:type="dxa"/>
            </w:tcMar>
            <w:tcW w:w="762" w:type="dxa"/>
            <w:vAlign w:val="top"/>
          </w:tcPr>
          <w:p>
            <w:pPr>
              <w:pStyle w:val="1297"/>
              <w:pBdr/>
              <w:spacing/>
              <w:ind/>
              <w:rPr/>
            </w:pPr>
            <w:r>
              <w:t xml:space="preserve">11</w:t>
            </w:r>
            <w:r/>
          </w:p>
        </w:tc>
        <w:tc>
          <w:tcPr>
            <w:tcBorders/>
            <w:tcMar>
              <w:left w:w="70" w:type="dxa"/>
              <w:top w:w="60" w:type="dxa"/>
              <w:right w:w="70" w:type="dxa"/>
              <w:bottom w:w="60" w:type="dxa"/>
            </w:tcMar>
            <w:tcW w:w="5796" w:type="dxa"/>
            <w:vAlign w:val="top"/>
          </w:tcPr>
          <w:p>
            <w:pPr>
              <w:pStyle w:val="1297"/>
              <w:pBdr/>
              <w:spacing/>
              <w:ind/>
              <w:rPr/>
            </w:pPr>
            <w:r>
              <w:t xml:space="preserve">What Counts as Knowing?</w:t>
            </w:r>
            <w:r/>
          </w:p>
        </w:tc>
        <w:tc>
          <w:tcPr>
            <w:tcBorders/>
            <w:tcMar>
              <w:left w:w="70" w:type="dxa"/>
              <w:top w:w="60" w:type="dxa"/>
              <w:right w:w="70" w:type="dxa"/>
              <w:bottom w:w="60" w:type="dxa"/>
            </w:tcMar>
            <w:tcW w:w="6711" w:type="dxa"/>
            <w:vAlign w:val="top"/>
          </w:tcPr>
          <w:p>
            <w:pPr>
              <w:pStyle w:val="1297"/>
              <w:pBdr/>
              <w:spacing/>
              <w:ind/>
              <w:rPr/>
            </w:pPr>
            <w:r>
              <w:t xml:space="preserve">D7; linked D9 and D12; D5/D6 only where source-relevant.</w:t>
            </w:r>
            <w:r/>
          </w:p>
        </w:tc>
        <w:tc>
          <w:tcPr>
            <w:tcBorders/>
            <w:tcMar>
              <w:left w:w="70" w:type="dxa"/>
              <w:top w:w="60" w:type="dxa"/>
              <w:right w:w="70" w:type="dxa"/>
              <w:bottom w:w="60" w:type="dxa"/>
            </w:tcMar>
            <w:tcW w:w="1983" w:type="dxa"/>
            <w:vAlign w:val="top"/>
          </w:tcPr>
          <w:p>
            <w:pPr>
              <w:pStyle w:val="1297"/>
              <w:pBdr/>
              <w:spacing/>
              <w:ind/>
              <w:rPr/>
            </w:pPr>
            <w:r>
              <w:t xml:space="preserve">Main</w:t>
            </w:r>
            <w:r/>
          </w:p>
        </w:tc>
      </w:tr>
      <w:tr>
        <w:trPr>
          <w:cantSplit/>
        </w:trPr>
        <w:tc>
          <w:tcPr>
            <w:shd w:val="clear" w:color="auto" w:fill="f7f9fa"/>
            <w:tcBorders/>
            <w:tcMar>
              <w:left w:w="70" w:type="dxa"/>
              <w:top w:w="60" w:type="dxa"/>
              <w:right w:w="70" w:type="dxa"/>
              <w:bottom w:w="60" w:type="dxa"/>
            </w:tcMar>
            <w:tcW w:w="762" w:type="dxa"/>
            <w:vAlign w:val="top"/>
          </w:tcPr>
          <w:p>
            <w:pPr>
              <w:pStyle w:val="1297"/>
              <w:pBdr/>
              <w:spacing/>
              <w:ind/>
              <w:rPr/>
            </w:pPr>
            <w:r>
              <w:t xml:space="preserve">12</w:t>
            </w:r>
            <w:r/>
          </w:p>
        </w:tc>
        <w:tc>
          <w:tcPr>
            <w:shd w:val="clear" w:color="auto" w:fill="f7f9fa"/>
            <w:tcBorders/>
            <w:tcMar>
              <w:left w:w="70" w:type="dxa"/>
              <w:top w:w="60" w:type="dxa"/>
              <w:right w:w="70" w:type="dxa"/>
              <w:bottom w:w="60" w:type="dxa"/>
            </w:tcMar>
            <w:tcW w:w="5796" w:type="dxa"/>
            <w:vAlign w:val="top"/>
          </w:tcPr>
          <w:p>
            <w:pPr>
              <w:pStyle w:val="1297"/>
              <w:pBdr/>
              <w:spacing/>
              <w:ind/>
              <w:rPr/>
            </w:pPr>
            <w:r>
              <w:t xml:space="preserve">What Goes Wrong with Us?</w:t>
            </w:r>
            <w:r/>
          </w:p>
        </w:tc>
        <w:tc>
          <w:tcPr>
            <w:shd w:val="clear" w:color="auto" w:fill="f7f9fa"/>
            <w:tcBorders/>
            <w:tcMar>
              <w:left w:w="70" w:type="dxa"/>
              <w:top w:w="60" w:type="dxa"/>
              <w:right w:w="70" w:type="dxa"/>
              <w:bottom w:w="60" w:type="dxa"/>
            </w:tcMar>
            <w:tcW w:w="6711" w:type="dxa"/>
            <w:vAlign w:val="top"/>
          </w:tcPr>
          <w:p>
            <w:pPr>
              <w:pStyle w:val="1297"/>
              <w:pBdr/>
              <w:spacing/>
              <w:ind/>
              <w:rPr/>
            </w:pPr>
            <w:r>
              <w:t xml:space="preserve">D9 D7 D8.</w:t>
            </w:r>
            <w:r/>
          </w:p>
        </w:tc>
        <w:tc>
          <w:tcPr>
            <w:shd w:val="clear" w:color="auto" w:fill="f7f9fa"/>
            <w:tcBorders/>
            <w:tcMar>
              <w:left w:w="70" w:type="dxa"/>
              <w:top w:w="60" w:type="dxa"/>
              <w:right w:w="70" w:type="dxa"/>
              <w:bottom w:w="60" w:type="dxa"/>
            </w:tcMar>
            <w:tcW w:w="1983" w:type="dxa"/>
            <w:vAlign w:val="top"/>
          </w:tcPr>
          <w:p>
            <w:pPr>
              <w:pStyle w:val="1297"/>
              <w:pBdr/>
              <w:spacing/>
              <w:ind/>
              <w:rPr/>
            </w:pPr>
            <w:r>
              <w:t xml:space="preserve">Main</w:t>
            </w:r>
            <w:r/>
          </w:p>
        </w:tc>
      </w:tr>
      <w:tr>
        <w:trPr>
          <w:cantSplit/>
        </w:trPr>
        <w:tc>
          <w:tcPr>
            <w:tcBorders/>
            <w:tcMar>
              <w:left w:w="70" w:type="dxa"/>
              <w:top w:w="60" w:type="dxa"/>
              <w:right w:w="70" w:type="dxa"/>
              <w:bottom w:w="60" w:type="dxa"/>
            </w:tcMar>
            <w:tcW w:w="762" w:type="dxa"/>
            <w:vAlign w:val="top"/>
          </w:tcPr>
          <w:p>
            <w:pPr>
              <w:pStyle w:val="1297"/>
              <w:pBdr/>
              <w:spacing/>
              <w:ind/>
              <w:rPr/>
            </w:pPr>
            <w:r>
              <w:t xml:space="preserve">13</w:t>
            </w:r>
            <w:r/>
          </w:p>
        </w:tc>
        <w:tc>
          <w:tcPr>
            <w:tcBorders/>
            <w:tcMar>
              <w:left w:w="70" w:type="dxa"/>
              <w:top w:w="60" w:type="dxa"/>
              <w:right w:w="70" w:type="dxa"/>
              <w:bottom w:w="60" w:type="dxa"/>
            </w:tcMar>
            <w:tcW w:w="5796" w:type="dxa"/>
            <w:vAlign w:val="top"/>
          </w:tcPr>
          <w:p>
            <w:pPr>
              <w:pStyle w:val="1297"/>
              <w:pBdr/>
              <w:spacing/>
              <w:ind/>
              <w:rPr/>
            </w:pPr>
            <w:r>
              <w:t xml:space="preserve">Can Knowing Change Being?</w:t>
            </w:r>
            <w:r/>
          </w:p>
        </w:tc>
        <w:tc>
          <w:tcPr>
            <w:tcBorders/>
            <w:tcMar>
              <w:left w:w="70" w:type="dxa"/>
              <w:top w:w="60" w:type="dxa"/>
              <w:right w:w="70" w:type="dxa"/>
              <w:bottom w:w="60" w:type="dxa"/>
            </w:tcMar>
            <w:tcW w:w="6711" w:type="dxa"/>
            <w:vAlign w:val="top"/>
          </w:tcPr>
          <w:p>
            <w:pPr>
              <w:pStyle w:val="1297"/>
              <w:pBdr/>
              <w:spacing/>
              <w:ind/>
              <w:rPr/>
            </w:pPr>
            <w:r>
              <w:t xml:space="preserve">D12 D7 D9 D14; D5/D6 only where source-relevant.</w:t>
            </w:r>
            <w:r/>
          </w:p>
        </w:tc>
        <w:tc>
          <w:tcPr>
            <w:tcBorders/>
            <w:tcMar>
              <w:left w:w="70" w:type="dxa"/>
              <w:top w:w="60" w:type="dxa"/>
              <w:right w:w="70" w:type="dxa"/>
              <w:bottom w:w="60" w:type="dxa"/>
            </w:tcMar>
            <w:tcW w:w="1983" w:type="dxa"/>
            <w:vAlign w:val="top"/>
          </w:tcPr>
          <w:p>
            <w:pPr>
              <w:pStyle w:val="1297"/>
              <w:pBdr/>
              <w:spacing/>
              <w:ind/>
              <w:rPr/>
            </w:pPr>
            <w:r>
              <w:t xml:space="preserve">Main</w:t>
            </w:r>
            <w:r/>
          </w:p>
        </w:tc>
      </w:tr>
      <w:tr>
        <w:trPr>
          <w:cantSplit/>
        </w:trPr>
        <w:tc>
          <w:tcPr>
            <w:shd w:val="clear" w:color="auto" w:fill="f7f9fa"/>
            <w:tcBorders/>
            <w:tcMar>
              <w:left w:w="70" w:type="dxa"/>
              <w:top w:w="60" w:type="dxa"/>
              <w:right w:w="70" w:type="dxa"/>
              <w:bottom w:w="60" w:type="dxa"/>
            </w:tcMar>
            <w:tcW w:w="762" w:type="dxa"/>
            <w:vAlign w:val="top"/>
          </w:tcPr>
          <w:p>
            <w:pPr>
              <w:pStyle w:val="1297"/>
              <w:pBdr/>
              <w:spacing/>
              <w:ind/>
              <w:rPr/>
            </w:pPr>
            <w:r>
              <w:t xml:space="preserve">14</w:t>
            </w:r>
            <w:r/>
          </w:p>
        </w:tc>
        <w:tc>
          <w:tcPr>
            <w:shd w:val="clear" w:color="auto" w:fill="f7f9fa"/>
            <w:tcBorders/>
            <w:tcMar>
              <w:left w:w="70" w:type="dxa"/>
              <w:top w:w="60" w:type="dxa"/>
              <w:right w:w="70" w:type="dxa"/>
              <w:bottom w:w="60" w:type="dxa"/>
            </w:tcMar>
            <w:tcW w:w="5796" w:type="dxa"/>
            <w:vAlign w:val="top"/>
          </w:tcPr>
          <w:p>
            <w:pPr>
              <w:pStyle w:val="1297"/>
              <w:pBdr/>
              <w:spacing/>
              <w:ind/>
              <w:rPr/>
            </w:pPr>
            <w:r>
              <w:t xml:space="preserve">Is Everything Already Ordered?</w:t>
            </w:r>
            <w:r/>
          </w:p>
        </w:tc>
        <w:tc>
          <w:tcPr>
            <w:shd w:val="clear" w:color="auto" w:fill="f7f9fa"/>
            <w:tcBorders/>
            <w:tcMar>
              <w:left w:w="70" w:type="dxa"/>
              <w:top w:w="60" w:type="dxa"/>
              <w:right w:w="70" w:type="dxa"/>
              <w:bottom w:w="60" w:type="dxa"/>
            </w:tcMar>
            <w:tcW w:w="6711" w:type="dxa"/>
            <w:vAlign w:val="top"/>
          </w:tcPr>
          <w:p>
            <w:pPr>
              <w:pStyle w:val="1297"/>
              <w:pBdr/>
              <w:spacing/>
              <w:ind/>
              <w:rPr/>
            </w:pPr>
            <w:r>
              <w:t xml:space="preserve">D10; linked D2 D11.</w:t>
            </w:r>
            <w:r/>
          </w:p>
        </w:tc>
        <w:tc>
          <w:tcPr>
            <w:shd w:val="clear" w:color="auto" w:fill="f7f9fa"/>
            <w:tcBorders/>
            <w:tcMar>
              <w:left w:w="70" w:type="dxa"/>
              <w:top w:w="60" w:type="dxa"/>
              <w:right w:w="70" w:type="dxa"/>
              <w:bottom w:w="60" w:type="dxa"/>
            </w:tcMar>
            <w:tcW w:w="1983" w:type="dxa"/>
            <w:vAlign w:val="top"/>
          </w:tcPr>
          <w:p>
            <w:pPr>
              <w:pStyle w:val="1297"/>
              <w:pBdr/>
              <w:spacing/>
              <w:ind/>
              <w:rPr/>
            </w:pPr>
            <w:r>
              <w:t xml:space="preserve">Main</w:t>
            </w:r>
            <w:r/>
          </w:p>
        </w:tc>
      </w:tr>
      <w:tr>
        <w:trPr>
          <w:cantSplit/>
        </w:trPr>
        <w:tc>
          <w:tcPr>
            <w:tcBorders/>
            <w:tcMar>
              <w:left w:w="70" w:type="dxa"/>
              <w:top w:w="60" w:type="dxa"/>
              <w:right w:w="70" w:type="dxa"/>
              <w:bottom w:w="60" w:type="dxa"/>
            </w:tcMar>
            <w:tcW w:w="762" w:type="dxa"/>
            <w:vAlign w:val="top"/>
          </w:tcPr>
          <w:p>
            <w:pPr>
              <w:pStyle w:val="1297"/>
              <w:pBdr/>
              <w:spacing/>
              <w:ind/>
              <w:rPr/>
            </w:pPr>
            <w:r>
              <w:t xml:space="preserve">15</w:t>
            </w:r>
            <w:r/>
          </w:p>
        </w:tc>
        <w:tc>
          <w:tcPr>
            <w:tcBorders/>
            <w:tcMar>
              <w:left w:w="70" w:type="dxa"/>
              <w:top w:w="60" w:type="dxa"/>
              <w:right w:w="70" w:type="dxa"/>
              <w:bottom w:w="60" w:type="dxa"/>
            </w:tcMar>
            <w:tcW w:w="5796" w:type="dxa"/>
            <w:vAlign w:val="top"/>
          </w:tcPr>
          <w:p>
            <w:pPr>
              <w:pStyle w:val="1297"/>
              <w:pBdr/>
              <w:spacing/>
              <w:ind/>
              <w:rPr/>
            </w:pPr>
            <w:r>
              <w:t xml:space="preserve">What Could Freedom Mean Inside an Order?</w:t>
            </w:r>
            <w:r/>
          </w:p>
        </w:tc>
        <w:tc>
          <w:tcPr>
            <w:tcBorders/>
            <w:tcMar>
              <w:left w:w="70" w:type="dxa"/>
              <w:top w:w="60" w:type="dxa"/>
              <w:right w:w="70" w:type="dxa"/>
              <w:bottom w:w="60" w:type="dxa"/>
            </w:tcMar>
            <w:tcW w:w="6711" w:type="dxa"/>
            <w:vAlign w:val="top"/>
          </w:tcPr>
          <w:p>
            <w:pPr>
              <w:pStyle w:val="1297"/>
              <w:pBdr/>
              <w:spacing/>
              <w:ind/>
              <w:rPr/>
            </w:pPr>
            <w:r>
              <w:t xml:space="preserve">D11 D10 D8 D12.</w:t>
            </w:r>
            <w:r/>
          </w:p>
        </w:tc>
        <w:tc>
          <w:tcPr>
            <w:tcBorders/>
            <w:tcMar>
              <w:left w:w="70" w:type="dxa"/>
              <w:top w:w="60" w:type="dxa"/>
              <w:right w:w="70" w:type="dxa"/>
              <w:bottom w:w="60" w:type="dxa"/>
            </w:tcMar>
            <w:tcW w:w="1983" w:type="dxa"/>
            <w:vAlign w:val="top"/>
          </w:tcPr>
          <w:p>
            <w:pPr>
              <w:pStyle w:val="1297"/>
              <w:pBdr/>
              <w:spacing/>
              <w:ind/>
              <w:rPr/>
            </w:pPr>
            <w:r>
              <w:t xml:space="preserve">Main</w:t>
            </w:r>
            <w:r/>
          </w:p>
        </w:tc>
      </w:tr>
      <w:tr>
        <w:trPr>
          <w:cantSplit/>
        </w:trPr>
        <w:tc>
          <w:tcPr>
            <w:shd w:val="clear" w:color="auto" w:fill="f7f9fa"/>
            <w:tcBorders/>
            <w:tcMar>
              <w:left w:w="70" w:type="dxa"/>
              <w:top w:w="60" w:type="dxa"/>
              <w:right w:w="70" w:type="dxa"/>
              <w:bottom w:w="60" w:type="dxa"/>
            </w:tcMar>
            <w:tcW w:w="762" w:type="dxa"/>
            <w:vAlign w:val="top"/>
          </w:tcPr>
          <w:p>
            <w:pPr>
              <w:pStyle w:val="1297"/>
              <w:pBdr/>
              <w:spacing/>
              <w:ind/>
              <w:rPr/>
            </w:pPr>
            <w:r>
              <w:t xml:space="preserve">16</w:t>
            </w:r>
            <w:r/>
          </w:p>
        </w:tc>
        <w:tc>
          <w:tcPr>
            <w:shd w:val="clear" w:color="auto" w:fill="f7f9fa"/>
            <w:tcBorders/>
            <w:tcMar>
              <w:left w:w="70" w:type="dxa"/>
              <w:top w:w="60" w:type="dxa"/>
              <w:right w:w="70" w:type="dxa"/>
              <w:bottom w:w="60" w:type="dxa"/>
            </w:tcMar>
            <w:tcW w:w="5796" w:type="dxa"/>
            <w:vAlign w:val="top"/>
          </w:tcPr>
          <w:p>
            <w:pPr>
              <w:pStyle w:val="1297"/>
              <w:pBdr/>
              <w:spacing/>
              <w:ind/>
              <w:rPr/>
            </w:pPr>
            <w:r>
              <w:t xml:space="preserve">Leave the World, Participate in It, or Transform It?</w:t>
            </w:r>
            <w:r/>
          </w:p>
        </w:tc>
        <w:tc>
          <w:tcPr>
            <w:shd w:val="clear" w:color="auto" w:fill="f7f9fa"/>
            <w:tcBorders/>
            <w:tcMar>
              <w:left w:w="70" w:type="dxa"/>
              <w:top w:w="60" w:type="dxa"/>
              <w:right w:w="70" w:type="dxa"/>
              <w:bottom w:w="60" w:type="dxa"/>
            </w:tcMar>
            <w:tcW w:w="6711" w:type="dxa"/>
            <w:vAlign w:val="top"/>
          </w:tcPr>
          <w:p>
            <w:pPr>
              <w:pStyle w:val="1297"/>
              <w:pBdr/>
              <w:spacing/>
              <w:ind/>
              <w:rPr/>
            </w:pPr>
            <w:r>
              <w:t xml:space="preserve">D15 D8 D12 D14.</w:t>
            </w:r>
            <w:r/>
          </w:p>
        </w:tc>
        <w:tc>
          <w:tcPr>
            <w:shd w:val="clear" w:color="auto" w:fill="f7f9fa"/>
            <w:tcBorders/>
            <w:tcMar>
              <w:left w:w="70" w:type="dxa"/>
              <w:top w:w="60" w:type="dxa"/>
              <w:right w:w="70" w:type="dxa"/>
              <w:bottom w:w="60" w:type="dxa"/>
            </w:tcMar>
            <w:tcW w:w="1983" w:type="dxa"/>
            <w:vAlign w:val="top"/>
          </w:tcPr>
          <w:p>
            <w:pPr>
              <w:pStyle w:val="1297"/>
              <w:pBdr/>
              <w:spacing/>
              <w:ind/>
              <w:rPr/>
            </w:pPr>
            <w:r>
              <w:t xml:space="preserve">Main</w:t>
            </w:r>
            <w:r/>
          </w:p>
        </w:tc>
      </w:tr>
      <w:tr>
        <w:trPr>
          <w:cantSplit/>
        </w:trPr>
        <w:tc>
          <w:tcPr>
            <w:tcBorders/>
            <w:tcMar>
              <w:left w:w="70" w:type="dxa"/>
              <w:top w:w="60" w:type="dxa"/>
              <w:right w:w="70" w:type="dxa"/>
              <w:bottom w:w="60" w:type="dxa"/>
            </w:tcMar>
            <w:tcW w:w="762" w:type="dxa"/>
            <w:vAlign w:val="top"/>
          </w:tcPr>
          <w:p>
            <w:pPr>
              <w:pStyle w:val="1297"/>
              <w:pBdr/>
              <w:spacing/>
              <w:ind/>
              <w:rPr/>
            </w:pPr>
            <w:r>
              <w:t xml:space="preserve">17</w:t>
            </w:r>
            <w:r/>
          </w:p>
        </w:tc>
        <w:tc>
          <w:tcPr>
            <w:tcBorders/>
            <w:tcMar>
              <w:left w:w="70" w:type="dxa"/>
              <w:top w:w="60" w:type="dxa"/>
              <w:right w:w="70" w:type="dxa"/>
              <w:bottom w:w="60" w:type="dxa"/>
            </w:tcMar>
            <w:tcW w:w="5796" w:type="dxa"/>
            <w:vAlign w:val="top"/>
          </w:tcPr>
          <w:p>
            <w:pPr>
              <w:pStyle w:val="1297"/>
              <w:pBdr/>
              <w:spacing/>
              <w:ind/>
              <w:rPr/>
            </w:pPr>
            <w:r>
              <w:t xml:space="preserve">What, If Anything, Continues at Death?</w:t>
            </w:r>
            <w:r/>
          </w:p>
        </w:tc>
        <w:tc>
          <w:tcPr>
            <w:tcBorders/>
            <w:tcMar>
              <w:left w:w="70" w:type="dxa"/>
              <w:top w:w="60" w:type="dxa"/>
              <w:right w:w="70" w:type="dxa"/>
              <w:bottom w:w="60" w:type="dxa"/>
            </w:tcMar>
            <w:tcW w:w="6711" w:type="dxa"/>
            <w:vAlign w:val="top"/>
          </w:tcPr>
          <w:p>
            <w:pPr>
              <w:pStyle w:val="1297"/>
              <w:pBdr/>
              <w:spacing/>
              <w:ind/>
              <w:rPr/>
            </w:pPr>
            <w:r>
              <w:t xml:space="preserve">D13 D6 D14.</w:t>
            </w:r>
            <w:r/>
          </w:p>
        </w:tc>
        <w:tc>
          <w:tcPr>
            <w:tcBorders/>
            <w:tcMar>
              <w:left w:w="70" w:type="dxa"/>
              <w:top w:w="60" w:type="dxa"/>
              <w:right w:w="70" w:type="dxa"/>
              <w:bottom w:w="60" w:type="dxa"/>
            </w:tcMar>
            <w:tcW w:w="1983" w:type="dxa"/>
            <w:vAlign w:val="top"/>
          </w:tcPr>
          <w:p>
            <w:pPr>
              <w:pStyle w:val="1297"/>
              <w:pBdr/>
              <w:spacing/>
              <w:ind/>
              <w:rPr/>
            </w:pPr>
            <w:r>
              <w:t xml:space="preserve">Main</w:t>
            </w:r>
            <w:r/>
          </w:p>
        </w:tc>
      </w:tr>
      <w:tr>
        <w:trPr>
          <w:cantSplit/>
        </w:trPr>
        <w:tc>
          <w:tcPr>
            <w:shd w:val="clear" w:color="auto" w:fill="f7f9fa"/>
            <w:tcBorders/>
            <w:tcMar>
              <w:left w:w="70" w:type="dxa"/>
              <w:top w:w="60" w:type="dxa"/>
              <w:right w:w="70" w:type="dxa"/>
              <w:bottom w:w="60" w:type="dxa"/>
            </w:tcMar>
            <w:tcW w:w="762" w:type="dxa"/>
            <w:vAlign w:val="top"/>
          </w:tcPr>
          <w:p>
            <w:pPr>
              <w:pStyle w:val="1297"/>
              <w:pBdr/>
              <w:spacing/>
              <w:ind/>
              <w:rPr/>
            </w:pPr>
            <w:r>
              <w:t xml:space="preserve">18</w:t>
            </w:r>
            <w:r/>
          </w:p>
        </w:tc>
        <w:tc>
          <w:tcPr>
            <w:shd w:val="clear" w:color="auto" w:fill="f7f9fa"/>
            <w:tcBorders/>
            <w:tcMar>
              <w:left w:w="70" w:type="dxa"/>
              <w:top w:w="60" w:type="dxa"/>
              <w:right w:w="70" w:type="dxa"/>
              <w:bottom w:w="60" w:type="dxa"/>
            </w:tcMar>
            <w:tcW w:w="5796" w:type="dxa"/>
            <w:vAlign w:val="top"/>
          </w:tcPr>
          <w:p>
            <w:pPr>
              <w:pStyle w:val="1297"/>
              <w:pBdr/>
              <w:spacing/>
              <w:ind/>
              <w:rPr/>
            </w:pPr>
            <w:r>
              <w:t xml:space="preserve">Does a Life Have a Final Condition?</w:t>
            </w:r>
            <w:r/>
          </w:p>
        </w:tc>
        <w:tc>
          <w:tcPr>
            <w:shd w:val="clear" w:color="auto" w:fill="f7f9fa"/>
            <w:tcBorders/>
            <w:tcMar>
              <w:left w:w="70" w:type="dxa"/>
              <w:top w:w="60" w:type="dxa"/>
              <w:right w:w="70" w:type="dxa"/>
              <w:bottom w:w="60" w:type="dxa"/>
            </w:tcMar>
            <w:tcW w:w="6711" w:type="dxa"/>
            <w:vAlign w:val="top"/>
          </w:tcPr>
          <w:p>
            <w:pPr>
              <w:pStyle w:val="1297"/>
              <w:pBdr/>
              <w:spacing/>
              <w:ind/>
              <w:rPr/>
            </w:pPr>
            <w:r>
              <w:t xml:space="preserve">D14 D8 D12.</w:t>
            </w:r>
            <w:r/>
          </w:p>
        </w:tc>
        <w:tc>
          <w:tcPr>
            <w:shd w:val="clear" w:color="auto" w:fill="f7f9fa"/>
            <w:tcBorders/>
            <w:tcMar>
              <w:left w:w="70" w:type="dxa"/>
              <w:top w:w="60" w:type="dxa"/>
              <w:right w:w="70" w:type="dxa"/>
              <w:bottom w:w="60" w:type="dxa"/>
            </w:tcMar>
            <w:tcW w:w="1983" w:type="dxa"/>
            <w:vAlign w:val="top"/>
          </w:tcPr>
          <w:p>
            <w:pPr>
              <w:pStyle w:val="1297"/>
              <w:pBdr/>
              <w:spacing/>
              <w:ind/>
              <w:rPr/>
            </w:pPr>
            <w:r>
              <w:t xml:space="preserve">Main</w:t>
            </w:r>
            <w:r/>
          </w:p>
        </w:tc>
      </w:tr>
      <w:tr>
        <w:trPr>
          <w:cantSplit/>
        </w:trPr>
        <w:tc>
          <w:tcPr>
            <w:tcBorders/>
            <w:tcMar>
              <w:left w:w="70" w:type="dxa"/>
              <w:top w:w="60" w:type="dxa"/>
              <w:right w:w="70" w:type="dxa"/>
              <w:bottom w:w="60" w:type="dxa"/>
            </w:tcMar>
            <w:tcW w:w="762" w:type="dxa"/>
            <w:vAlign w:val="top"/>
          </w:tcPr>
          <w:p>
            <w:pPr>
              <w:pStyle w:val="1297"/>
              <w:pBdr/>
              <w:spacing/>
              <w:ind/>
              <w:rPr/>
            </w:pPr>
            <w:r>
              <w:t xml:space="preserve">19</w:t>
            </w:r>
            <w:r/>
          </w:p>
        </w:tc>
        <w:tc>
          <w:tcPr>
            <w:tcBorders/>
            <w:tcMar>
              <w:left w:w="70" w:type="dxa"/>
              <w:top w:w="60" w:type="dxa"/>
              <w:right w:w="70" w:type="dxa"/>
              <w:bottom w:w="60" w:type="dxa"/>
            </w:tcMar>
            <w:tcW w:w="5796" w:type="dxa"/>
            <w:vAlign w:val="top"/>
          </w:tcPr>
          <w:p>
            <w:pPr>
              <w:pStyle w:val="1297"/>
              <w:pBdr/>
              <w:spacing/>
              <w:ind/>
              <w:rPr/>
            </w:pPr>
            <w:r>
              <w:t xml:space="preserve">The Recurrent Shapes—and the Counterexamples</w:t>
            </w:r>
            <w:r/>
          </w:p>
        </w:tc>
        <w:tc>
          <w:tcPr>
            <w:tcBorders/>
            <w:tcMar>
              <w:left w:w="70" w:type="dxa"/>
              <w:top w:w="60" w:type="dxa"/>
              <w:right w:w="70" w:type="dxa"/>
              <w:bottom w:w="60" w:type="dxa"/>
            </w:tcMar>
            <w:tcW w:w="6711" w:type="dxa"/>
            <w:vAlign w:val="top"/>
          </w:tcPr>
          <w:p>
            <w:pPr>
              <w:pStyle w:val="1297"/>
              <w:pBdr/>
              <w:spacing/>
              <w:ind/>
              <w:rPr/>
            </w:pPr>
            <w:r>
              <w:t xml:space="preserve">Cross-domain.</w:t>
            </w:r>
            <w:r/>
          </w:p>
        </w:tc>
        <w:tc>
          <w:tcPr>
            <w:tcBorders/>
            <w:tcMar>
              <w:left w:w="70" w:type="dxa"/>
              <w:top w:w="60" w:type="dxa"/>
              <w:right w:w="70" w:type="dxa"/>
              <w:bottom w:w="60" w:type="dxa"/>
            </w:tcMar>
            <w:tcW w:w="1983" w:type="dxa"/>
            <w:vAlign w:val="top"/>
          </w:tcPr>
          <w:p>
            <w:pPr>
              <w:pStyle w:val="1297"/>
              <w:pBdr/>
              <w:spacing/>
              <w:ind/>
              <w:rPr/>
            </w:pPr>
            <w:r>
              <w:t xml:space="preserve">Cross-domain</w:t>
            </w:r>
            <w:r/>
          </w:p>
        </w:tc>
      </w:tr>
      <w:tr>
        <w:trPr>
          <w:cantSplit/>
        </w:trPr>
        <w:tc>
          <w:tcPr>
            <w:shd w:val="clear" w:color="auto" w:fill="f7f9fa"/>
            <w:tcBorders/>
            <w:tcMar>
              <w:left w:w="70" w:type="dxa"/>
              <w:top w:w="60" w:type="dxa"/>
              <w:right w:w="70" w:type="dxa"/>
              <w:bottom w:w="60" w:type="dxa"/>
            </w:tcMar>
            <w:tcW w:w="762" w:type="dxa"/>
            <w:vAlign w:val="top"/>
          </w:tcPr>
          <w:p>
            <w:pPr>
              <w:pStyle w:val="1297"/>
              <w:pBdr/>
              <w:spacing/>
              <w:ind/>
              <w:rPr/>
            </w:pPr>
            <w:r>
              <w:t xml:space="preserve">20</w:t>
            </w:r>
            <w:r/>
          </w:p>
        </w:tc>
        <w:tc>
          <w:tcPr>
            <w:shd w:val="clear" w:color="auto" w:fill="f7f9fa"/>
            <w:tcBorders/>
            <w:tcMar>
              <w:left w:w="70" w:type="dxa"/>
              <w:top w:w="60" w:type="dxa"/>
              <w:right w:w="70" w:type="dxa"/>
              <w:bottom w:w="60" w:type="dxa"/>
            </w:tcMar>
            <w:tcW w:w="5796" w:type="dxa"/>
            <w:vAlign w:val="top"/>
          </w:tcPr>
          <w:p>
            <w:pPr>
              <w:pStyle w:val="1297"/>
              <w:pBdr/>
              <w:spacing/>
              <w:ind/>
              <w:rPr/>
            </w:pPr>
            <w:r>
              <w:t xml:space="preserve">What Comparison Establishes—and Where It Must Stop</w:t>
            </w:r>
            <w:r/>
          </w:p>
        </w:tc>
        <w:tc>
          <w:tcPr>
            <w:shd w:val="clear" w:color="auto" w:fill="f7f9fa"/>
            <w:tcBorders/>
            <w:tcMar>
              <w:left w:w="70" w:type="dxa"/>
              <w:top w:w="60" w:type="dxa"/>
              <w:right w:w="70" w:type="dxa"/>
              <w:bottom w:w="60" w:type="dxa"/>
            </w:tcMar>
            <w:tcW w:w="6711" w:type="dxa"/>
            <w:vAlign w:val="top"/>
          </w:tcPr>
          <w:p>
            <w:pPr>
              <w:pStyle w:val="1297"/>
              <w:pBdr/>
              <w:spacing/>
              <w:ind/>
              <w:rPr/>
            </w:pPr>
            <w:r>
              <w:t xml:space="preserve">Cross-domain.</w:t>
            </w:r>
            <w:r/>
          </w:p>
        </w:tc>
        <w:tc>
          <w:tcPr>
            <w:shd w:val="clear" w:color="auto" w:fill="f7f9fa"/>
            <w:tcBorders/>
            <w:tcMar>
              <w:left w:w="70" w:type="dxa"/>
              <w:top w:w="60" w:type="dxa"/>
              <w:right w:w="70" w:type="dxa"/>
              <w:bottom w:w="60" w:type="dxa"/>
            </w:tcMar>
            <w:tcW w:w="1983" w:type="dxa"/>
            <w:vAlign w:val="top"/>
          </w:tcPr>
          <w:p>
            <w:pPr>
              <w:pStyle w:val="1297"/>
              <w:pBdr/>
              <w:spacing/>
              <w:ind/>
              <w:rPr/>
            </w:pPr>
            <w:r>
              <w:t xml:space="preserve">Cross-domain</w:t>
            </w:r>
            <w:r/>
          </w:p>
        </w:tc>
      </w:tr>
    </w:tbl>
    <w:p>
      <w:pPr>
        <w:pStyle w:val="1300"/>
        <w:pBdr/>
        <w:spacing/>
        <w:ind/>
        <w:rPr/>
      </w:pPr>
      <w:r/>
      <w:r/>
    </w:p>
    <w:p>
      <w:pPr>
        <w:pBdr/>
        <w:spacing/>
        <w:ind/>
        <w:rPr/>
        <w:sectPr>
          <w:headerReference w:type="default" r:id="rId16"/>
          <w:footerReference w:type="default" r:id="rId27"/>
          <w:footnotePr/>
          <w:endnotePr/>
          <w:type w:val="nextPage"/>
          <w:pgSz w:h="11906" w:orient="landscape" w:w="16838"/>
          <w:pgMar w:top="792" w:right="792" w:bottom="792" w:left="792" w:header="403" w:footer="403" w:gutter="0"/>
          <w:cols w:num="1" w:sep="0" w:space="720" w:equalWidth="1"/>
        </w:sectPr>
      </w:pPr>
      <w:r/>
      <w:r/>
    </w:p>
    <w:p>
      <w:pPr>
        <w:pStyle w:val="1135"/>
        <w:keepNext w:val="true"/>
        <w:keepLines w:val="true"/>
        <w:pBdr/>
        <w:spacing/>
        <w:ind/>
        <w:rPr/>
      </w:pPr>
      <w:r/>
      <w:bookmarkStart w:id="200" w:name="ANNEX_C"/>
      <w:r>
        <w:t xml:space="preserve">Annex C — Comparison and fault-line evidence</w:t>
      </w:r>
      <w:bookmarkEnd w:id="200"/>
      <w:r/>
      <w:r/>
    </w:p>
    <w:p>
      <w:pPr>
        <w:pStyle w:val="1184"/>
        <w:keepNext w:val="true"/>
        <w:keepLines w:val="true"/>
        <w:pBdr/>
        <w:spacing/>
        <w:ind/>
        <w:rPr/>
      </w:pPr>
      <w:r>
        <w:t xml:space="preserve">Governing — Annex C front door</w:t>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3648"/>
        <w:gridCol w:w="11606"/>
      </w:tblGrid>
      <w:tr>
        <w:trPr>
          <w:cantSplit/>
          <w:tblHeader/>
        </w:trPr>
        <w:tc>
          <w:tcPr>
            <w:shd w:val="clear" w:color="auto" w:fill="1f5a73"/>
            <w:tcBorders/>
            <w:tcMar>
              <w:left w:w="70" w:type="dxa"/>
              <w:top w:w="60" w:type="dxa"/>
              <w:right w:w="70" w:type="dxa"/>
              <w:bottom w:w="60" w:type="dxa"/>
            </w:tcMar>
            <w:tcW w:w="3648" w:type="dxa"/>
            <w:vAlign w:val="top"/>
          </w:tcPr>
          <w:p>
            <w:pPr>
              <w:pStyle w:val="1298"/>
              <w:pBdr/>
              <w:spacing/>
              <w:ind/>
              <w:rPr/>
            </w:pPr>
            <w:r>
              <w:t xml:space="preserve">Field</w:t>
            </w:r>
            <w:r/>
          </w:p>
        </w:tc>
        <w:tc>
          <w:tcPr>
            <w:shd w:val="clear" w:color="auto" w:fill="1f5a73"/>
            <w:tcBorders/>
            <w:tcMar>
              <w:left w:w="70" w:type="dxa"/>
              <w:top w:w="60" w:type="dxa"/>
              <w:right w:w="70" w:type="dxa"/>
              <w:bottom w:w="60" w:type="dxa"/>
            </w:tcMar>
            <w:tcW w:w="11606" w:type="dxa"/>
            <w:vAlign w:val="top"/>
          </w:tcPr>
          <w:p>
            <w:pPr>
              <w:pStyle w:val="1298"/>
              <w:pBdr/>
              <w:spacing/>
              <w:ind/>
              <w:rPr/>
            </w:pPr>
            <w:r>
              <w:t xml:space="preserve">Required content</w:t>
            </w:r>
            <w:r/>
          </w:p>
        </w:tc>
      </w:tr>
      <w:tr>
        <w:trPr>
          <w:cantSplit/>
        </w:trPr>
        <w:tc>
          <w:tcPr>
            <w:tcBorders/>
            <w:tcMar>
              <w:left w:w="70" w:type="dxa"/>
              <w:top w:w="60" w:type="dxa"/>
              <w:right w:w="70" w:type="dxa"/>
              <w:bottom w:w="60" w:type="dxa"/>
            </w:tcMar>
            <w:tcW w:w="3648" w:type="dxa"/>
            <w:vAlign w:val="top"/>
          </w:tcPr>
          <w:p>
            <w:pPr>
              <w:pStyle w:val="1296"/>
              <w:pBdr/>
              <w:spacing/>
              <w:ind/>
              <w:rPr/>
            </w:pPr>
            <w:r>
              <w:t xml:space="preserve">Purpose</w:t>
            </w:r>
            <w:r/>
          </w:p>
        </w:tc>
        <w:tc>
          <w:tcPr>
            <w:tcBorders/>
            <w:tcMar>
              <w:left w:w="70" w:type="dxa"/>
              <w:top w:w="60" w:type="dxa"/>
              <w:right w:w="70" w:type="dxa"/>
              <w:bottom w:w="60" w:type="dxa"/>
            </w:tcMar>
            <w:tcW w:w="11606" w:type="dxa"/>
            <w:vAlign w:val="top"/>
          </w:tcPr>
          <w:p>
            <w:pPr>
              <w:pStyle w:val="1296"/>
              <w:pBdr/>
              <w:spacing/>
              <w:ind/>
              <w:rPr/>
            </w:pPr>
            <w:r>
              <w:t xml:space="preserve">Separate proposition/support evidence, relation/scope evidence and publication disposition for the adopted hypothesis set.</w:t>
            </w:r>
            <w:r/>
          </w:p>
        </w:tc>
      </w:tr>
      <w:tr>
        <w:trPr>
          <w:cantSplit/>
        </w:trPr>
        <w:tc>
          <w:tcPr>
            <w:shd w:val="clear" w:color="auto" w:fill="f7f9fa"/>
            <w:tcBorders/>
            <w:tcMar>
              <w:left w:w="70" w:type="dxa"/>
              <w:top w:w="60" w:type="dxa"/>
              <w:right w:w="70" w:type="dxa"/>
              <w:bottom w:w="60" w:type="dxa"/>
            </w:tcMar>
            <w:tcW w:w="3648" w:type="dxa"/>
            <w:vAlign w:val="top"/>
          </w:tcPr>
          <w:p>
            <w:pPr>
              <w:pStyle w:val="1296"/>
              <w:pBdr/>
              <w:spacing/>
              <w:ind/>
              <w:rPr/>
            </w:pPr>
            <w:r>
              <w:t xml:space="preserve">Authority status</w:t>
            </w:r>
            <w:r/>
          </w:p>
        </w:tc>
        <w:tc>
          <w:tcPr>
            <w:shd w:val="clear" w:color="auto" w:fill="f7f9fa"/>
            <w:tcBorders/>
            <w:tcMar>
              <w:left w:w="70" w:type="dxa"/>
              <w:top w:w="60" w:type="dxa"/>
              <w:right w:w="70" w:type="dxa"/>
              <w:bottom w:w="60" w:type="dxa"/>
            </w:tcMar>
            <w:tcW w:w="11606" w:type="dxa"/>
            <w:vAlign w:val="top"/>
          </w:tcPr>
          <w:p>
            <w:pPr>
              <w:pStyle w:val="1296"/>
              <w:pBdr/>
              <w:spacing/>
              <w:ind/>
              <w:rPr/>
            </w:pPr>
            <w:r>
              <w:t xml:space="preserve">The editorial hypotheses and publication uses are governed here; shared relation and synthesis meanings remain authoritative in Research Specification.</w:t>
            </w:r>
            <w:r/>
          </w:p>
        </w:tc>
      </w:tr>
      <w:tr>
        <w:trPr>
          <w:cantSplit/>
        </w:trPr>
        <w:tc>
          <w:tcPr>
            <w:tcBorders/>
            <w:tcMar>
              <w:left w:w="70" w:type="dxa"/>
              <w:top w:w="60" w:type="dxa"/>
              <w:right w:w="70" w:type="dxa"/>
              <w:bottom w:w="60" w:type="dxa"/>
            </w:tcMar>
            <w:tcW w:w="3648" w:type="dxa"/>
            <w:vAlign w:val="top"/>
          </w:tcPr>
          <w:p>
            <w:pPr>
              <w:pStyle w:val="1296"/>
              <w:pBdr/>
              <w:spacing/>
              <w:ind/>
              <w:rPr/>
            </w:pPr>
            <w:r>
              <w:t xml:space="preserve">Status separation</w:t>
            </w:r>
            <w:r/>
          </w:p>
        </w:tc>
        <w:tc>
          <w:tcPr>
            <w:tcBorders/>
            <w:tcMar>
              <w:left w:w="70" w:type="dxa"/>
              <w:top w:w="60" w:type="dxa"/>
              <w:right w:w="70" w:type="dxa"/>
              <w:bottom w:w="60" w:type="dxa"/>
            </w:tcMar>
            <w:tcW w:w="11606" w:type="dxa"/>
            <w:vAlign w:val="top"/>
          </w:tcPr>
          <w:p>
            <w:pPr>
              <w:pStyle w:val="1296"/>
              <w:pBdr/>
              <w:spacing/>
              <w:ind/>
              <w:rPr/>
            </w:pPr>
            <w:r>
              <w:t xml:space="preserve">The historical snapshot records synthesis maturity at its stated date. Later maturity is established by applicable canonical SynthesisRecords and review evidence, separately from editorial role and synthesis level.</w:t>
            </w:r>
            <w:r/>
          </w:p>
        </w:tc>
      </w:tr>
    </w:tbl>
    <w:p>
      <w:pPr>
        <w:pStyle w:val="1300"/>
        <w:pBdr/>
        <w:spacing/>
        <w:ind/>
        <w:rPr/>
      </w:pPr>
      <w:r/>
      <w:r/>
    </w:p>
    <w:p>
      <w:pPr>
        <w:pStyle w:val="1136"/>
        <w:keepNext w:val="true"/>
        <w:keepLines w:val="true"/>
        <w:pBdr/>
        <w:spacing/>
        <w:ind/>
        <w:rPr/>
      </w:pPr>
      <w:r/>
      <w:bookmarkStart w:id="201" w:name="C1"/>
      <w:r>
        <w:t xml:space="preserve">C1. Proposition, support and counterpressure view</w:t>
      </w:r>
      <w:bookmarkEnd w:id="201"/>
      <w:r/>
      <w:r/>
    </w:p>
    <w:p>
      <w:pPr>
        <w:pStyle w:val="1184"/>
        <w:keepNext w:val="true"/>
        <w:keepLines w:val="true"/>
        <w:pBdr/>
        <w:spacing/>
        <w:ind/>
        <w:rPr/>
      </w:pPr>
      <w:r/>
      <w:bookmarkStart w:id="202" w:name="T_FAULT_PROPOSITIONS"/>
      <w:r>
        <w:t xml:space="preserve">Governing — Comparison and fault-line proposition view</w:t>
      </w:r>
      <w:bookmarkEnd w:id="202"/>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741"/>
        <w:gridCol w:w="1481"/>
        <w:gridCol w:w="3332"/>
        <w:gridCol w:w="4813"/>
        <w:gridCol w:w="4888"/>
      </w:tblGrid>
      <w:tr>
        <w:trPr>
          <w:cantSplit/>
          <w:tblHeader/>
        </w:trPr>
        <w:tc>
          <w:tcPr>
            <w:shd w:val="clear" w:color="auto" w:fill="1f5a73"/>
            <w:tcBorders/>
            <w:tcMar>
              <w:left w:w="70" w:type="dxa"/>
              <w:top w:w="60" w:type="dxa"/>
              <w:right w:w="70" w:type="dxa"/>
              <w:bottom w:w="60" w:type="dxa"/>
            </w:tcMar>
            <w:tcW w:w="741" w:type="dxa"/>
            <w:vAlign w:val="top"/>
          </w:tcPr>
          <w:p>
            <w:pPr>
              <w:pStyle w:val="1299"/>
              <w:pBdr/>
              <w:spacing/>
              <w:ind/>
              <w:rPr/>
            </w:pPr>
            <w:r>
              <w:t xml:space="preserve">ID</w:t>
            </w:r>
            <w:r/>
          </w:p>
        </w:tc>
        <w:tc>
          <w:tcPr>
            <w:shd w:val="clear" w:color="auto" w:fill="1f5a73"/>
            <w:tcBorders/>
            <w:tcMar>
              <w:left w:w="70" w:type="dxa"/>
              <w:top w:w="60" w:type="dxa"/>
              <w:right w:w="70" w:type="dxa"/>
              <w:bottom w:w="60" w:type="dxa"/>
            </w:tcMar>
            <w:tcW w:w="1481" w:type="dxa"/>
            <w:vAlign w:val="top"/>
          </w:tcPr>
          <w:p>
            <w:pPr>
              <w:pStyle w:val="1299"/>
              <w:pBdr/>
              <w:spacing/>
              <w:ind/>
              <w:rPr/>
            </w:pPr>
            <w:r>
              <w:t xml:space="preserve">Chapter loci</w:t>
            </w:r>
            <w:r/>
          </w:p>
        </w:tc>
        <w:tc>
          <w:tcPr>
            <w:shd w:val="clear" w:color="auto" w:fill="1f5a73"/>
            <w:tcBorders/>
            <w:tcMar>
              <w:left w:w="70" w:type="dxa"/>
              <w:top w:w="60" w:type="dxa"/>
              <w:right w:w="70" w:type="dxa"/>
              <w:bottom w:w="60" w:type="dxa"/>
            </w:tcMar>
            <w:tcW w:w="3332" w:type="dxa"/>
            <w:vAlign w:val="top"/>
          </w:tcPr>
          <w:p>
            <w:pPr>
              <w:pStyle w:val="1299"/>
              <w:pBdr/>
              <w:spacing/>
              <w:ind/>
              <w:rPr/>
            </w:pPr>
            <w:r>
              <w:t xml:space="preserve">Motif or fault line</w:t>
            </w:r>
            <w:r/>
          </w:p>
        </w:tc>
        <w:tc>
          <w:tcPr>
            <w:shd w:val="clear" w:color="auto" w:fill="1f5a73"/>
            <w:tcBorders/>
            <w:tcMar>
              <w:left w:w="70" w:type="dxa"/>
              <w:top w:w="60" w:type="dxa"/>
              <w:right w:w="70" w:type="dxa"/>
              <w:bottom w:w="60" w:type="dxa"/>
            </w:tcMar>
            <w:tcW w:w="4813" w:type="dxa"/>
            <w:vAlign w:val="top"/>
          </w:tcPr>
          <w:p>
            <w:pPr>
              <w:pStyle w:val="1299"/>
              <w:pBdr/>
              <w:spacing/>
              <w:ind/>
              <w:rPr/>
            </w:pPr>
            <w:r>
              <w:t xml:space="preserve">Support or comparands</w:t>
            </w:r>
            <w:r/>
          </w:p>
        </w:tc>
        <w:tc>
          <w:tcPr>
            <w:shd w:val="clear" w:color="auto" w:fill="1f5a73"/>
            <w:tcBorders/>
            <w:tcMar>
              <w:left w:w="70" w:type="dxa"/>
              <w:top w:w="60" w:type="dxa"/>
              <w:right w:w="70" w:type="dxa"/>
              <w:bottom w:w="60" w:type="dxa"/>
            </w:tcMar>
            <w:tcW w:w="4888" w:type="dxa"/>
            <w:vAlign w:val="top"/>
          </w:tcPr>
          <w:p>
            <w:pPr>
              <w:pStyle w:val="1299"/>
              <w:pBdr/>
              <w:spacing/>
              <w:ind/>
              <w:rPr/>
            </w:pPr>
            <w:r>
              <w:t xml:space="preserve">Counterpressure or disanalogy</w:t>
            </w:r>
            <w:r/>
          </w:p>
        </w:tc>
      </w:tr>
      <w:tr>
        <w:trPr>
          <w:cantSplit/>
        </w:trPr>
        <w:tc>
          <w:tcPr>
            <w:tcBorders/>
            <w:tcMar>
              <w:left w:w="70" w:type="dxa"/>
              <w:top w:w="60" w:type="dxa"/>
              <w:right w:w="70" w:type="dxa"/>
              <w:bottom w:w="60" w:type="dxa"/>
            </w:tcMar>
            <w:tcW w:w="741" w:type="dxa"/>
            <w:vAlign w:val="top"/>
          </w:tcPr>
          <w:p>
            <w:pPr>
              <w:pStyle w:val="1297"/>
              <w:pBdr/>
              <w:spacing/>
              <w:ind/>
              <w:rPr/>
            </w:pPr>
            <w:r>
              <w:t xml:space="preserve">P1</w:t>
            </w:r>
            <w:r/>
          </w:p>
        </w:tc>
        <w:tc>
          <w:tcPr>
            <w:tcBorders/>
            <w:tcMar>
              <w:left w:w="70" w:type="dxa"/>
              <w:top w:w="60" w:type="dxa"/>
              <w:right w:w="70" w:type="dxa"/>
              <w:bottom w:w="60" w:type="dxa"/>
            </w:tcMar>
            <w:tcW w:w="1481" w:type="dxa"/>
            <w:vAlign w:val="top"/>
          </w:tcPr>
          <w:p>
            <w:pPr>
              <w:pStyle w:val="1297"/>
              <w:pBdr/>
              <w:spacing/>
              <w:ind/>
              <w:rPr/>
            </w:pPr>
            <w:r>
              <w:t xml:space="preserve">12, 19</w:t>
            </w:r>
            <w:r/>
          </w:p>
        </w:tc>
        <w:tc>
          <w:tcPr>
            <w:tcBorders/>
            <w:tcMar>
              <w:left w:w="70" w:type="dxa"/>
              <w:top w:w="60" w:type="dxa"/>
              <w:right w:w="70" w:type="dxa"/>
              <w:bottom w:w="60" w:type="dxa"/>
            </w:tcMar>
            <w:tcW w:w="3332" w:type="dxa"/>
            <w:vAlign w:val="top"/>
          </w:tcPr>
          <w:p>
            <w:pPr>
              <w:pStyle w:val="1297"/>
              <w:pBdr/>
              <w:spacing/>
              <w:ind/>
              <w:rPr/>
            </w:pPr>
            <w:r>
              <w:t xml:space="preserve">Misidentification / epistemic distortion</w:t>
            </w:r>
            <w:r/>
          </w:p>
        </w:tc>
        <w:tc>
          <w:tcPr>
            <w:tcBorders/>
            <w:tcMar>
              <w:left w:w="70" w:type="dxa"/>
              <w:top w:w="60" w:type="dxa"/>
              <w:right w:w="70" w:type="dxa"/>
              <w:bottom w:w="60" w:type="dxa"/>
            </w:tcMar>
            <w:tcW w:w="4813" w:type="dxa"/>
            <w:vAlign w:val="top"/>
          </w:tcPr>
          <w:p>
            <w:pPr>
              <w:pStyle w:val="1297"/>
              <w:pBdr/>
              <w:spacing/>
              <w:ind/>
              <w:rPr/>
            </w:pPr>
            <w:r>
              <w:t xml:space="preserve">Śaṅkara; Nāgārjuna; Apocryphon; Sartre (partial); Spinoza (affective/cognitive analogue)</w:t>
            </w:r>
            <w:r/>
          </w:p>
        </w:tc>
        <w:tc>
          <w:tcPr>
            <w:tcBorders/>
            <w:tcMar>
              <w:left w:w="70" w:type="dxa"/>
              <w:top w:w="60" w:type="dxa"/>
              <w:right w:w="70" w:type="dxa"/>
              <w:bottom w:w="60" w:type="dxa"/>
            </w:tcMar>
            <w:tcW w:w="4888" w:type="dxa"/>
            <w:vAlign w:val="top"/>
          </w:tcPr>
          <w:p>
            <w:pPr>
              <w:pStyle w:val="1297"/>
              <w:pBdr/>
              <w:spacing/>
              <w:ind/>
              <w:rPr/>
            </w:pPr>
            <w:r>
              <w:t xml:space="preserve">Gregory’s sin is not reducible to misidentification; Xunzi’s untrained dispositions; Epicurean fear</w:t>
            </w:r>
            <w:r/>
          </w:p>
        </w:tc>
      </w:tr>
      <w:tr>
        <w:trPr>
          <w:cantSplit/>
        </w:trPr>
        <w:tc>
          <w:tcPr>
            <w:shd w:val="clear" w:color="auto" w:fill="f7f9fa"/>
            <w:tcBorders/>
            <w:tcMar>
              <w:left w:w="70" w:type="dxa"/>
              <w:top w:w="60" w:type="dxa"/>
              <w:right w:w="70" w:type="dxa"/>
              <w:bottom w:w="60" w:type="dxa"/>
            </w:tcMar>
            <w:tcW w:w="741" w:type="dxa"/>
            <w:vAlign w:val="top"/>
          </w:tcPr>
          <w:p>
            <w:pPr>
              <w:pStyle w:val="1297"/>
              <w:pBdr/>
              <w:spacing/>
              <w:ind/>
              <w:rPr/>
            </w:pPr>
            <w:r>
              <w:t xml:space="preserve">P2</w:t>
            </w:r>
            <w:r/>
          </w:p>
        </w:tc>
        <w:tc>
          <w:tcPr>
            <w:shd w:val="clear" w:color="auto" w:fill="f7f9fa"/>
            <w:tcBorders/>
            <w:tcMar>
              <w:left w:w="70" w:type="dxa"/>
              <w:top w:w="60" w:type="dxa"/>
              <w:right w:w="70" w:type="dxa"/>
              <w:bottom w:w="60" w:type="dxa"/>
            </w:tcMar>
            <w:tcW w:w="1481" w:type="dxa"/>
            <w:vAlign w:val="top"/>
          </w:tcPr>
          <w:p>
            <w:pPr>
              <w:pStyle w:val="1297"/>
              <w:pBdr/>
              <w:spacing/>
              <w:ind/>
              <w:rPr/>
            </w:pPr>
            <w:r>
              <w:t xml:space="preserve">4, 6, 13, 16, 19</w:t>
            </w:r>
            <w:r/>
          </w:p>
        </w:tc>
        <w:tc>
          <w:tcPr>
            <w:shd w:val="clear" w:color="auto" w:fill="f7f9fa"/>
            <w:tcBorders/>
            <w:tcMar>
              <w:left w:w="70" w:type="dxa"/>
              <w:top w:w="60" w:type="dxa"/>
              <w:right w:w="70" w:type="dxa"/>
              <w:bottom w:w="60" w:type="dxa"/>
            </w:tcMar>
            <w:tcW w:w="3332" w:type="dxa"/>
            <w:vAlign w:val="top"/>
          </w:tcPr>
          <w:p>
            <w:pPr>
              <w:pStyle w:val="1297"/>
              <w:pBdr/>
              <w:spacing/>
              <w:ind/>
              <w:rPr/>
            </w:pPr>
            <w:r>
              <w:t xml:space="preserve">World as disclosure / participation / patterned immanence</w:t>
            </w:r>
            <w:r/>
          </w:p>
        </w:tc>
        <w:tc>
          <w:tcPr>
            <w:shd w:val="clear" w:color="auto" w:fill="f7f9fa"/>
            <w:tcBorders/>
            <w:tcMar>
              <w:left w:w="70" w:type="dxa"/>
              <w:top w:w="60" w:type="dxa"/>
              <w:right w:w="70" w:type="dxa"/>
              <w:bottom w:w="60" w:type="dxa"/>
            </w:tcMar>
            <w:tcW w:w="4813" w:type="dxa"/>
            <w:vAlign w:val="top"/>
          </w:tcPr>
          <w:p>
            <w:pPr>
              <w:pStyle w:val="1297"/>
              <w:pBdr/>
              <w:spacing/>
              <w:ind/>
              <w:rPr/>
            </w:pPr>
            <w:r>
              <w:t xml:space="preserve">Ibn ʿArabī; Plotinus; Zhu Xi; Guru Nanak; Spinoza (structural comparator)</w:t>
            </w:r>
            <w:r/>
          </w:p>
        </w:tc>
        <w:tc>
          <w:tcPr>
            <w:shd w:val="clear" w:color="auto" w:fill="f7f9fa"/>
            <w:tcBorders/>
            <w:tcMar>
              <w:left w:w="70" w:type="dxa"/>
              <w:top w:w="60" w:type="dxa"/>
              <w:right w:w="70" w:type="dxa"/>
              <w:bottom w:w="60" w:type="dxa"/>
            </w:tcMar>
            <w:tcW w:w="4888" w:type="dxa"/>
            <w:vAlign w:val="top"/>
          </w:tcPr>
          <w:p>
            <w:pPr>
              <w:pStyle w:val="1297"/>
              <w:pBdr/>
              <w:spacing/>
              <w:ind/>
              <w:rPr/>
            </w:pPr>
            <w:r>
              <w:t xml:space="preserve">Epicurean non-providential world; Apocryphon lower cosmos; Papineau partial thesis</w:t>
            </w:r>
            <w:r/>
          </w:p>
        </w:tc>
      </w:tr>
      <w:tr>
        <w:trPr>
          <w:cantSplit/>
        </w:trPr>
        <w:tc>
          <w:tcPr>
            <w:tcBorders/>
            <w:tcMar>
              <w:left w:w="70" w:type="dxa"/>
              <w:top w:w="60" w:type="dxa"/>
              <w:right w:w="70" w:type="dxa"/>
              <w:bottom w:w="60" w:type="dxa"/>
            </w:tcMar>
            <w:tcW w:w="741" w:type="dxa"/>
            <w:vAlign w:val="top"/>
          </w:tcPr>
          <w:p>
            <w:pPr>
              <w:pStyle w:val="1297"/>
              <w:pBdr/>
              <w:spacing/>
              <w:ind/>
              <w:rPr/>
            </w:pPr>
            <w:r>
              <w:t xml:space="preserve">P3</w:t>
            </w:r>
            <w:r/>
          </w:p>
        </w:tc>
        <w:tc>
          <w:tcPr>
            <w:tcBorders/>
            <w:tcMar>
              <w:left w:w="70" w:type="dxa"/>
              <w:top w:w="60" w:type="dxa"/>
              <w:right w:w="70" w:type="dxa"/>
              <w:bottom w:w="60" w:type="dxa"/>
            </w:tcMar>
            <w:tcW w:w="1481" w:type="dxa"/>
            <w:vAlign w:val="top"/>
          </w:tcPr>
          <w:p>
            <w:pPr>
              <w:pStyle w:val="1297"/>
              <w:pBdr/>
              <w:spacing/>
              <w:ind/>
              <w:rPr/>
            </w:pPr>
            <w:r>
              <w:t xml:space="preserve">6, 12, 16, 18, 19</w:t>
            </w:r>
            <w:r/>
          </w:p>
        </w:tc>
        <w:tc>
          <w:tcPr>
            <w:tcBorders/>
            <w:tcMar>
              <w:left w:w="70" w:type="dxa"/>
              <w:top w:w="60" w:type="dxa"/>
              <w:right w:w="70" w:type="dxa"/>
              <w:bottom w:w="60" w:type="dxa"/>
            </w:tcMar>
            <w:tcW w:w="3332" w:type="dxa"/>
            <w:vAlign w:val="top"/>
          </w:tcPr>
          <w:p>
            <w:pPr>
              <w:pStyle w:val="1297"/>
              <w:pBdr/>
              <w:spacing/>
              <w:ind/>
              <w:rPr/>
            </w:pPr>
            <w:r>
              <w:t xml:space="preserve">World as constraint / exit orientation</w:t>
            </w:r>
            <w:r/>
          </w:p>
        </w:tc>
        <w:tc>
          <w:tcPr>
            <w:tcBorders/>
            <w:tcMar>
              <w:left w:w="70" w:type="dxa"/>
              <w:top w:w="60" w:type="dxa"/>
              <w:right w:w="70" w:type="dxa"/>
              <w:bottom w:w="60" w:type="dxa"/>
            </w:tcMar>
            <w:tcW w:w="4813" w:type="dxa"/>
            <w:vAlign w:val="top"/>
          </w:tcPr>
          <w:p>
            <w:pPr>
              <w:pStyle w:val="1297"/>
              <w:pBdr/>
              <w:spacing/>
              <w:ind/>
              <w:rPr/>
            </w:pPr>
            <w:r>
              <w:t xml:space="preserve">Apocryphon; Advaita (qualified); Jaina; selected Buddhist soteriological contexts</w:t>
            </w:r>
            <w:r/>
          </w:p>
        </w:tc>
        <w:tc>
          <w:tcPr>
            <w:tcBorders/>
            <w:tcMar>
              <w:left w:w="70" w:type="dxa"/>
              <w:top w:w="60" w:type="dxa"/>
              <w:right w:w="70" w:type="dxa"/>
              <w:bottom w:w="60" w:type="dxa"/>
            </w:tcMar>
            <w:tcW w:w="4888" w:type="dxa"/>
            <w:vAlign w:val="top"/>
          </w:tcPr>
          <w:p>
            <w:pPr>
              <w:pStyle w:val="1297"/>
              <w:pBdr/>
              <w:spacing/>
              <w:ind/>
              <w:rPr/>
            </w:pPr>
            <w:r>
              <w:t xml:space="preserve">Gregory; Guru Nanak; Zhu Xi; Zhuangzi; Epicurus</w:t>
            </w:r>
            <w:r/>
          </w:p>
        </w:tc>
      </w:tr>
      <w:tr>
        <w:trPr>
          <w:cantSplit/>
        </w:trPr>
        <w:tc>
          <w:tcPr>
            <w:shd w:val="clear" w:color="auto" w:fill="f7f9fa"/>
            <w:tcBorders/>
            <w:tcMar>
              <w:left w:w="70" w:type="dxa"/>
              <w:top w:w="60" w:type="dxa"/>
              <w:right w:w="70" w:type="dxa"/>
              <w:bottom w:w="60" w:type="dxa"/>
            </w:tcMar>
            <w:tcW w:w="741" w:type="dxa"/>
            <w:vAlign w:val="top"/>
          </w:tcPr>
          <w:p>
            <w:pPr>
              <w:pStyle w:val="1297"/>
              <w:pBdr/>
              <w:spacing/>
              <w:ind/>
              <w:rPr/>
            </w:pPr>
            <w:r>
              <w:t xml:space="preserve">P4</w:t>
            </w:r>
            <w:r/>
          </w:p>
        </w:tc>
        <w:tc>
          <w:tcPr>
            <w:shd w:val="clear" w:color="auto" w:fill="f7f9fa"/>
            <w:tcBorders/>
            <w:tcMar>
              <w:left w:w="70" w:type="dxa"/>
              <w:top w:w="60" w:type="dxa"/>
              <w:right w:w="70" w:type="dxa"/>
              <w:bottom w:w="60" w:type="dxa"/>
            </w:tcMar>
            <w:tcW w:w="1481" w:type="dxa"/>
            <w:vAlign w:val="top"/>
          </w:tcPr>
          <w:p>
            <w:pPr>
              <w:pStyle w:val="1297"/>
              <w:pBdr/>
              <w:spacing/>
              <w:ind/>
              <w:rPr/>
            </w:pPr>
            <w:r>
              <w:t xml:space="preserve">8, 9, 19</w:t>
            </w:r>
            <w:r/>
          </w:p>
        </w:tc>
        <w:tc>
          <w:tcPr>
            <w:shd w:val="clear" w:color="auto" w:fill="f7f9fa"/>
            <w:tcBorders/>
            <w:tcMar>
              <w:left w:w="70" w:type="dxa"/>
              <w:top w:w="60" w:type="dxa"/>
              <w:right w:w="70" w:type="dxa"/>
              <w:bottom w:w="60" w:type="dxa"/>
            </w:tcMar>
            <w:tcW w:w="3332" w:type="dxa"/>
            <w:vAlign w:val="top"/>
          </w:tcPr>
          <w:p>
            <w:pPr>
              <w:pStyle w:val="1297"/>
              <w:pBdr/>
              <w:spacing/>
              <w:ind/>
              <w:rPr/>
            </w:pPr>
            <w:r>
              <w:t xml:space="preserve">No fixed substantial self</w:t>
            </w:r>
            <w:r/>
          </w:p>
        </w:tc>
        <w:tc>
          <w:tcPr>
            <w:shd w:val="clear" w:color="auto" w:fill="f7f9fa"/>
            <w:tcBorders/>
            <w:tcMar>
              <w:left w:w="70" w:type="dxa"/>
              <w:top w:w="60" w:type="dxa"/>
              <w:right w:w="70" w:type="dxa"/>
              <w:bottom w:w="60" w:type="dxa"/>
            </w:tcMar>
            <w:tcW w:w="4813" w:type="dxa"/>
            <w:vAlign w:val="top"/>
          </w:tcPr>
          <w:p>
            <w:pPr>
              <w:pStyle w:val="1297"/>
              <w:pBdr/>
              <w:spacing/>
              <w:ind/>
              <w:rPr/>
            </w:pPr>
            <w:r>
              <w:t xml:space="preserve">Nāgārjuna; Vasubandhu; Hume; Sartre</w:t>
            </w:r>
            <w:r/>
          </w:p>
        </w:tc>
        <w:tc>
          <w:tcPr>
            <w:shd w:val="clear" w:color="auto" w:fill="f7f9fa"/>
            <w:tcBorders/>
            <w:tcMar>
              <w:left w:w="70" w:type="dxa"/>
              <w:top w:w="60" w:type="dxa"/>
              <w:right w:w="70" w:type="dxa"/>
              <w:bottom w:w="60" w:type="dxa"/>
            </w:tcMar>
            <w:tcW w:w="4888" w:type="dxa"/>
            <w:vAlign w:val="top"/>
          </w:tcPr>
          <w:p>
            <w:pPr>
              <w:pStyle w:val="1297"/>
              <w:pBdr/>
              <w:spacing/>
              <w:ind/>
              <w:rPr/>
            </w:pPr>
            <w:r>
              <w:t xml:space="preserve">Śaṅkara; Sāṃkhya; Jaina; Descartes; Avicenna</w:t>
            </w:r>
            <w:r/>
          </w:p>
        </w:tc>
      </w:tr>
      <w:tr>
        <w:trPr>
          <w:cantSplit/>
        </w:trPr>
        <w:tc>
          <w:tcPr>
            <w:tcBorders/>
            <w:tcMar>
              <w:left w:w="70" w:type="dxa"/>
              <w:top w:w="60" w:type="dxa"/>
              <w:right w:w="70" w:type="dxa"/>
              <w:bottom w:w="60" w:type="dxa"/>
            </w:tcMar>
            <w:tcW w:w="741" w:type="dxa"/>
            <w:vAlign w:val="top"/>
          </w:tcPr>
          <w:p>
            <w:pPr>
              <w:pStyle w:val="1297"/>
              <w:pBdr/>
              <w:spacing/>
              <w:ind/>
              <w:rPr/>
            </w:pPr>
            <w:r>
              <w:t xml:space="preserve">P5</w:t>
            </w:r>
            <w:r/>
          </w:p>
        </w:tc>
        <w:tc>
          <w:tcPr>
            <w:tcBorders/>
            <w:tcMar>
              <w:left w:w="70" w:type="dxa"/>
              <w:top w:w="60" w:type="dxa"/>
              <w:right w:w="70" w:type="dxa"/>
              <w:bottom w:w="60" w:type="dxa"/>
            </w:tcMar>
            <w:tcW w:w="1481" w:type="dxa"/>
            <w:vAlign w:val="top"/>
          </w:tcPr>
          <w:p>
            <w:pPr>
              <w:pStyle w:val="1297"/>
              <w:pBdr/>
              <w:spacing/>
              <w:ind/>
              <w:rPr/>
            </w:pPr>
            <w:r>
              <w:t xml:space="preserve">7, 19</w:t>
            </w:r>
            <w:r/>
          </w:p>
        </w:tc>
        <w:tc>
          <w:tcPr>
            <w:tcBorders/>
            <w:tcMar>
              <w:left w:w="70" w:type="dxa"/>
              <w:top w:w="60" w:type="dxa"/>
              <w:right w:w="70" w:type="dxa"/>
              <w:bottom w:w="60" w:type="dxa"/>
            </w:tcMar>
            <w:tcW w:w="3332" w:type="dxa"/>
            <w:vAlign w:val="top"/>
          </w:tcPr>
          <w:p>
            <w:pPr>
              <w:pStyle w:val="1297"/>
              <w:pBdr/>
              <w:spacing/>
              <w:ind/>
              <w:rPr/>
            </w:pPr>
            <w:r>
              <w:t xml:space="preserve">Consciousness as fundamental</w:t>
            </w:r>
            <w:r/>
          </w:p>
        </w:tc>
        <w:tc>
          <w:tcPr>
            <w:tcBorders/>
            <w:tcMar>
              <w:left w:w="70" w:type="dxa"/>
              <w:top w:w="60" w:type="dxa"/>
              <w:right w:w="70" w:type="dxa"/>
              <w:bottom w:w="60" w:type="dxa"/>
            </w:tcMar>
            <w:tcW w:w="4813" w:type="dxa"/>
            <w:vAlign w:val="top"/>
          </w:tcPr>
          <w:p>
            <w:pPr>
              <w:pStyle w:val="1297"/>
              <w:pBdr/>
              <w:spacing/>
              <w:ind/>
              <w:rPr/>
            </w:pPr>
            <w:r>
              <w:t xml:space="preserve">Sāṃkhya; Utpaladeva; constitutive micropsychism; Leibniz/Whitehead as qualified comparators</w:t>
            </w:r>
            <w:r/>
          </w:p>
        </w:tc>
        <w:tc>
          <w:tcPr>
            <w:tcBorders/>
            <w:tcMar>
              <w:left w:w="70" w:type="dxa"/>
              <w:top w:w="60" w:type="dxa"/>
              <w:right w:w="70" w:type="dxa"/>
              <w:bottom w:w="60" w:type="dxa"/>
            </w:tcMar>
            <w:tcW w:w="4888" w:type="dxa"/>
            <w:vAlign w:val="top"/>
          </w:tcPr>
          <w:p>
            <w:pPr>
              <w:pStyle w:val="1297"/>
              <w:pBdr/>
              <w:spacing/>
              <w:ind/>
              <w:rPr/>
            </w:pPr>
            <w:r>
              <w:t xml:space="preserve">Papineau physicalism; Frankish illusionism; Epicureanism</w:t>
            </w:r>
            <w:r/>
          </w:p>
        </w:tc>
      </w:tr>
      <w:tr>
        <w:trPr>
          <w:cantSplit/>
        </w:trPr>
        <w:tc>
          <w:tcPr>
            <w:shd w:val="clear" w:color="auto" w:fill="f7f9fa"/>
            <w:tcBorders/>
            <w:tcMar>
              <w:left w:w="70" w:type="dxa"/>
              <w:top w:w="60" w:type="dxa"/>
              <w:right w:w="70" w:type="dxa"/>
              <w:bottom w:w="60" w:type="dxa"/>
            </w:tcMar>
            <w:tcW w:w="741" w:type="dxa"/>
            <w:vAlign w:val="top"/>
          </w:tcPr>
          <w:p>
            <w:pPr>
              <w:pStyle w:val="1297"/>
              <w:pBdr/>
              <w:spacing/>
              <w:ind/>
              <w:rPr/>
            </w:pPr>
            <w:r>
              <w:t xml:space="preserve">P6</w:t>
            </w:r>
            <w:r/>
          </w:p>
        </w:tc>
        <w:tc>
          <w:tcPr>
            <w:shd w:val="clear" w:color="auto" w:fill="f7f9fa"/>
            <w:tcBorders/>
            <w:tcMar>
              <w:left w:w="70" w:type="dxa"/>
              <w:top w:w="60" w:type="dxa"/>
              <w:right w:w="70" w:type="dxa"/>
              <w:bottom w:w="60" w:type="dxa"/>
            </w:tcMar>
            <w:tcW w:w="1481" w:type="dxa"/>
            <w:vAlign w:val="top"/>
          </w:tcPr>
          <w:p>
            <w:pPr>
              <w:pStyle w:val="1297"/>
              <w:pBdr/>
              <w:spacing/>
              <w:ind/>
              <w:rPr/>
            </w:pPr>
            <w:r>
              <w:t xml:space="preserve">14, 15, 19</w:t>
            </w:r>
            <w:r/>
          </w:p>
        </w:tc>
        <w:tc>
          <w:tcPr>
            <w:shd w:val="clear" w:color="auto" w:fill="f7f9fa"/>
            <w:tcBorders/>
            <w:tcMar>
              <w:left w:w="70" w:type="dxa"/>
              <w:top w:w="60" w:type="dxa"/>
              <w:right w:w="70" w:type="dxa"/>
              <w:bottom w:w="60" w:type="dxa"/>
            </w:tcMar>
            <w:tcW w:w="3332" w:type="dxa"/>
            <w:vAlign w:val="top"/>
          </w:tcPr>
          <w:p>
            <w:pPr>
              <w:pStyle w:val="1297"/>
              <w:pBdr/>
              <w:spacing/>
              <w:ind/>
              <w:rPr/>
            </w:pPr>
            <w:r>
              <w:t xml:space="preserve">Causal order and agency are analytically separable</w:t>
            </w:r>
            <w:r/>
          </w:p>
        </w:tc>
        <w:tc>
          <w:tcPr>
            <w:shd w:val="clear" w:color="auto" w:fill="f7f9fa"/>
            <w:tcBorders/>
            <w:tcMar>
              <w:left w:w="70" w:type="dxa"/>
              <w:top w:w="60" w:type="dxa"/>
              <w:right w:w="70" w:type="dxa"/>
              <w:bottom w:w="60" w:type="dxa"/>
            </w:tcMar>
            <w:tcW w:w="4813" w:type="dxa"/>
            <w:vAlign w:val="top"/>
          </w:tcPr>
          <w:p>
            <w:pPr>
              <w:pStyle w:val="1297"/>
              <w:pBdr/>
              <w:spacing/>
              <w:ind/>
              <w:rPr/>
            </w:pPr>
            <w:r>
              <w:t xml:space="preserve">Spinoza; Stoicism; Jaina; source-bounded Ifá; Gregory; Papineau partial thesis</w:t>
            </w:r>
            <w:r/>
          </w:p>
        </w:tc>
        <w:tc>
          <w:tcPr>
            <w:shd w:val="clear" w:color="auto" w:fill="f7f9fa"/>
            <w:tcBorders/>
            <w:tcMar>
              <w:left w:w="70" w:type="dxa"/>
              <w:top w:w="60" w:type="dxa"/>
              <w:right w:w="70" w:type="dxa"/>
              <w:bottom w:w="60" w:type="dxa"/>
            </w:tcMar>
            <w:tcW w:w="4888" w:type="dxa"/>
            <w:vAlign w:val="top"/>
          </w:tcPr>
          <w:p>
            <w:pPr>
              <w:pStyle w:val="1297"/>
              <w:pBdr/>
              <w:spacing/>
              <w:ind/>
              <w:rPr/>
            </w:pPr>
            <w:r>
              <w:t xml:space="preserve">Sartre pushes agency-first framing; Zhuangzi reframes “free will”</w:t>
            </w:r>
            <w:r/>
          </w:p>
        </w:tc>
      </w:tr>
      <w:tr>
        <w:trPr>
          <w:cantSplit/>
        </w:trPr>
        <w:tc>
          <w:tcPr>
            <w:tcBorders/>
            <w:tcMar>
              <w:left w:w="70" w:type="dxa"/>
              <w:top w:w="60" w:type="dxa"/>
              <w:right w:w="70" w:type="dxa"/>
              <w:bottom w:w="60" w:type="dxa"/>
            </w:tcMar>
            <w:tcW w:w="741" w:type="dxa"/>
            <w:vAlign w:val="top"/>
          </w:tcPr>
          <w:p>
            <w:pPr>
              <w:pStyle w:val="1297"/>
              <w:pBdr/>
              <w:spacing/>
              <w:ind/>
              <w:rPr/>
            </w:pPr>
            <w:r>
              <w:t xml:space="preserve">P7</w:t>
            </w:r>
            <w:r/>
          </w:p>
        </w:tc>
        <w:tc>
          <w:tcPr>
            <w:tcBorders/>
            <w:tcMar>
              <w:left w:w="70" w:type="dxa"/>
              <w:top w:w="60" w:type="dxa"/>
              <w:right w:w="70" w:type="dxa"/>
              <w:bottom w:w="60" w:type="dxa"/>
            </w:tcMar>
            <w:tcW w:w="1481" w:type="dxa"/>
            <w:vAlign w:val="top"/>
          </w:tcPr>
          <w:p>
            <w:pPr>
              <w:pStyle w:val="1297"/>
              <w:pBdr/>
              <w:spacing/>
              <w:ind/>
              <w:rPr/>
            </w:pPr>
            <w:r>
              <w:t xml:space="preserve">13, 18, 19</w:t>
            </w:r>
            <w:r/>
          </w:p>
        </w:tc>
        <w:tc>
          <w:tcPr>
            <w:tcBorders/>
            <w:tcMar>
              <w:left w:w="70" w:type="dxa"/>
              <w:top w:w="60" w:type="dxa"/>
              <w:right w:w="70" w:type="dxa"/>
              <w:bottom w:w="60" w:type="dxa"/>
            </w:tcMar>
            <w:tcW w:w="3332" w:type="dxa"/>
            <w:vAlign w:val="top"/>
          </w:tcPr>
          <w:p>
            <w:pPr>
              <w:pStyle w:val="1297"/>
              <w:pBdr/>
              <w:spacing/>
              <w:ind/>
              <w:rPr/>
            </w:pPr>
            <w:r>
              <w:t xml:space="preserve">Terminal versus open-ended transformation</w:t>
            </w:r>
            <w:r/>
          </w:p>
        </w:tc>
        <w:tc>
          <w:tcPr>
            <w:tcBorders/>
            <w:tcMar>
              <w:left w:w="70" w:type="dxa"/>
              <w:top w:w="60" w:type="dxa"/>
              <w:right w:w="70" w:type="dxa"/>
              <w:bottom w:w="60" w:type="dxa"/>
            </w:tcMar>
            <w:tcW w:w="4813" w:type="dxa"/>
            <w:vAlign w:val="top"/>
          </w:tcPr>
          <w:p>
            <w:pPr>
              <w:pStyle w:val="1297"/>
              <w:pBdr/>
              <w:spacing/>
              <w:ind/>
              <w:rPr/>
            </w:pPr>
            <w:r>
              <w:t xml:space="preserve">Gregory’s epektasis; Dōgen comparator; Sartre; Zhu Xi; Śaṅkara/Jaina terminal-release contrasts</w:t>
            </w:r>
            <w:r/>
          </w:p>
        </w:tc>
        <w:tc>
          <w:tcPr>
            <w:tcBorders/>
            <w:tcMar>
              <w:left w:w="70" w:type="dxa"/>
              <w:top w:w="60" w:type="dxa"/>
              <w:right w:w="70" w:type="dxa"/>
              <w:bottom w:w="60" w:type="dxa"/>
            </w:tcMar>
            <w:tcW w:w="4888" w:type="dxa"/>
            <w:vAlign w:val="top"/>
          </w:tcPr>
          <w:p>
            <w:pPr>
              <w:pStyle w:val="1297"/>
              <w:pBdr/>
              <w:spacing/>
              <w:ind/>
              <w:rPr/>
            </w:pPr>
            <w:r>
              <w:t xml:space="preserve">NSA/UND in Papineau/micropsychism; Epicurus has a practical but non-cosmic end</w:t>
            </w:r>
            <w:r/>
          </w:p>
        </w:tc>
      </w:tr>
      <w:tr>
        <w:trPr>
          <w:cantSplit/>
        </w:trPr>
        <w:tc>
          <w:tcPr>
            <w:shd w:val="clear" w:color="auto" w:fill="f7f9fa"/>
            <w:tcBorders/>
            <w:tcMar>
              <w:left w:w="70" w:type="dxa"/>
              <w:top w:w="60" w:type="dxa"/>
              <w:right w:w="70" w:type="dxa"/>
              <w:bottom w:w="60" w:type="dxa"/>
            </w:tcMar>
            <w:tcW w:w="741" w:type="dxa"/>
            <w:vAlign w:val="top"/>
          </w:tcPr>
          <w:p>
            <w:pPr>
              <w:pStyle w:val="1297"/>
              <w:pBdr/>
              <w:spacing/>
              <w:ind/>
              <w:rPr/>
            </w:pPr>
            <w:r>
              <w:t xml:space="preserve">F1</w:t>
            </w:r>
            <w:r/>
          </w:p>
        </w:tc>
        <w:tc>
          <w:tcPr>
            <w:shd w:val="clear" w:color="auto" w:fill="f7f9fa"/>
            <w:tcBorders/>
            <w:tcMar>
              <w:left w:w="70" w:type="dxa"/>
              <w:top w:w="60" w:type="dxa"/>
              <w:right w:w="70" w:type="dxa"/>
              <w:bottom w:w="60" w:type="dxa"/>
            </w:tcMar>
            <w:tcW w:w="1481" w:type="dxa"/>
            <w:vAlign w:val="top"/>
          </w:tcPr>
          <w:p>
            <w:pPr>
              <w:pStyle w:val="1297"/>
              <w:pBdr/>
              <w:spacing/>
              <w:ind/>
              <w:rPr/>
            </w:pPr>
            <w:r>
              <w:t xml:space="preserve">3, 8, 18, 19</w:t>
            </w:r>
            <w:r/>
          </w:p>
        </w:tc>
        <w:tc>
          <w:tcPr>
            <w:shd w:val="clear" w:color="auto" w:fill="f7f9fa"/>
            <w:tcBorders/>
            <w:tcMar>
              <w:left w:w="70" w:type="dxa"/>
              <w:top w:w="60" w:type="dxa"/>
              <w:right w:w="70" w:type="dxa"/>
              <w:bottom w:w="60" w:type="dxa"/>
            </w:tcMar>
            <w:tcW w:w="3332" w:type="dxa"/>
            <w:vAlign w:val="top"/>
          </w:tcPr>
          <w:p>
            <w:pPr>
              <w:pStyle w:val="1297"/>
              <w:pBdr/>
              <w:spacing/>
              <w:ind/>
              <w:rPr/>
            </w:pPr>
            <w:r>
              <w:t xml:space="preserve">Ultimate Self versus no-self / emptiness</w:t>
            </w:r>
            <w:r/>
          </w:p>
        </w:tc>
        <w:tc>
          <w:tcPr>
            <w:shd w:val="clear" w:color="auto" w:fill="f7f9fa"/>
            <w:tcBorders/>
            <w:tcMar>
              <w:left w:w="70" w:type="dxa"/>
              <w:top w:w="60" w:type="dxa"/>
              <w:right w:w="70" w:type="dxa"/>
              <w:bottom w:w="60" w:type="dxa"/>
            </w:tcMar>
            <w:tcW w:w="4813" w:type="dxa"/>
            <w:vAlign w:val="top"/>
          </w:tcPr>
          <w:p>
            <w:pPr>
              <w:pStyle w:val="1297"/>
              <w:pBdr/>
              <w:spacing/>
              <w:ind/>
              <w:rPr/>
            </w:pPr>
            <w:r>
              <w:t xml:space="preserve">Śaṅkara versus Nāgārjuna; Sāṃkhya and Jaina complicate the binary</w:t>
            </w:r>
            <w:r/>
          </w:p>
        </w:tc>
        <w:tc>
          <w:tcPr>
            <w:shd w:val="clear" w:color="auto" w:fill="f7f9fa"/>
            <w:tcBorders/>
            <w:tcMar>
              <w:left w:w="70" w:type="dxa"/>
              <w:top w:w="60" w:type="dxa"/>
              <w:right w:w="70" w:type="dxa"/>
              <w:bottom w:w="60" w:type="dxa"/>
            </w:tcMar>
            <w:tcW w:w="4888" w:type="dxa"/>
            <w:vAlign w:val="top"/>
          </w:tcPr>
          <w:p>
            <w:pPr>
              <w:pStyle w:val="1297"/>
              <w:pBdr/>
              <w:spacing/>
              <w:ind/>
              <w:rPr/>
            </w:pPr>
            <w:r>
              <w:t xml:space="preserve">Hume and Sartre supply anti-substantial countercases; historical independence requires a scoped genealogy/contact assessment.</w:t>
            </w:r>
            <w:r/>
          </w:p>
        </w:tc>
      </w:tr>
      <w:tr>
        <w:trPr>
          <w:cantSplit/>
        </w:trPr>
        <w:tc>
          <w:tcPr>
            <w:tcBorders/>
            <w:tcMar>
              <w:left w:w="70" w:type="dxa"/>
              <w:top w:w="60" w:type="dxa"/>
              <w:right w:w="70" w:type="dxa"/>
              <w:bottom w:w="60" w:type="dxa"/>
            </w:tcMar>
            <w:tcW w:w="741" w:type="dxa"/>
            <w:vAlign w:val="top"/>
          </w:tcPr>
          <w:p>
            <w:pPr>
              <w:pStyle w:val="1297"/>
              <w:pBdr/>
              <w:spacing/>
              <w:ind/>
              <w:rPr/>
            </w:pPr>
            <w:r>
              <w:t xml:space="preserve">F2</w:t>
            </w:r>
            <w:r/>
          </w:p>
        </w:tc>
        <w:tc>
          <w:tcPr>
            <w:tcBorders/>
            <w:tcMar>
              <w:left w:w="70" w:type="dxa"/>
              <w:top w:w="60" w:type="dxa"/>
              <w:right w:w="70" w:type="dxa"/>
              <w:bottom w:w="60" w:type="dxa"/>
            </w:tcMar>
            <w:tcW w:w="1481" w:type="dxa"/>
            <w:vAlign w:val="top"/>
          </w:tcPr>
          <w:p>
            <w:pPr>
              <w:pStyle w:val="1297"/>
              <w:pBdr/>
              <w:spacing/>
              <w:ind/>
              <w:rPr/>
            </w:pPr>
            <w:r>
              <w:t xml:space="preserve">5, 6, 12, 16, 17</w:t>
            </w:r>
            <w:r/>
          </w:p>
        </w:tc>
        <w:tc>
          <w:tcPr>
            <w:tcBorders/>
            <w:tcMar>
              <w:left w:w="70" w:type="dxa"/>
              <w:top w:w="60" w:type="dxa"/>
              <w:right w:w="70" w:type="dxa"/>
              <w:bottom w:w="60" w:type="dxa"/>
            </w:tcMar>
            <w:tcW w:w="3332" w:type="dxa"/>
            <w:vAlign w:val="top"/>
          </w:tcPr>
          <w:p>
            <w:pPr>
              <w:pStyle w:val="1297"/>
              <w:pBdr/>
              <w:spacing/>
              <w:ind/>
              <w:rPr/>
            </w:pPr>
            <w:r>
              <w:t xml:space="preserve">Created-good world versus defective lower cosmos</w:t>
            </w:r>
            <w:r/>
          </w:p>
        </w:tc>
        <w:tc>
          <w:tcPr>
            <w:tcBorders/>
            <w:tcMar>
              <w:left w:w="70" w:type="dxa"/>
              <w:top w:w="60" w:type="dxa"/>
              <w:right w:w="70" w:type="dxa"/>
              <w:bottom w:w="60" w:type="dxa"/>
            </w:tcMar>
            <w:tcW w:w="4813" w:type="dxa"/>
            <w:vAlign w:val="top"/>
          </w:tcPr>
          <w:p>
            <w:pPr>
              <w:pStyle w:val="1297"/>
              <w:pBdr/>
              <w:spacing/>
              <w:ind/>
              <w:rPr/>
            </w:pPr>
            <w:r>
              <w:t xml:space="preserve">Gregory versus Apocryphon of John</w:t>
            </w:r>
            <w:r/>
          </w:p>
        </w:tc>
        <w:tc>
          <w:tcPr>
            <w:tcBorders/>
            <w:tcMar>
              <w:left w:w="70" w:type="dxa"/>
              <w:top w:w="60" w:type="dxa"/>
              <w:right w:w="70" w:type="dxa"/>
              <w:bottom w:w="60" w:type="dxa"/>
            </w:tcMar>
            <w:tcW w:w="4888" w:type="dxa"/>
            <w:vAlign w:val="top"/>
          </w:tcPr>
          <w:p>
            <w:pPr>
              <w:pStyle w:val="1297"/>
              <w:pBdr/>
              <w:spacing/>
              <w:ind/>
              <w:rPr/>
            </w:pPr>
            <w:r>
              <w:t xml:space="preserve">Other world orientations show the binary is local, not universal</w:t>
            </w:r>
            <w:r/>
          </w:p>
        </w:tc>
      </w:tr>
      <w:tr>
        <w:trPr>
          <w:cantSplit/>
        </w:trPr>
        <w:tc>
          <w:tcPr>
            <w:shd w:val="clear" w:color="auto" w:fill="f7f9fa"/>
            <w:tcBorders/>
            <w:tcMar>
              <w:left w:w="70" w:type="dxa"/>
              <w:top w:w="60" w:type="dxa"/>
              <w:right w:w="70" w:type="dxa"/>
              <w:bottom w:w="60" w:type="dxa"/>
            </w:tcMar>
            <w:tcW w:w="741" w:type="dxa"/>
            <w:vAlign w:val="top"/>
          </w:tcPr>
          <w:p>
            <w:pPr>
              <w:pStyle w:val="1297"/>
              <w:pBdr/>
              <w:spacing/>
              <w:ind/>
              <w:rPr/>
            </w:pPr>
            <w:r>
              <w:t xml:space="preserve">F3</w:t>
            </w:r>
            <w:r/>
          </w:p>
        </w:tc>
        <w:tc>
          <w:tcPr>
            <w:shd w:val="clear" w:color="auto" w:fill="f7f9fa"/>
            <w:tcBorders/>
            <w:tcMar>
              <w:left w:w="70" w:type="dxa"/>
              <w:top w:w="60" w:type="dxa"/>
              <w:right w:w="70" w:type="dxa"/>
              <w:bottom w:w="60" w:type="dxa"/>
            </w:tcMar>
            <w:tcW w:w="1481" w:type="dxa"/>
            <w:vAlign w:val="top"/>
          </w:tcPr>
          <w:p>
            <w:pPr>
              <w:pStyle w:val="1297"/>
              <w:pBdr/>
              <w:spacing/>
              <w:ind/>
              <w:rPr/>
            </w:pPr>
            <w:r>
              <w:t xml:space="preserve">7, 19</w:t>
            </w:r>
            <w:r/>
          </w:p>
        </w:tc>
        <w:tc>
          <w:tcPr>
            <w:shd w:val="clear" w:color="auto" w:fill="f7f9fa"/>
            <w:tcBorders/>
            <w:tcMar>
              <w:left w:w="70" w:type="dxa"/>
              <w:top w:w="60" w:type="dxa"/>
              <w:right w:w="70" w:type="dxa"/>
              <w:bottom w:w="60" w:type="dxa"/>
            </w:tcMar>
            <w:tcW w:w="3332" w:type="dxa"/>
            <w:vAlign w:val="top"/>
          </w:tcPr>
          <w:p>
            <w:pPr>
              <w:pStyle w:val="1297"/>
              <w:pBdr/>
              <w:spacing/>
              <w:ind/>
              <w:rPr/>
            </w:pPr>
            <w:r>
              <w:t xml:space="preserve">Physical/emergent consciousness versus fundamental phenomenal base</w:t>
            </w:r>
            <w:r/>
          </w:p>
        </w:tc>
        <w:tc>
          <w:tcPr>
            <w:shd w:val="clear" w:color="auto" w:fill="f7f9fa"/>
            <w:tcBorders/>
            <w:tcMar>
              <w:left w:w="70" w:type="dxa"/>
              <w:top w:w="60" w:type="dxa"/>
              <w:right w:w="70" w:type="dxa"/>
              <w:bottom w:w="60" w:type="dxa"/>
            </w:tcMar>
            <w:tcW w:w="4813" w:type="dxa"/>
            <w:vAlign w:val="top"/>
          </w:tcPr>
          <w:p>
            <w:pPr>
              <w:pStyle w:val="1297"/>
              <w:pBdr/>
              <w:spacing/>
              <w:ind/>
              <w:rPr/>
            </w:pPr>
            <w:r>
              <w:t xml:space="preserve">Papineau physicalism versus constitutive micropsychism; Chalmers/Frankish stress the space</w:t>
            </w:r>
            <w:r/>
          </w:p>
        </w:tc>
        <w:tc>
          <w:tcPr>
            <w:shd w:val="clear" w:color="auto" w:fill="f7f9fa"/>
            <w:tcBorders/>
            <w:tcMar>
              <w:left w:w="70" w:type="dxa"/>
              <w:top w:w="60" w:type="dxa"/>
              <w:right w:w="70" w:type="dxa"/>
              <w:bottom w:w="60" w:type="dxa"/>
            </w:tcMar>
            <w:tcW w:w="4888" w:type="dxa"/>
            <w:vAlign w:val="top"/>
          </w:tcPr>
          <w:p>
            <w:pPr>
              <w:pStyle w:val="1297"/>
              <w:pBdr/>
              <w:spacing/>
              <w:ind/>
              <w:rPr/>
            </w:pPr>
            <w:r>
              <w:t xml:space="preserve">Sāṃkhya/Utpaladeva prevent modern binary universalization</w:t>
            </w:r>
            <w:r/>
          </w:p>
        </w:tc>
      </w:tr>
      <w:tr>
        <w:trPr>
          <w:cantSplit/>
        </w:trPr>
        <w:tc>
          <w:tcPr>
            <w:tcBorders/>
            <w:tcMar>
              <w:left w:w="70" w:type="dxa"/>
              <w:top w:w="60" w:type="dxa"/>
              <w:right w:w="70" w:type="dxa"/>
              <w:bottom w:w="60" w:type="dxa"/>
            </w:tcMar>
            <w:tcW w:w="741" w:type="dxa"/>
            <w:vAlign w:val="top"/>
          </w:tcPr>
          <w:p>
            <w:pPr>
              <w:pStyle w:val="1297"/>
              <w:pBdr/>
              <w:spacing/>
              <w:ind/>
              <w:rPr/>
            </w:pPr>
            <w:r>
              <w:t xml:space="preserve">F4</w:t>
            </w:r>
            <w:r/>
          </w:p>
        </w:tc>
        <w:tc>
          <w:tcPr>
            <w:tcBorders/>
            <w:tcMar>
              <w:left w:w="70" w:type="dxa"/>
              <w:top w:w="60" w:type="dxa"/>
              <w:right w:w="70" w:type="dxa"/>
              <w:bottom w:w="60" w:type="dxa"/>
            </w:tcMar>
            <w:tcW w:w="1481" w:type="dxa"/>
            <w:vAlign w:val="top"/>
          </w:tcPr>
          <w:p>
            <w:pPr>
              <w:pStyle w:val="1297"/>
              <w:pBdr/>
              <w:spacing/>
              <w:ind/>
              <w:rPr/>
            </w:pPr>
            <w:r>
              <w:t xml:space="preserve">6, 10, 19</w:t>
            </w:r>
            <w:r/>
          </w:p>
        </w:tc>
        <w:tc>
          <w:tcPr>
            <w:tcBorders/>
            <w:tcMar>
              <w:left w:w="70" w:type="dxa"/>
              <w:top w:w="60" w:type="dxa"/>
              <w:right w:w="70" w:type="dxa"/>
              <w:bottom w:w="60" w:type="dxa"/>
            </w:tcMar>
            <w:tcW w:w="3332" w:type="dxa"/>
            <w:vAlign w:val="top"/>
          </w:tcPr>
          <w:p>
            <w:pPr>
              <w:pStyle w:val="1297"/>
              <w:pBdr/>
              <w:spacing/>
              <w:ind/>
              <w:rPr/>
            </w:pPr>
            <w:r>
              <w:t xml:space="preserve">Human-exclusive versus distributed interiority/personhood</w:t>
            </w:r>
            <w:r/>
          </w:p>
        </w:tc>
        <w:tc>
          <w:tcPr>
            <w:tcBorders/>
            <w:tcMar>
              <w:left w:w="70" w:type="dxa"/>
              <w:top w:w="60" w:type="dxa"/>
              <w:right w:w="70" w:type="dxa"/>
              <w:bottom w:w="60" w:type="dxa"/>
            </w:tcMar>
            <w:tcW w:w="4813" w:type="dxa"/>
            <w:vAlign w:val="top"/>
          </w:tcPr>
          <w:p>
            <w:pPr>
              <w:pStyle w:val="1297"/>
              <w:pBdr/>
              <w:spacing/>
              <w:ind/>
              <w:rPr/>
            </w:pPr>
            <w:r>
              <w:t xml:space="preserve">Human-exclusive pole: a named bounded Position and exact Claims must be establi</w:t>
            </w:r>
            <w:r>
              <w:t xml:space="preserve">shed before this pole supplies evidence of incompatibility. Opposing comparands: Jaina/Leibniz/Whitehead/Akan debates; Ifá/Achuar/Māori remain dependency-bounded. Until the human-exclusive pole is source-bounded, it is an unresolved comparison requirement.</w:t>
            </w:r>
            <w:r/>
          </w:p>
        </w:tc>
        <w:tc>
          <w:tcPr>
            <w:tcBorders/>
            <w:tcMar>
              <w:left w:w="70" w:type="dxa"/>
              <w:top w:w="60" w:type="dxa"/>
              <w:right w:w="70" w:type="dxa"/>
              <w:bottom w:w="60" w:type="dxa"/>
            </w:tcMar>
            <w:tcW w:w="4888" w:type="dxa"/>
            <w:vAlign w:val="top"/>
          </w:tcPr>
          <w:p>
            <w:pPr>
              <w:pStyle w:val="1297"/>
              <w:pBdr/>
              <w:spacing/>
              <w:ind/>
              <w:rPr/>
            </w:pPr>
            <w:r>
              <w:t xml:space="preserve">Sentience, agency, personhood and moral standing are distinct dimensions</w:t>
            </w:r>
            <w:r/>
          </w:p>
        </w:tc>
      </w:tr>
    </w:tbl>
    <w:p>
      <w:pPr>
        <w:pStyle w:val="1300"/>
        <w:pBdr/>
        <w:spacing/>
        <w:ind/>
        <w:rPr/>
      </w:pPr>
      <w:r/>
      <w:r/>
    </w:p>
    <w:p>
      <w:pPr>
        <w:pStyle w:val="1136"/>
        <w:keepNext w:val="true"/>
        <w:keepLines w:val="true"/>
        <w:pBdr/>
        <w:spacing/>
        <w:ind/>
        <w:rPr/>
      </w:pPr>
      <w:r/>
      <w:bookmarkStart w:id="203" w:name="C2"/>
      <w:r>
        <w:t xml:space="preserve">C2. Relation, scope and genealogy view</w:t>
      </w:r>
      <w:bookmarkEnd w:id="203"/>
      <w:r/>
      <w:r/>
    </w:p>
    <w:p>
      <w:pPr>
        <w:pBdr/>
        <w:spacing/>
        <w:ind/>
        <w:rPr/>
      </w:pPr>
      <w:r>
        <w:t xml:space="preserve">Genealogy and independence descriptions in this hypothesis view are prospective resear</w:t>
      </w:r>
      <w:r>
        <w:t xml:space="preserve">ch expectations, not completed findings. Historical independence requires a scoped genealogy/contact assessment under Research Specification §§6 and 11; otherwise retain the applicable contact-possible, dependence-known, unresolved or not-applicable state.</w:t>
      </w:r>
      <w:r/>
    </w:p>
    <w:p>
      <w:pPr>
        <w:pStyle w:val="1184"/>
        <w:keepNext w:val="true"/>
        <w:keepLines w:val="true"/>
        <w:pBdr/>
        <w:spacing/>
        <w:ind/>
        <w:rPr/>
      </w:pPr>
      <w:r/>
      <w:bookmarkStart w:id="204" w:name="T_FAULT_RELATIONS"/>
      <w:r>
        <w:t xml:space="preserve">Governing — Comparison and fault-line relation evidence</w:t>
      </w:r>
      <w:bookmarkEnd w:id="204"/>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740"/>
        <w:gridCol w:w="3258"/>
        <w:gridCol w:w="6886"/>
        <w:gridCol w:w="4368"/>
      </w:tblGrid>
      <w:tr>
        <w:trPr>
          <w:cantSplit/>
          <w:tblHeader/>
        </w:trPr>
        <w:tc>
          <w:tcPr>
            <w:shd w:val="clear" w:color="auto" w:fill="1f5a73"/>
            <w:tcBorders/>
            <w:tcMar>
              <w:left w:w="70" w:type="dxa"/>
              <w:top w:w="60" w:type="dxa"/>
              <w:right w:w="70" w:type="dxa"/>
              <w:bottom w:w="60" w:type="dxa"/>
            </w:tcMar>
            <w:tcW w:w="740" w:type="dxa"/>
            <w:vAlign w:val="top"/>
          </w:tcPr>
          <w:p>
            <w:pPr>
              <w:pStyle w:val="1299"/>
              <w:pBdr/>
              <w:spacing/>
              <w:ind/>
              <w:rPr/>
            </w:pPr>
            <w:r>
              <w:t xml:space="preserve">ID</w:t>
            </w:r>
            <w:r/>
          </w:p>
        </w:tc>
        <w:tc>
          <w:tcPr>
            <w:shd w:val="clear" w:color="auto" w:fill="1f5a73"/>
            <w:tcBorders/>
            <w:tcMar>
              <w:left w:w="70" w:type="dxa"/>
              <w:top w:w="60" w:type="dxa"/>
              <w:right w:w="70" w:type="dxa"/>
              <w:bottom w:w="60" w:type="dxa"/>
            </w:tcMar>
            <w:tcW w:w="3258" w:type="dxa"/>
            <w:vAlign w:val="top"/>
          </w:tcPr>
          <w:p>
            <w:pPr>
              <w:pStyle w:val="1299"/>
              <w:pBdr/>
              <w:spacing/>
              <w:ind/>
              <w:rPr/>
            </w:pPr>
            <w:r>
              <w:t xml:space="preserve">Relation stack</w:t>
            </w:r>
            <w:r/>
          </w:p>
        </w:tc>
        <w:tc>
          <w:tcPr>
            <w:shd w:val="clear" w:color="auto" w:fill="1f5a73"/>
            <w:tcBorders/>
            <w:tcMar>
              <w:left w:w="70" w:type="dxa"/>
              <w:top w:w="60" w:type="dxa"/>
              <w:right w:w="70" w:type="dxa"/>
              <w:bottom w:w="60" w:type="dxa"/>
            </w:tcMar>
            <w:tcW w:w="6886" w:type="dxa"/>
            <w:vAlign w:val="top"/>
          </w:tcPr>
          <w:p>
            <w:pPr>
              <w:pStyle w:val="1299"/>
              <w:pBdr/>
              <w:spacing/>
              <w:ind/>
              <w:rPr/>
            </w:pPr>
            <w:r>
              <w:t xml:space="preserve">Dimension, scope and tertium rule</w:t>
            </w:r>
            <w:r/>
          </w:p>
        </w:tc>
        <w:tc>
          <w:tcPr>
            <w:shd w:val="clear" w:color="auto" w:fill="1f5a73"/>
            <w:tcBorders/>
            <w:tcMar>
              <w:left w:w="70" w:type="dxa"/>
              <w:top w:w="60" w:type="dxa"/>
              <w:right w:w="70" w:type="dxa"/>
              <w:bottom w:w="60" w:type="dxa"/>
            </w:tcMar>
            <w:tcW w:w="4368" w:type="dxa"/>
            <w:vAlign w:val="top"/>
          </w:tcPr>
          <w:p>
            <w:pPr>
              <w:pStyle w:val="1299"/>
              <w:pBdr/>
              <w:spacing/>
              <w:ind/>
              <w:rPr/>
            </w:pPr>
            <w:r>
              <w:t xml:space="preserve">Genealogy or independence</w:t>
            </w:r>
            <w:r/>
          </w:p>
        </w:tc>
      </w:tr>
      <w:tr>
        <w:trPr>
          <w:cantSplit/>
        </w:trPr>
        <w:tc>
          <w:tcPr>
            <w:tcBorders/>
            <w:tcMar>
              <w:left w:w="70" w:type="dxa"/>
              <w:top w:w="60" w:type="dxa"/>
              <w:right w:w="70" w:type="dxa"/>
              <w:bottom w:w="60" w:type="dxa"/>
            </w:tcMar>
            <w:tcW w:w="740" w:type="dxa"/>
            <w:vAlign w:val="top"/>
          </w:tcPr>
          <w:p>
            <w:pPr>
              <w:pStyle w:val="1297"/>
              <w:pBdr/>
              <w:spacing/>
              <w:ind/>
              <w:rPr/>
            </w:pPr>
            <w:r>
              <w:t xml:space="preserve">P1</w:t>
            </w:r>
            <w:r/>
          </w:p>
        </w:tc>
        <w:tc>
          <w:tcPr>
            <w:tcBorders/>
            <w:tcMar>
              <w:left w:w="70" w:type="dxa"/>
              <w:top w:w="60" w:type="dxa"/>
              <w:right w:w="70" w:type="dxa"/>
              <w:bottom w:w="60" w:type="dxa"/>
            </w:tcMar>
            <w:tcW w:w="3258" w:type="dxa"/>
            <w:vAlign w:val="top"/>
          </w:tcPr>
          <w:p>
            <w:pPr>
              <w:pStyle w:val="1297"/>
              <w:pBdr/>
              <w:spacing/>
              <w:ind/>
              <w:rPr/>
            </w:pPr>
            <w:r>
              <w:t xml:space="preserve">relation:FUN + relation:STR may stack; relation:INC applies only to distinct diagnostic/ontological claim pairs.</w:t>
            </w:r>
            <w:r/>
          </w:p>
        </w:tc>
        <w:tc>
          <w:tcPr>
            <w:tcBorders/>
            <w:tcMar>
              <w:left w:w="70" w:type="dxa"/>
              <w:top w:w="60" w:type="dxa"/>
              <w:right w:w="70" w:type="dxa"/>
              <w:bottom w:w="60" w:type="dxa"/>
            </w:tcMar>
            <w:tcW w:w="6886" w:type="dxa"/>
            <w:vAlign w:val="top"/>
          </w:tcPr>
          <w:p>
            <w:pPr>
              <w:pStyle w:val="1297"/>
              <w:pBdr/>
              <w:spacing/>
              <w:ind/>
              <w:rPr/>
            </w:pPr>
            <w:r>
              <w:t xml:space="preserve">Dimensions: EPISTEMIC_AUTHORITY and PRAXIS_TELOS. Exact Claim pairs and temporal/Position scope are required; linked disanalogies are mandatory; a DISTORTING tertium carries relation:MIS until revised.</w:t>
            </w:r>
            <w:r/>
          </w:p>
        </w:tc>
        <w:tc>
          <w:tcPr>
            <w:tcBorders/>
            <w:tcMar>
              <w:left w:w="70" w:type="dxa"/>
              <w:top w:w="60" w:type="dxa"/>
              <w:right w:w="70" w:type="dxa"/>
              <w:bottom w:w="60" w:type="dxa"/>
            </w:tcMar>
            <w:tcW w:w="4368" w:type="dxa"/>
            <w:vAlign w:val="top"/>
          </w:tcPr>
          <w:p>
            <w:pPr>
              <w:pStyle w:val="1297"/>
              <w:pBdr/>
              <w:spacing/>
              <w:ind/>
              <w:rPr/>
            </w:pPr>
            <w:r>
              <w:t xml:space="preserve">Editorial hypothesis to test: Likely independent across major clusters; local genealogies separate. Independence is not established by this entry.</w:t>
            </w:r>
            <w:r/>
          </w:p>
        </w:tc>
      </w:tr>
      <w:tr>
        <w:trPr>
          <w:cantSplit/>
        </w:trPr>
        <w:tc>
          <w:tcPr>
            <w:shd w:val="clear" w:color="auto" w:fill="f7f9fa"/>
            <w:tcBorders/>
            <w:tcMar>
              <w:left w:w="70" w:type="dxa"/>
              <w:top w:w="60" w:type="dxa"/>
              <w:right w:w="70" w:type="dxa"/>
              <w:bottom w:w="60" w:type="dxa"/>
            </w:tcMar>
            <w:tcW w:w="740" w:type="dxa"/>
            <w:vAlign w:val="top"/>
          </w:tcPr>
          <w:p>
            <w:pPr>
              <w:pStyle w:val="1297"/>
              <w:pBdr/>
              <w:spacing/>
              <w:ind/>
              <w:rPr/>
            </w:pPr>
            <w:r>
              <w:t xml:space="preserve">P2</w:t>
            </w:r>
            <w:r/>
          </w:p>
        </w:tc>
        <w:tc>
          <w:tcPr>
            <w:shd w:val="clear" w:color="auto" w:fill="f7f9fa"/>
            <w:tcBorders/>
            <w:tcMar>
              <w:left w:w="70" w:type="dxa"/>
              <w:top w:w="60" w:type="dxa"/>
              <w:right w:w="70" w:type="dxa"/>
              <w:bottom w:w="60" w:type="dxa"/>
            </w:tcMar>
            <w:tcW w:w="3258" w:type="dxa"/>
            <w:vAlign w:val="top"/>
          </w:tcPr>
          <w:p>
            <w:pPr>
              <w:pStyle w:val="1297"/>
              <w:pBdr/>
              <w:spacing/>
              <w:ind/>
              <w:rPr/>
            </w:pPr>
            <w:r>
              <w:t xml:space="preserve">relation:STR + relation:FUN; relation:SEM only for term-specific claim pairs.</w:t>
            </w:r>
            <w:r/>
          </w:p>
        </w:tc>
        <w:tc>
          <w:tcPr>
            <w:shd w:val="clear" w:color="auto" w:fill="f7f9fa"/>
            <w:tcBorders/>
            <w:tcMar>
              <w:left w:w="70" w:type="dxa"/>
              <w:top w:w="60" w:type="dxa"/>
              <w:right w:w="70" w:type="dxa"/>
              <w:bottom w:w="60" w:type="dxa"/>
            </w:tcMar>
            <w:tcW w:w="6886" w:type="dxa"/>
            <w:vAlign w:val="top"/>
          </w:tcPr>
          <w:p>
            <w:pPr>
              <w:pStyle w:val="1297"/>
              <w:pBdr/>
              <w:spacing/>
              <w:ind/>
              <w:rPr/>
            </w:pPr>
            <w:r>
              <w:t xml:space="preserve">Dimensions: GROUNDING_CAUSATION, PRAXIS_TELOS and SEMANTIC_RANGE. Exact Claim pairs and temporal/Position scope are required; linked disanalogies are mandatory; a DISTORTING tertium carries relation:MIS until revised.</w:t>
            </w:r>
            <w:r/>
          </w:p>
        </w:tc>
        <w:tc>
          <w:tcPr>
            <w:shd w:val="clear" w:color="auto" w:fill="f7f9fa"/>
            <w:tcBorders/>
            <w:tcMar>
              <w:left w:w="70" w:type="dxa"/>
              <w:top w:w="60" w:type="dxa"/>
              <w:right w:w="70" w:type="dxa"/>
              <w:bottom w:w="60" w:type="dxa"/>
            </w:tcMar>
            <w:tcW w:w="4368" w:type="dxa"/>
            <w:vAlign w:val="top"/>
          </w:tcPr>
          <w:p>
            <w:pPr>
              <w:pStyle w:val="1297"/>
              <w:pBdr/>
              <w:spacing/>
              <w:ind/>
              <w:rPr/>
            </w:pPr>
            <w:r>
              <w:t xml:space="preserve">Editorial hypothesis to test: Mixed: some historically connected, some independent or unresolved. Independence is not established by this entry.</w:t>
            </w:r>
            <w:r/>
          </w:p>
        </w:tc>
      </w:tr>
      <w:tr>
        <w:trPr>
          <w:cantSplit/>
        </w:trPr>
        <w:tc>
          <w:tcPr>
            <w:tcBorders/>
            <w:tcMar>
              <w:left w:w="70" w:type="dxa"/>
              <w:top w:w="60" w:type="dxa"/>
              <w:right w:w="70" w:type="dxa"/>
              <w:bottom w:w="60" w:type="dxa"/>
            </w:tcMar>
            <w:tcW w:w="740" w:type="dxa"/>
            <w:vAlign w:val="top"/>
          </w:tcPr>
          <w:p>
            <w:pPr>
              <w:pStyle w:val="1297"/>
              <w:pBdr/>
              <w:spacing/>
              <w:ind/>
              <w:rPr/>
            </w:pPr>
            <w:r>
              <w:t xml:space="preserve">P3</w:t>
            </w:r>
            <w:r/>
          </w:p>
        </w:tc>
        <w:tc>
          <w:tcPr>
            <w:tcBorders/>
            <w:tcMar>
              <w:left w:w="70" w:type="dxa"/>
              <w:top w:w="60" w:type="dxa"/>
              <w:right w:w="70" w:type="dxa"/>
              <w:bottom w:w="60" w:type="dxa"/>
            </w:tcMar>
            <w:tcW w:w="3258" w:type="dxa"/>
            <w:vAlign w:val="top"/>
          </w:tcPr>
          <w:p>
            <w:pPr>
              <w:pStyle w:val="1297"/>
              <w:pBdr/>
              <w:spacing/>
              <w:ind/>
              <w:rPr/>
            </w:pPr>
            <w:r>
              <w:t xml:space="preserve">relation:FUN + relation:STR; relation:INC on declared world-status or telos claim pairs. Dimension and scope separate defective-world exit from nonattachment and release from misidentification.</w:t>
            </w:r>
            <w:r/>
          </w:p>
        </w:tc>
        <w:tc>
          <w:tcPr>
            <w:tcBorders/>
            <w:tcMar>
              <w:left w:w="70" w:type="dxa"/>
              <w:top w:w="60" w:type="dxa"/>
              <w:right w:w="70" w:type="dxa"/>
              <w:bottom w:w="60" w:type="dxa"/>
            </w:tcMar>
            <w:tcW w:w="6886" w:type="dxa"/>
            <w:vAlign w:val="top"/>
          </w:tcPr>
          <w:p>
            <w:pPr>
              <w:pStyle w:val="1297"/>
              <w:pBdr/>
              <w:spacing/>
              <w:ind/>
              <w:rPr/>
            </w:pPr>
            <w:r>
              <w:t xml:space="preserve">Exact Claim pair, relation dimension and temporal/Position scope required; DISTORTING tertia carry relation:MIS until revised.</w:t>
            </w:r>
            <w:r/>
          </w:p>
        </w:tc>
        <w:tc>
          <w:tcPr>
            <w:tcBorders/>
            <w:tcMar>
              <w:left w:w="70" w:type="dxa"/>
              <w:top w:w="60" w:type="dxa"/>
              <w:right w:w="70" w:type="dxa"/>
              <w:bottom w:w="60" w:type="dxa"/>
            </w:tcMar>
            <w:tcW w:w="4368" w:type="dxa"/>
            <w:vAlign w:val="top"/>
          </w:tcPr>
          <w:p>
            <w:pPr>
              <w:pStyle w:val="1297"/>
              <w:pBdr/>
              <w:spacing/>
              <w:ind/>
              <w:rPr/>
            </w:pPr>
            <w:r>
              <w:t xml:space="preserve">Editorial hypothesis to test: Mostly independent across clusters. Independence is not established by this entry.</w:t>
            </w:r>
            <w:r/>
          </w:p>
        </w:tc>
      </w:tr>
      <w:tr>
        <w:trPr>
          <w:cantSplit/>
        </w:trPr>
        <w:tc>
          <w:tcPr>
            <w:shd w:val="clear" w:color="auto" w:fill="f7f9fa"/>
            <w:tcBorders/>
            <w:tcMar>
              <w:left w:w="70" w:type="dxa"/>
              <w:top w:w="60" w:type="dxa"/>
              <w:right w:w="70" w:type="dxa"/>
              <w:bottom w:w="60" w:type="dxa"/>
            </w:tcMar>
            <w:tcW w:w="740" w:type="dxa"/>
            <w:vAlign w:val="top"/>
          </w:tcPr>
          <w:p>
            <w:pPr>
              <w:pStyle w:val="1297"/>
              <w:pBdr/>
              <w:spacing/>
              <w:ind/>
              <w:rPr/>
            </w:pPr>
            <w:r>
              <w:t xml:space="preserve">P4</w:t>
            </w:r>
            <w:r/>
          </w:p>
        </w:tc>
        <w:tc>
          <w:tcPr>
            <w:shd w:val="clear" w:color="auto" w:fill="f7f9fa"/>
            <w:tcBorders/>
            <w:tcMar>
              <w:left w:w="70" w:type="dxa"/>
              <w:top w:w="60" w:type="dxa"/>
              <w:right w:w="70" w:type="dxa"/>
              <w:bottom w:w="60" w:type="dxa"/>
            </w:tcMar>
            <w:tcW w:w="3258" w:type="dxa"/>
            <w:vAlign w:val="top"/>
          </w:tcPr>
          <w:p>
            <w:pPr>
              <w:pStyle w:val="1297"/>
              <w:pBdr/>
              <w:spacing/>
              <w:ind/>
              <w:rPr/>
            </w:pPr>
            <w:r>
              <w:t xml:space="preserve">relation:STR + relation:FUN; relation:INC at explicitly bounded ONTOLOGY_ENTITY_TYPE or PERSONHOOD_SUBJECT_STRUCTURE claim pairs.</w:t>
            </w:r>
            <w:r/>
          </w:p>
        </w:tc>
        <w:tc>
          <w:tcPr>
            <w:shd w:val="clear" w:color="auto" w:fill="f7f9fa"/>
            <w:tcBorders/>
            <w:tcMar>
              <w:left w:w="70" w:type="dxa"/>
              <w:top w:w="60" w:type="dxa"/>
              <w:right w:w="70" w:type="dxa"/>
              <w:bottom w:w="60" w:type="dxa"/>
            </w:tcMar>
            <w:tcW w:w="6886" w:type="dxa"/>
            <w:vAlign w:val="top"/>
          </w:tcPr>
          <w:p>
            <w:pPr>
              <w:pStyle w:val="1297"/>
              <w:pBdr/>
              <w:spacing/>
              <w:ind/>
              <w:rPr/>
            </w:pPr>
            <w:r>
              <w:t xml:space="preserve">Exact Claim pair, relation dimension and temporal/Position scope required; DISTORTING tertia carry relation:MIS until revised.</w:t>
            </w:r>
            <w:r/>
          </w:p>
        </w:tc>
        <w:tc>
          <w:tcPr>
            <w:shd w:val="clear" w:color="auto" w:fill="f7f9fa"/>
            <w:tcBorders/>
            <w:tcMar>
              <w:left w:w="70" w:type="dxa"/>
              <w:top w:w="60" w:type="dxa"/>
              <w:right w:w="70" w:type="dxa"/>
              <w:bottom w:w="60" w:type="dxa"/>
            </w:tcMar>
            <w:tcW w:w="4368" w:type="dxa"/>
            <w:vAlign w:val="top"/>
          </w:tcPr>
          <w:p>
            <w:pPr>
              <w:pStyle w:val="1297"/>
              <w:pBdr/>
              <w:spacing/>
              <w:ind/>
              <w:rPr/>
            </w:pPr>
            <w:r>
              <w:t xml:space="preserve">Editorial hypothesis to test: Cross-cultural cases largely independent; European internal genealogy remains relevant. Independence is not established by this entry.</w:t>
            </w:r>
            <w:r/>
          </w:p>
        </w:tc>
      </w:tr>
      <w:tr>
        <w:trPr>
          <w:cantSplit/>
        </w:trPr>
        <w:tc>
          <w:tcPr>
            <w:tcBorders/>
            <w:tcMar>
              <w:left w:w="70" w:type="dxa"/>
              <w:top w:w="60" w:type="dxa"/>
              <w:right w:w="70" w:type="dxa"/>
              <w:bottom w:w="60" w:type="dxa"/>
            </w:tcMar>
            <w:tcW w:w="740" w:type="dxa"/>
            <w:vAlign w:val="top"/>
          </w:tcPr>
          <w:p>
            <w:pPr>
              <w:pStyle w:val="1297"/>
              <w:pBdr/>
              <w:spacing/>
              <w:ind/>
              <w:rPr/>
            </w:pPr>
            <w:r>
              <w:t xml:space="preserve">P5</w:t>
            </w:r>
            <w:r/>
          </w:p>
        </w:tc>
        <w:tc>
          <w:tcPr>
            <w:tcBorders/>
            <w:tcMar>
              <w:left w:w="70" w:type="dxa"/>
              <w:top w:w="60" w:type="dxa"/>
              <w:right w:w="70" w:type="dxa"/>
              <w:bottom w:w="60" w:type="dxa"/>
            </w:tcMar>
            <w:tcW w:w="3258" w:type="dxa"/>
            <w:vAlign w:val="top"/>
          </w:tcPr>
          <w:p>
            <w:pPr>
              <w:pStyle w:val="1297"/>
              <w:pBdr/>
              <w:spacing/>
              <w:ind/>
              <w:rPr/>
            </w:pPr>
            <w:r>
              <w:t xml:space="preserve">relation:STR; relation:OCO only on compatible bounded propositions; relation:INC on different exact claim pairs/scopes. Same-key OCO+INC is prohibited.</w:t>
            </w:r>
            <w:r/>
          </w:p>
        </w:tc>
        <w:tc>
          <w:tcPr>
            <w:tcBorders/>
            <w:tcMar>
              <w:left w:w="70" w:type="dxa"/>
              <w:top w:w="60" w:type="dxa"/>
              <w:right w:w="70" w:type="dxa"/>
              <w:bottom w:w="60" w:type="dxa"/>
            </w:tcMar>
            <w:tcW w:w="6886" w:type="dxa"/>
            <w:vAlign w:val="top"/>
          </w:tcPr>
          <w:p>
            <w:pPr>
              <w:pStyle w:val="1297"/>
              <w:pBdr/>
              <w:spacing/>
              <w:ind/>
              <w:rPr/>
            </w:pPr>
            <w:r>
              <w:t xml:space="preserve">Exact Claim pair, relation dimension and temporal/Position scope required; DISTORTING tertia carry relation:MIS until revised.</w:t>
            </w:r>
            <w:r/>
          </w:p>
        </w:tc>
        <w:tc>
          <w:tcPr>
            <w:tcBorders/>
            <w:tcMar>
              <w:left w:w="70" w:type="dxa"/>
              <w:top w:w="60" w:type="dxa"/>
              <w:right w:w="70" w:type="dxa"/>
              <w:bottom w:w="60" w:type="dxa"/>
            </w:tcMar>
            <w:tcW w:w="4368" w:type="dxa"/>
            <w:vAlign w:val="top"/>
          </w:tcPr>
          <w:p>
            <w:pPr>
              <w:pStyle w:val="1297"/>
              <w:pBdr/>
              <w:spacing/>
              <w:ind/>
              <w:rPr/>
            </w:pPr>
            <w:r>
              <w:t xml:space="preserve">Historical genealogies differ; contemporary analytic debate has direct genealogy.</w:t>
            </w:r>
            <w:r/>
          </w:p>
        </w:tc>
      </w:tr>
      <w:tr>
        <w:trPr>
          <w:cantSplit/>
        </w:trPr>
        <w:tc>
          <w:tcPr>
            <w:shd w:val="clear" w:color="auto" w:fill="f7f9fa"/>
            <w:tcBorders/>
            <w:tcMar>
              <w:left w:w="70" w:type="dxa"/>
              <w:top w:w="60" w:type="dxa"/>
              <w:right w:w="70" w:type="dxa"/>
              <w:bottom w:w="60" w:type="dxa"/>
            </w:tcMar>
            <w:tcW w:w="740" w:type="dxa"/>
            <w:vAlign w:val="top"/>
          </w:tcPr>
          <w:p>
            <w:pPr>
              <w:pStyle w:val="1297"/>
              <w:pBdr/>
              <w:spacing/>
              <w:ind/>
              <w:rPr/>
            </w:pPr>
            <w:r>
              <w:t xml:space="preserve">P6</w:t>
            </w:r>
            <w:r/>
          </w:p>
        </w:tc>
        <w:tc>
          <w:tcPr>
            <w:shd w:val="clear" w:color="auto" w:fill="f7f9fa"/>
            <w:tcBorders/>
            <w:tcMar>
              <w:left w:w="70" w:type="dxa"/>
              <w:top w:w="60" w:type="dxa"/>
              <w:right w:w="70" w:type="dxa"/>
              <w:bottom w:w="60" w:type="dxa"/>
            </w:tcMar>
            <w:tcW w:w="3258" w:type="dxa"/>
            <w:vAlign w:val="top"/>
          </w:tcPr>
          <w:p>
            <w:pPr>
              <w:pStyle w:val="1297"/>
              <w:pBdr/>
              <w:spacing/>
              <w:ind/>
              <w:rPr/>
            </w:pPr>
            <w:r>
              <w:t xml:space="preserve">relation:STR + relation:FUN across distinct GROUNDING_CAUSATION and PERSONHOOD_SUBJECT_STRUCTURE/agency dimensions; no inference from one dimension to the other.</w:t>
            </w:r>
            <w:r/>
          </w:p>
        </w:tc>
        <w:tc>
          <w:tcPr>
            <w:shd w:val="clear" w:color="auto" w:fill="f7f9fa"/>
            <w:tcBorders/>
            <w:tcMar>
              <w:left w:w="70" w:type="dxa"/>
              <w:top w:w="60" w:type="dxa"/>
              <w:right w:w="70" w:type="dxa"/>
              <w:bottom w:w="60" w:type="dxa"/>
            </w:tcMar>
            <w:tcW w:w="6886" w:type="dxa"/>
            <w:vAlign w:val="top"/>
          </w:tcPr>
          <w:p>
            <w:pPr>
              <w:pStyle w:val="1297"/>
              <w:pBdr/>
              <w:spacing/>
              <w:ind/>
              <w:rPr/>
            </w:pPr>
            <w:r>
              <w:t xml:space="preserve">Exact Claim pair, relation dimension and temporal/Position scope required; DISTORTING tertia carry relation:MIS until revised.</w:t>
            </w:r>
            <w:r/>
          </w:p>
        </w:tc>
        <w:tc>
          <w:tcPr>
            <w:shd w:val="clear" w:color="auto" w:fill="f7f9fa"/>
            <w:tcBorders/>
            <w:tcMar>
              <w:left w:w="70" w:type="dxa"/>
              <w:top w:w="60" w:type="dxa"/>
              <w:right w:w="70" w:type="dxa"/>
              <w:bottom w:w="60" w:type="dxa"/>
            </w:tcMar>
            <w:tcW w:w="4368" w:type="dxa"/>
            <w:vAlign w:val="top"/>
          </w:tcPr>
          <w:p>
            <w:pPr>
              <w:pStyle w:val="1297"/>
              <w:pBdr/>
              <w:spacing/>
              <w:ind/>
              <w:rPr/>
            </w:pPr>
            <w:r>
              <w:t xml:space="preserve">Editorial hypothesis to test: Multiple independently developed solutions; exact contact status remains pair-specific. Independence is not established by this entry.</w:t>
            </w:r>
            <w:r/>
          </w:p>
        </w:tc>
      </w:tr>
      <w:tr>
        <w:trPr>
          <w:cantSplit/>
        </w:trPr>
        <w:tc>
          <w:tcPr>
            <w:tcBorders/>
            <w:tcMar>
              <w:left w:w="70" w:type="dxa"/>
              <w:top w:w="60" w:type="dxa"/>
              <w:right w:w="70" w:type="dxa"/>
              <w:bottom w:w="60" w:type="dxa"/>
            </w:tcMar>
            <w:tcW w:w="740" w:type="dxa"/>
            <w:vAlign w:val="top"/>
          </w:tcPr>
          <w:p>
            <w:pPr>
              <w:pStyle w:val="1297"/>
              <w:pBdr/>
              <w:spacing/>
              <w:ind/>
              <w:rPr/>
            </w:pPr>
            <w:r>
              <w:t xml:space="preserve">P7</w:t>
            </w:r>
            <w:r/>
          </w:p>
        </w:tc>
        <w:tc>
          <w:tcPr>
            <w:tcBorders/>
            <w:tcMar>
              <w:left w:w="70" w:type="dxa"/>
              <w:top w:w="60" w:type="dxa"/>
              <w:right w:w="70" w:type="dxa"/>
              <w:bottom w:w="60" w:type="dxa"/>
            </w:tcMar>
            <w:tcW w:w="3258" w:type="dxa"/>
            <w:vAlign w:val="top"/>
          </w:tcPr>
          <w:p>
            <w:pPr>
              <w:pStyle w:val="1297"/>
              <w:pBdr/>
              <w:spacing/>
              <w:ind/>
              <w:rPr/>
            </w:pPr>
            <w:r>
              <w:t xml:space="preserve">relation:MIS marks a DISTORTING terminal/open-ended tertium where applicable; positive relation:FUN or relation:STR requires a revised event under a valid PRAXIS_TELOS scope.</w:t>
            </w:r>
            <w:r/>
          </w:p>
        </w:tc>
        <w:tc>
          <w:tcPr>
            <w:tcBorders/>
            <w:tcMar>
              <w:left w:w="70" w:type="dxa"/>
              <w:top w:w="60" w:type="dxa"/>
              <w:right w:w="70" w:type="dxa"/>
              <w:bottom w:w="60" w:type="dxa"/>
            </w:tcMar>
            <w:tcW w:w="6886" w:type="dxa"/>
            <w:vAlign w:val="top"/>
          </w:tcPr>
          <w:p>
            <w:pPr>
              <w:pStyle w:val="1297"/>
              <w:pBdr/>
              <w:spacing/>
              <w:ind/>
              <w:rPr/>
            </w:pPr>
            <w:r>
              <w:t xml:space="preserve">Exact Claim pair, relation dimension and temporal/Position scope required; DISTORTING tertia carry relation:MIS until revised.</w:t>
            </w:r>
            <w:r/>
          </w:p>
        </w:tc>
        <w:tc>
          <w:tcPr>
            <w:tcBorders/>
            <w:tcMar>
              <w:left w:w="70" w:type="dxa"/>
              <w:top w:w="60" w:type="dxa"/>
              <w:right w:w="70" w:type="dxa"/>
              <w:bottom w:w="60" w:type="dxa"/>
            </w:tcMar>
            <w:tcW w:w="4368" w:type="dxa"/>
            <w:vAlign w:val="top"/>
          </w:tcPr>
          <w:p>
            <w:pPr>
              <w:pStyle w:val="1297"/>
              <w:pBdr/>
              <w:spacing/>
              <w:ind/>
              <w:rPr/>
            </w:pPr>
            <w:r>
              <w:t xml:space="preserve">No global genealogy established.</w:t>
            </w:r>
            <w:r/>
          </w:p>
        </w:tc>
      </w:tr>
      <w:tr>
        <w:trPr>
          <w:cantSplit/>
        </w:trPr>
        <w:tc>
          <w:tcPr>
            <w:shd w:val="clear" w:color="auto" w:fill="f7f9fa"/>
            <w:tcBorders/>
            <w:tcMar>
              <w:left w:w="70" w:type="dxa"/>
              <w:top w:w="60" w:type="dxa"/>
              <w:right w:w="70" w:type="dxa"/>
              <w:bottom w:w="60" w:type="dxa"/>
            </w:tcMar>
            <w:tcW w:w="740" w:type="dxa"/>
            <w:vAlign w:val="top"/>
          </w:tcPr>
          <w:p>
            <w:pPr>
              <w:pStyle w:val="1297"/>
              <w:pBdr/>
              <w:spacing/>
              <w:ind/>
              <w:rPr/>
            </w:pPr>
            <w:r>
              <w:t xml:space="preserve">F1</w:t>
            </w:r>
            <w:r/>
          </w:p>
        </w:tc>
        <w:tc>
          <w:tcPr>
            <w:shd w:val="clear" w:color="auto" w:fill="f7f9fa"/>
            <w:tcBorders/>
            <w:tcMar>
              <w:left w:w="70" w:type="dxa"/>
              <w:top w:w="60" w:type="dxa"/>
              <w:right w:w="70" w:type="dxa"/>
              <w:bottom w:w="60" w:type="dxa"/>
            </w:tcMar>
            <w:tcW w:w="3258" w:type="dxa"/>
            <w:vAlign w:val="top"/>
          </w:tcPr>
          <w:p>
            <w:pPr>
              <w:pStyle w:val="1297"/>
              <w:pBdr/>
              <w:spacing/>
              <w:ind/>
              <w:rPr/>
            </w:pPr>
            <w:r>
              <w:t xml:space="preserve">relation:INC on exact self/ultimacy propositions; relation:FUN and relation:STR may coexist on different dimensions with linked disanalogies.</w:t>
            </w:r>
            <w:r/>
          </w:p>
        </w:tc>
        <w:tc>
          <w:tcPr>
            <w:shd w:val="clear" w:color="auto" w:fill="f7f9fa"/>
            <w:tcBorders/>
            <w:tcMar>
              <w:left w:w="70" w:type="dxa"/>
              <w:top w:w="60" w:type="dxa"/>
              <w:right w:w="70" w:type="dxa"/>
              <w:bottom w:w="60" w:type="dxa"/>
            </w:tcMar>
            <w:tcW w:w="6886" w:type="dxa"/>
            <w:vAlign w:val="top"/>
          </w:tcPr>
          <w:p>
            <w:pPr>
              <w:pStyle w:val="1297"/>
              <w:pBdr/>
              <w:spacing/>
              <w:ind/>
              <w:rPr/>
            </w:pPr>
            <w:r>
              <w:t xml:space="preserve">Exact Claim pair, relation dimension and temporal/Position scope required; DISTORTING tertia carry relation:MIS until revised.</w:t>
            </w:r>
            <w:r/>
          </w:p>
        </w:tc>
        <w:tc>
          <w:tcPr>
            <w:shd w:val="clear" w:color="auto" w:fill="f7f9fa"/>
            <w:tcBorders/>
            <w:tcMar>
              <w:left w:w="70" w:type="dxa"/>
              <w:top w:w="60" w:type="dxa"/>
              <w:right w:w="70" w:type="dxa"/>
              <w:bottom w:w="60" w:type="dxa"/>
            </w:tcMar>
            <w:tcW w:w="4368" w:type="dxa"/>
            <w:vAlign w:val="top"/>
          </w:tcPr>
          <w:p>
            <w:pPr>
              <w:pStyle w:val="1297"/>
              <w:pBdr/>
              <w:spacing/>
              <w:ind/>
              <w:rPr/>
            </w:pPr>
            <w:r>
              <w:t xml:space="preserve">No direct cross-school equivalence or genealogy inferred.</w:t>
            </w:r>
            <w:r/>
          </w:p>
        </w:tc>
      </w:tr>
      <w:tr>
        <w:trPr>
          <w:cantSplit/>
        </w:trPr>
        <w:tc>
          <w:tcPr>
            <w:tcBorders/>
            <w:tcMar>
              <w:left w:w="70" w:type="dxa"/>
              <w:top w:w="60" w:type="dxa"/>
              <w:right w:w="70" w:type="dxa"/>
              <w:bottom w:w="60" w:type="dxa"/>
            </w:tcMar>
            <w:tcW w:w="740" w:type="dxa"/>
            <w:vAlign w:val="top"/>
          </w:tcPr>
          <w:p>
            <w:pPr>
              <w:pStyle w:val="1297"/>
              <w:pBdr/>
              <w:spacing/>
              <w:ind/>
              <w:rPr/>
            </w:pPr>
            <w:r>
              <w:t xml:space="preserve">F2</w:t>
            </w:r>
            <w:r/>
          </w:p>
        </w:tc>
        <w:tc>
          <w:tcPr>
            <w:tcBorders/>
            <w:tcMar>
              <w:left w:w="70" w:type="dxa"/>
              <w:top w:w="60" w:type="dxa"/>
              <w:right w:w="70" w:type="dxa"/>
              <w:bottom w:w="60" w:type="dxa"/>
            </w:tcMar>
            <w:tcW w:w="3258" w:type="dxa"/>
            <w:vAlign w:val="top"/>
          </w:tcPr>
          <w:p>
            <w:pPr>
              <w:pStyle w:val="1297"/>
              <w:pBdr/>
              <w:spacing/>
              <w:ind/>
              <w:rPr/>
            </w:pPr>
            <w:r>
              <w:t xml:space="preserve">relation:INC plus contextual relation:LEX and relation:GEN; genealogy remains orthogonal to incompatibility.</w:t>
            </w:r>
            <w:r/>
          </w:p>
        </w:tc>
        <w:tc>
          <w:tcPr>
            <w:tcBorders/>
            <w:tcMar>
              <w:left w:w="70" w:type="dxa"/>
              <w:top w:w="60" w:type="dxa"/>
              <w:right w:w="70" w:type="dxa"/>
              <w:bottom w:w="60" w:type="dxa"/>
            </w:tcMar>
            <w:tcW w:w="6886" w:type="dxa"/>
            <w:vAlign w:val="top"/>
          </w:tcPr>
          <w:p>
            <w:pPr>
              <w:pStyle w:val="1297"/>
              <w:pBdr/>
              <w:spacing/>
              <w:ind/>
              <w:rPr/>
            </w:pPr>
            <w:r>
              <w:t xml:space="preserve">Exact Claim pair, relation dimension and temporal/Position scope required; DISTORTING tertia carry relation:MIS until revised.</w:t>
            </w:r>
            <w:r/>
          </w:p>
        </w:tc>
        <w:tc>
          <w:tcPr>
            <w:tcBorders/>
            <w:tcMar>
              <w:left w:w="70" w:type="dxa"/>
              <w:top w:w="60" w:type="dxa"/>
              <w:right w:w="70" w:type="dxa"/>
              <w:bottom w:w="60" w:type="dxa"/>
            </w:tcMar>
            <w:tcW w:w="4368" w:type="dxa"/>
            <w:vAlign w:val="top"/>
          </w:tcPr>
          <w:p>
            <w:pPr>
              <w:pStyle w:val="1297"/>
              <w:pBdr/>
              <w:spacing/>
              <w:ind/>
              <w:rPr/>
            </w:pPr>
            <w:r>
              <w:t xml:space="preserve">Shared late-antique/Christian scriptural field; exact historical relations bounded.</w:t>
            </w:r>
            <w:r/>
          </w:p>
        </w:tc>
      </w:tr>
      <w:tr>
        <w:trPr>
          <w:cantSplit/>
        </w:trPr>
        <w:tc>
          <w:tcPr>
            <w:shd w:val="clear" w:color="auto" w:fill="f7f9fa"/>
            <w:tcBorders/>
            <w:tcMar>
              <w:left w:w="70" w:type="dxa"/>
              <w:top w:w="60" w:type="dxa"/>
              <w:right w:w="70" w:type="dxa"/>
              <w:bottom w:w="60" w:type="dxa"/>
            </w:tcMar>
            <w:tcW w:w="740" w:type="dxa"/>
            <w:vAlign w:val="top"/>
          </w:tcPr>
          <w:p>
            <w:pPr>
              <w:pStyle w:val="1297"/>
              <w:pBdr/>
              <w:spacing/>
              <w:ind/>
              <w:rPr/>
            </w:pPr>
            <w:r>
              <w:t xml:space="preserve">F3</w:t>
            </w:r>
            <w:r/>
          </w:p>
        </w:tc>
        <w:tc>
          <w:tcPr>
            <w:shd w:val="clear" w:color="auto" w:fill="f7f9fa"/>
            <w:tcBorders/>
            <w:tcMar>
              <w:left w:w="70" w:type="dxa"/>
              <w:top w:w="60" w:type="dxa"/>
              <w:right w:w="70" w:type="dxa"/>
              <w:bottom w:w="60" w:type="dxa"/>
            </w:tcMar>
            <w:tcW w:w="3258" w:type="dxa"/>
            <w:vAlign w:val="top"/>
          </w:tcPr>
          <w:p>
            <w:pPr>
              <w:pStyle w:val="1297"/>
              <w:pBdr/>
              <w:spacing/>
              <w:ind/>
              <w:rPr/>
            </w:pPr>
            <w:r>
              <w:t xml:space="preserve">relation:INC for Papineau/micropsychist ontology claims; relation:OCO and relation:STR only for different claim pairs or wider scopes. Same-key contradiction is prohibited.</w:t>
            </w:r>
            <w:r/>
          </w:p>
        </w:tc>
        <w:tc>
          <w:tcPr>
            <w:shd w:val="clear" w:color="auto" w:fill="f7f9fa"/>
            <w:tcBorders/>
            <w:tcMar>
              <w:left w:w="70" w:type="dxa"/>
              <w:top w:w="60" w:type="dxa"/>
              <w:right w:w="70" w:type="dxa"/>
              <w:bottom w:w="60" w:type="dxa"/>
            </w:tcMar>
            <w:tcW w:w="6886" w:type="dxa"/>
            <w:vAlign w:val="top"/>
          </w:tcPr>
          <w:p>
            <w:pPr>
              <w:pStyle w:val="1297"/>
              <w:pBdr/>
              <w:spacing/>
              <w:ind/>
              <w:rPr/>
            </w:pPr>
            <w:r>
              <w:t xml:space="preserve">Exact Claim pair, relation dimension and temporal/Position scope required; DISTORTING tertia carry relation:MIS until revised.</w:t>
            </w:r>
            <w:r/>
          </w:p>
        </w:tc>
        <w:tc>
          <w:tcPr>
            <w:shd w:val="clear" w:color="auto" w:fill="f7f9fa"/>
            <w:tcBorders/>
            <w:tcMar>
              <w:left w:w="70" w:type="dxa"/>
              <w:top w:w="60" w:type="dxa"/>
              <w:right w:w="70" w:type="dxa"/>
              <w:bottom w:w="60" w:type="dxa"/>
            </w:tcMar>
            <w:tcW w:w="4368" w:type="dxa"/>
            <w:vAlign w:val="top"/>
          </w:tcPr>
          <w:p>
            <w:pPr>
              <w:pStyle w:val="1297"/>
              <w:pBdr/>
              <w:spacing/>
              <w:ind/>
              <w:rPr/>
            </w:pPr>
            <w:r>
              <w:t xml:space="preserve">Direct contemporary debate genealogy.</w:t>
            </w:r>
            <w:r/>
          </w:p>
        </w:tc>
      </w:tr>
      <w:tr>
        <w:trPr>
          <w:cantSplit/>
        </w:trPr>
        <w:tc>
          <w:tcPr>
            <w:tcBorders/>
            <w:tcMar>
              <w:left w:w="70" w:type="dxa"/>
              <w:top w:w="60" w:type="dxa"/>
              <w:right w:w="70" w:type="dxa"/>
              <w:bottom w:w="60" w:type="dxa"/>
            </w:tcMar>
            <w:tcW w:w="740" w:type="dxa"/>
            <w:vAlign w:val="top"/>
          </w:tcPr>
          <w:p>
            <w:pPr>
              <w:pStyle w:val="1297"/>
              <w:pBdr/>
              <w:spacing/>
              <w:ind/>
              <w:rPr/>
            </w:pPr>
            <w:r>
              <w:t xml:space="preserve">F4</w:t>
            </w:r>
            <w:r/>
          </w:p>
        </w:tc>
        <w:tc>
          <w:tcPr>
            <w:tcBorders/>
            <w:tcMar>
              <w:left w:w="70" w:type="dxa"/>
              <w:top w:w="60" w:type="dxa"/>
              <w:right w:w="70" w:type="dxa"/>
              <w:bottom w:w="60" w:type="dxa"/>
            </w:tcMar>
            <w:tcW w:w="3258" w:type="dxa"/>
            <w:vAlign w:val="top"/>
          </w:tcPr>
          <w:p>
            <w:pPr>
              <w:pStyle w:val="1297"/>
              <w:pBdr/>
              <w:spacing/>
              <w:ind/>
              <w:rPr/>
            </w:pPr>
            <w:r>
              <w:t xml:space="preserve">A generic personhood tertium may be DISTORTING and carry relation:MIS only. Positive relation:SEM or relation:STR requires a revised event under an explicit dimension and scope.</w:t>
            </w:r>
            <w:r/>
          </w:p>
        </w:tc>
        <w:tc>
          <w:tcPr>
            <w:tcBorders/>
            <w:tcMar>
              <w:left w:w="70" w:type="dxa"/>
              <w:top w:w="60" w:type="dxa"/>
              <w:right w:w="70" w:type="dxa"/>
              <w:bottom w:w="60" w:type="dxa"/>
            </w:tcMar>
            <w:tcW w:w="6886" w:type="dxa"/>
            <w:vAlign w:val="top"/>
          </w:tcPr>
          <w:p>
            <w:pPr>
              <w:pStyle w:val="1297"/>
              <w:pBdr/>
              <w:spacing/>
              <w:ind/>
              <w:rPr/>
            </w:pPr>
            <w:r>
              <w:t xml:space="preserve">The</w:t>
            </w:r>
            <w:r>
              <w:t xml:space="preserve"> human-exclusive pole requires a named bounded Position and exact Claims; until then, it supplies no evidence of incompatibility. Exact Claim pair, relation dimension and temporal/Position scope required; DISTORTING tertia carry relation:MIS until revised.</w:t>
            </w:r>
            <w:r/>
          </w:p>
        </w:tc>
        <w:tc>
          <w:tcPr>
            <w:tcBorders/>
            <w:tcMar>
              <w:left w:w="70" w:type="dxa"/>
              <w:top w:w="60" w:type="dxa"/>
              <w:right w:w="70" w:type="dxa"/>
              <w:bottom w:w="60" w:type="dxa"/>
            </w:tcMar>
            <w:tcW w:w="4368" w:type="dxa"/>
            <w:vAlign w:val="top"/>
          </w:tcPr>
          <w:p>
            <w:pPr>
              <w:pStyle w:val="1297"/>
              <w:pBdr/>
              <w:spacing/>
              <w:ind/>
              <w:rPr/>
            </w:pPr>
            <w:r>
              <w:t xml:space="preserve">Editorial hypothesis to test: Mostly independent; local/community cases require governance evidence. Independence is not established by this entry.</w:t>
            </w:r>
            <w:r/>
          </w:p>
        </w:tc>
      </w:tr>
    </w:tbl>
    <w:p>
      <w:pPr>
        <w:pStyle w:val="1300"/>
        <w:pBdr/>
        <w:spacing/>
        <w:ind/>
        <w:rPr/>
      </w:pPr>
      <w:r/>
      <w:r/>
    </w:p>
    <w:p>
      <w:pPr>
        <w:pStyle w:val="1136"/>
        <w:keepNext w:val="true"/>
        <w:keepLines w:val="true"/>
        <w:pageBreakBefore w:val="true"/>
        <w:pBdr/>
        <w:spacing/>
        <w:ind/>
        <w:rPr/>
      </w:pPr>
      <w:r/>
      <w:bookmarkStart w:id="205" w:name="C3"/>
      <w:r>
        <w:t xml:space="preserve">C3. Level and publication disposition</w:t>
      </w:r>
      <w:bookmarkEnd w:id="205"/>
      <w:r/>
      <w:r/>
    </w:p>
    <w:p>
      <w:pPr>
        <w:pStyle w:val="1184"/>
        <w:keepNext w:val="true"/>
        <w:keepLines w:val="true"/>
        <w:pBdr/>
        <w:spacing/>
        <w:ind/>
        <w:rPr/>
      </w:pPr>
      <w:r/>
      <w:bookmarkStart w:id="206" w:name="T_FAULT_DISPOSITION"/>
      <w:r>
        <w:t xml:space="preserve">Governing — Comparison and fault-line publication disposition</w:t>
      </w:r>
      <w:bookmarkEnd w:id="206"/>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814"/>
        <w:gridCol w:w="1111"/>
        <w:gridCol w:w="13330"/>
      </w:tblGrid>
      <w:tr>
        <w:trPr>
          <w:cantSplit/>
          <w:tblHeader/>
        </w:trPr>
        <w:tc>
          <w:tcPr>
            <w:shd w:val="clear" w:color="auto" w:fill="1f5a73"/>
            <w:tcBorders/>
            <w:tcMar>
              <w:left w:w="70" w:type="dxa"/>
              <w:top w:w="60" w:type="dxa"/>
              <w:right w:w="70" w:type="dxa"/>
              <w:bottom w:w="60" w:type="dxa"/>
            </w:tcMar>
            <w:tcW w:w="814" w:type="dxa"/>
            <w:vAlign w:val="top"/>
          </w:tcPr>
          <w:p>
            <w:pPr>
              <w:pStyle w:val="1299"/>
              <w:pBdr/>
              <w:spacing/>
              <w:ind/>
              <w:rPr/>
            </w:pPr>
            <w:r>
              <w:t xml:space="preserve">ID</w:t>
            </w:r>
            <w:r/>
          </w:p>
        </w:tc>
        <w:tc>
          <w:tcPr>
            <w:shd w:val="clear" w:color="auto" w:fill="1f5a73"/>
            <w:tcBorders/>
            <w:tcMar>
              <w:left w:w="70" w:type="dxa"/>
              <w:top w:w="60" w:type="dxa"/>
              <w:right w:w="70" w:type="dxa"/>
              <w:bottom w:w="60" w:type="dxa"/>
            </w:tcMar>
            <w:tcW w:w="1111" w:type="dxa"/>
            <w:vAlign w:val="top"/>
          </w:tcPr>
          <w:p>
            <w:pPr>
              <w:pStyle w:val="1299"/>
              <w:pBdr/>
              <w:spacing/>
              <w:ind/>
              <w:rPr/>
            </w:pPr>
            <w:r>
              <w:t xml:space="preserve">Level</w:t>
            </w:r>
            <w:r/>
          </w:p>
        </w:tc>
        <w:tc>
          <w:tcPr>
            <w:shd w:val="clear" w:color="auto" w:fill="1f5a73"/>
            <w:tcBorders/>
            <w:tcMar>
              <w:left w:w="70" w:type="dxa"/>
              <w:top w:w="60" w:type="dxa"/>
              <w:right w:w="70" w:type="dxa"/>
              <w:bottom w:w="60" w:type="dxa"/>
            </w:tcMar>
            <w:tcW w:w="13330" w:type="dxa"/>
            <w:vAlign w:val="top"/>
          </w:tcPr>
          <w:p>
            <w:pPr>
              <w:pStyle w:val="1299"/>
              <w:pBdr/>
              <w:spacing/>
              <w:ind/>
              <w:rPr/>
            </w:pPr>
            <w:r>
              <w:t xml:space="preserve">Publication scope or next action</w:t>
            </w:r>
            <w:r/>
          </w:p>
        </w:tc>
      </w:tr>
      <w:tr>
        <w:trPr>
          <w:cantSplit/>
        </w:trPr>
        <w:tc>
          <w:tcPr>
            <w:tcBorders/>
            <w:tcMar>
              <w:left w:w="70" w:type="dxa"/>
              <w:top w:w="60" w:type="dxa"/>
              <w:right w:w="70" w:type="dxa"/>
              <w:bottom w:w="60" w:type="dxa"/>
            </w:tcMar>
            <w:tcW w:w="814" w:type="dxa"/>
            <w:vAlign w:val="top"/>
          </w:tcPr>
          <w:p>
            <w:pPr>
              <w:pStyle w:val="1297"/>
              <w:pBdr/>
              <w:spacing/>
              <w:ind/>
              <w:rPr/>
            </w:pPr>
            <w:r>
              <w:t xml:space="preserve">P1</w:t>
            </w:r>
            <w:r/>
          </w:p>
        </w:tc>
        <w:tc>
          <w:tcPr>
            <w:tcBorders/>
            <w:tcMar>
              <w:left w:w="70" w:type="dxa"/>
              <w:top w:w="60" w:type="dxa"/>
              <w:right w:w="70" w:type="dxa"/>
              <w:bottom w:w="60" w:type="dxa"/>
            </w:tcMar>
            <w:tcW w:w="1111" w:type="dxa"/>
            <w:vAlign w:val="top"/>
          </w:tcPr>
          <w:p>
            <w:pPr>
              <w:pStyle w:val="1297"/>
              <w:pBdr/>
              <w:spacing/>
              <w:ind/>
              <w:rPr/>
            </w:pPr>
            <w:r>
              <w:t xml:space="preserve">L2</w:t>
            </w:r>
            <w:r/>
          </w:p>
        </w:tc>
        <w:tc>
          <w:tcPr>
            <w:tcBorders/>
            <w:tcMar>
              <w:left w:w="70" w:type="dxa"/>
              <w:top w:w="60" w:type="dxa"/>
              <w:right w:w="70" w:type="dxa"/>
              <w:bottom w:w="60" w:type="dxa"/>
            </w:tcMar>
            <w:tcW w:w="13330" w:type="dxa"/>
            <w:vAlign w:val="top"/>
          </w:tcPr>
          <w:p>
            <w:pPr>
              <w:pStyle w:val="1297"/>
              <w:pBdr/>
              <w:spacing/>
              <w:ind/>
              <w:rPr/>
            </w:pPr>
            <w:r>
              <w:t xml:space="preserve">Permit a subdivided family of cognitive misidentification, reification and self-deception only; no universal diagnosis.</w:t>
            </w:r>
            <w:r/>
          </w:p>
        </w:tc>
      </w:tr>
      <w:tr>
        <w:trPr>
          <w:cantSplit/>
        </w:trPr>
        <w:tc>
          <w:tcPr>
            <w:shd w:val="clear" w:color="auto" w:fill="f7f9fa"/>
            <w:tcBorders/>
            <w:tcMar>
              <w:left w:w="70" w:type="dxa"/>
              <w:top w:w="60" w:type="dxa"/>
              <w:right w:w="70" w:type="dxa"/>
              <w:bottom w:w="60" w:type="dxa"/>
            </w:tcMar>
            <w:tcW w:w="814" w:type="dxa"/>
            <w:vAlign w:val="top"/>
          </w:tcPr>
          <w:p>
            <w:pPr>
              <w:pStyle w:val="1297"/>
              <w:pBdr/>
              <w:spacing/>
              <w:ind/>
              <w:rPr/>
            </w:pPr>
            <w:r>
              <w:t xml:space="preserve">P2</w:t>
            </w:r>
            <w:r/>
          </w:p>
        </w:tc>
        <w:tc>
          <w:tcPr>
            <w:shd w:val="clear" w:color="auto" w:fill="f7f9fa"/>
            <w:tcBorders/>
            <w:tcMar>
              <w:left w:w="70" w:type="dxa"/>
              <w:top w:w="60" w:type="dxa"/>
              <w:right w:w="70" w:type="dxa"/>
              <w:bottom w:w="60" w:type="dxa"/>
            </w:tcMar>
            <w:tcW w:w="1111" w:type="dxa"/>
            <w:vAlign w:val="top"/>
          </w:tcPr>
          <w:p>
            <w:pPr>
              <w:pStyle w:val="1297"/>
              <w:pBdr/>
              <w:spacing/>
              <w:ind/>
              <w:rPr/>
            </w:pPr>
            <w:r>
              <w:t xml:space="preserve">L2</w:t>
            </w:r>
            <w:r/>
          </w:p>
        </w:tc>
        <w:tc>
          <w:tcPr>
            <w:shd w:val="clear" w:color="auto" w:fill="f7f9fa"/>
            <w:tcBorders/>
            <w:tcMar>
              <w:left w:w="70" w:type="dxa"/>
              <w:top w:w="60" w:type="dxa"/>
              <w:right w:w="70" w:type="dxa"/>
              <w:bottom w:w="60" w:type="dxa"/>
            </w:tcMar>
            <w:tcW w:w="13330" w:type="dxa"/>
            <w:vAlign w:val="top"/>
          </w:tcPr>
          <w:p>
            <w:pPr>
              <w:pStyle w:val="1297"/>
              <w:pBdr/>
              <w:spacing/>
              <w:ind/>
              <w:rPr/>
            </w:pPr>
            <w:r>
              <w:t xml:space="preserve">Use only as a family of world-relation structures; prohibit generic “immanence” equivalence.</w:t>
            </w:r>
            <w:r/>
          </w:p>
        </w:tc>
      </w:tr>
      <w:tr>
        <w:trPr>
          <w:cantSplit/>
        </w:trPr>
        <w:tc>
          <w:tcPr>
            <w:tcBorders/>
            <w:tcMar>
              <w:left w:w="70" w:type="dxa"/>
              <w:top w:w="60" w:type="dxa"/>
              <w:right w:w="70" w:type="dxa"/>
              <w:bottom w:w="60" w:type="dxa"/>
            </w:tcMar>
            <w:tcW w:w="814" w:type="dxa"/>
            <w:vAlign w:val="top"/>
          </w:tcPr>
          <w:p>
            <w:pPr>
              <w:pStyle w:val="1297"/>
              <w:pBdr/>
              <w:spacing/>
              <w:ind/>
              <w:rPr/>
            </w:pPr>
            <w:r>
              <w:t xml:space="preserve">P3</w:t>
            </w:r>
            <w:r/>
          </w:p>
        </w:tc>
        <w:tc>
          <w:tcPr>
            <w:tcBorders/>
            <w:tcMar>
              <w:left w:w="70" w:type="dxa"/>
              <w:top w:w="60" w:type="dxa"/>
              <w:right w:w="70" w:type="dxa"/>
              <w:bottom w:w="60" w:type="dxa"/>
            </w:tcMar>
            <w:tcW w:w="1111" w:type="dxa"/>
            <w:vAlign w:val="top"/>
          </w:tcPr>
          <w:p>
            <w:pPr>
              <w:pStyle w:val="1297"/>
              <w:pBdr/>
              <w:spacing/>
              <w:ind/>
              <w:rPr/>
            </w:pPr>
            <w:r>
              <w:t xml:space="preserve">L2</w:t>
            </w:r>
            <w:r/>
          </w:p>
        </w:tc>
        <w:tc>
          <w:tcPr>
            <w:tcBorders/>
            <w:tcMar>
              <w:left w:w="70" w:type="dxa"/>
              <w:top w:w="60" w:type="dxa"/>
              <w:right w:w="70" w:type="dxa"/>
              <w:bottom w:w="60" w:type="dxa"/>
            </w:tcMar>
            <w:tcW w:w="13330" w:type="dxa"/>
            <w:vAlign w:val="top"/>
          </w:tcPr>
          <w:p>
            <w:pPr>
              <w:pStyle w:val="1297"/>
              <w:pBdr/>
              <w:spacing/>
              <w:ind/>
              <w:rPr/>
            </w:pPr>
            <w:r>
              <w:t xml:space="preserve">Split the motif before publication; no single world-rejection family.</w:t>
            </w:r>
            <w:r/>
          </w:p>
        </w:tc>
      </w:tr>
      <w:tr>
        <w:trPr>
          <w:cantSplit/>
        </w:trPr>
        <w:tc>
          <w:tcPr>
            <w:shd w:val="clear" w:color="auto" w:fill="f7f9fa"/>
            <w:tcBorders/>
            <w:tcMar>
              <w:left w:w="70" w:type="dxa"/>
              <w:top w:w="60" w:type="dxa"/>
              <w:right w:w="70" w:type="dxa"/>
              <w:bottom w:w="60" w:type="dxa"/>
            </w:tcMar>
            <w:tcW w:w="814" w:type="dxa"/>
            <w:vAlign w:val="top"/>
          </w:tcPr>
          <w:p>
            <w:pPr>
              <w:pStyle w:val="1297"/>
              <w:pBdr/>
              <w:spacing/>
              <w:ind/>
              <w:rPr/>
            </w:pPr>
            <w:r>
              <w:t xml:space="preserve">P4</w:t>
            </w:r>
            <w:r/>
          </w:p>
        </w:tc>
        <w:tc>
          <w:tcPr>
            <w:shd w:val="clear" w:color="auto" w:fill="f7f9fa"/>
            <w:tcBorders/>
            <w:tcMar>
              <w:left w:w="70" w:type="dxa"/>
              <w:top w:w="60" w:type="dxa"/>
              <w:right w:w="70" w:type="dxa"/>
              <w:bottom w:w="60" w:type="dxa"/>
            </w:tcMar>
            <w:tcW w:w="1111" w:type="dxa"/>
            <w:vAlign w:val="top"/>
          </w:tcPr>
          <w:p>
            <w:pPr>
              <w:pStyle w:val="1297"/>
              <w:pBdr/>
              <w:spacing/>
              <w:ind/>
              <w:rPr/>
            </w:pPr>
            <w:r>
              <w:t xml:space="preserve">L2</w:t>
            </w:r>
            <w:r/>
          </w:p>
        </w:tc>
        <w:tc>
          <w:tcPr>
            <w:shd w:val="clear" w:color="auto" w:fill="f7f9fa"/>
            <w:tcBorders/>
            <w:tcMar>
              <w:left w:w="70" w:type="dxa"/>
              <w:top w:w="60" w:type="dxa"/>
              <w:right w:w="70" w:type="dxa"/>
              <w:bottom w:w="60" w:type="dxa"/>
            </w:tcMar>
            <w:tcW w:w="13330" w:type="dxa"/>
            <w:vAlign w:val="top"/>
          </w:tcPr>
          <w:p>
            <w:pPr>
              <w:pStyle w:val="1297"/>
              <w:pBdr/>
              <w:spacing/>
              <w:ind/>
              <w:rPr/>
            </w:pPr>
            <w:r>
              <w:t xml:space="preserve">Publish only as a morphology whose positive replacements remain materially different.</w:t>
            </w:r>
            <w:r/>
          </w:p>
        </w:tc>
      </w:tr>
      <w:tr>
        <w:trPr>
          <w:cantSplit/>
        </w:trPr>
        <w:tc>
          <w:tcPr>
            <w:tcBorders/>
            <w:tcMar>
              <w:left w:w="70" w:type="dxa"/>
              <w:top w:w="60" w:type="dxa"/>
              <w:right w:w="70" w:type="dxa"/>
              <w:bottom w:w="60" w:type="dxa"/>
            </w:tcMar>
            <w:tcW w:w="814" w:type="dxa"/>
            <w:vAlign w:val="top"/>
          </w:tcPr>
          <w:p>
            <w:pPr>
              <w:pStyle w:val="1297"/>
              <w:pBdr/>
              <w:spacing/>
              <w:ind/>
              <w:rPr/>
            </w:pPr>
            <w:r>
              <w:t xml:space="preserve">P5</w:t>
            </w:r>
            <w:r/>
          </w:p>
        </w:tc>
        <w:tc>
          <w:tcPr>
            <w:tcBorders/>
            <w:tcMar>
              <w:left w:w="70" w:type="dxa"/>
              <w:top w:w="60" w:type="dxa"/>
              <w:right w:w="70" w:type="dxa"/>
              <w:bottom w:w="60" w:type="dxa"/>
            </w:tcMar>
            <w:tcW w:w="1111" w:type="dxa"/>
            <w:vAlign w:val="top"/>
          </w:tcPr>
          <w:p>
            <w:pPr>
              <w:pStyle w:val="1297"/>
              <w:pBdr/>
              <w:spacing/>
              <w:ind/>
              <w:rPr/>
            </w:pPr>
            <w:r>
              <w:t xml:space="preserve">L2</w:t>
            </w:r>
            <w:r/>
          </w:p>
        </w:tc>
        <w:tc>
          <w:tcPr>
            <w:tcBorders/>
            <w:tcMar>
              <w:left w:w="70" w:type="dxa"/>
              <w:top w:w="60" w:type="dxa"/>
              <w:right w:w="70" w:type="dxa"/>
              <w:bottom w:w="60" w:type="dxa"/>
            </w:tcMar>
            <w:tcW w:w="13330" w:type="dxa"/>
            <w:vAlign w:val="top"/>
          </w:tcPr>
          <w:p>
            <w:pPr>
              <w:pStyle w:val="1297"/>
              <w:pBdr/>
              <w:spacing/>
              <w:ind/>
              <w:rPr/>
            </w:pPr>
            <w:r>
              <w:t xml:space="preserve">Divide monistic/universal consciousness, plural witnesses, microphenomenal constitutivism and distributed perception.</w:t>
            </w:r>
            <w:r/>
          </w:p>
        </w:tc>
      </w:tr>
      <w:tr>
        <w:trPr>
          <w:cantSplit/>
        </w:trPr>
        <w:tc>
          <w:tcPr>
            <w:shd w:val="clear" w:color="auto" w:fill="f7f9fa"/>
            <w:tcBorders/>
            <w:tcMar>
              <w:left w:w="70" w:type="dxa"/>
              <w:top w:w="60" w:type="dxa"/>
              <w:right w:w="70" w:type="dxa"/>
              <w:bottom w:w="60" w:type="dxa"/>
            </w:tcMar>
            <w:tcW w:w="814" w:type="dxa"/>
            <w:vAlign w:val="top"/>
          </w:tcPr>
          <w:p>
            <w:pPr>
              <w:pStyle w:val="1297"/>
              <w:pBdr/>
              <w:spacing/>
              <w:ind/>
              <w:rPr/>
            </w:pPr>
            <w:r>
              <w:t xml:space="preserve">P6</w:t>
            </w:r>
            <w:r/>
          </w:p>
        </w:tc>
        <w:tc>
          <w:tcPr>
            <w:shd w:val="clear" w:color="auto" w:fill="f7f9fa"/>
            <w:tcBorders/>
            <w:tcMar>
              <w:left w:w="70" w:type="dxa"/>
              <w:top w:w="60" w:type="dxa"/>
              <w:right w:w="70" w:type="dxa"/>
              <w:bottom w:w="60" w:type="dxa"/>
            </w:tcMar>
            <w:tcW w:w="1111" w:type="dxa"/>
            <w:vAlign w:val="top"/>
          </w:tcPr>
          <w:p>
            <w:pPr>
              <w:pStyle w:val="1297"/>
              <w:pBdr/>
              <w:spacing/>
              <w:ind/>
              <w:rPr/>
            </w:pPr>
            <w:r>
              <w:t xml:space="preserve">L2</w:t>
            </w:r>
            <w:r/>
          </w:p>
        </w:tc>
        <w:tc>
          <w:tcPr>
            <w:shd w:val="clear" w:color="auto" w:fill="f7f9fa"/>
            <w:tcBorders/>
            <w:tcMar>
              <w:left w:w="70" w:type="dxa"/>
              <w:top w:w="60" w:type="dxa"/>
              <w:right w:w="70" w:type="dxa"/>
              <w:bottom w:w="60" w:type="dxa"/>
            </w:tcMar>
            <w:tcW w:w="13330" w:type="dxa"/>
            <w:vAlign w:val="top"/>
          </w:tcPr>
          <w:p>
            <w:pPr>
              <w:pStyle w:val="1297"/>
              <w:pBdr/>
              <w:spacing/>
              <w:ind/>
              <w:rPr/>
            </w:pPr>
            <w:r>
              <w:t xml:space="preserve">Use as an Atlas analytical morphology only, not a claim that all Positions formulate causation or agency alike.</w:t>
            </w:r>
            <w:r/>
          </w:p>
        </w:tc>
      </w:tr>
      <w:tr>
        <w:trPr>
          <w:cantSplit/>
        </w:trPr>
        <w:tc>
          <w:tcPr>
            <w:tcBorders/>
            <w:tcMar>
              <w:left w:w="70" w:type="dxa"/>
              <w:top w:w="60" w:type="dxa"/>
              <w:right w:w="70" w:type="dxa"/>
              <w:bottom w:w="60" w:type="dxa"/>
            </w:tcMar>
            <w:tcW w:w="814" w:type="dxa"/>
            <w:vAlign w:val="top"/>
          </w:tcPr>
          <w:p>
            <w:pPr>
              <w:pStyle w:val="1297"/>
              <w:pBdr/>
              <w:spacing/>
              <w:ind/>
              <w:rPr/>
            </w:pPr>
            <w:r>
              <w:t xml:space="preserve">P7</w:t>
            </w:r>
            <w:r/>
          </w:p>
        </w:tc>
        <w:tc>
          <w:tcPr>
            <w:tcBorders/>
            <w:tcMar>
              <w:left w:w="70" w:type="dxa"/>
              <w:top w:w="60" w:type="dxa"/>
              <w:right w:w="70" w:type="dxa"/>
              <w:bottom w:w="60" w:type="dxa"/>
            </w:tcMar>
            <w:tcW w:w="1111" w:type="dxa"/>
            <w:vAlign w:val="top"/>
          </w:tcPr>
          <w:p>
            <w:pPr>
              <w:pStyle w:val="1297"/>
              <w:pBdr/>
              <w:spacing/>
              <w:ind/>
              <w:rPr/>
            </w:pPr>
            <w:r>
              <w:t xml:space="preserve">L2</w:t>
            </w:r>
            <w:r/>
          </w:p>
        </w:tc>
        <w:tc>
          <w:tcPr>
            <w:tcBorders/>
            <w:tcMar>
              <w:left w:w="70" w:type="dxa"/>
              <w:top w:w="60" w:type="dxa"/>
              <w:right w:w="70" w:type="dxa"/>
              <w:bottom w:w="60" w:type="dxa"/>
            </w:tcMar>
            <w:tcW w:w="13330" w:type="dxa"/>
            <w:vAlign w:val="top"/>
          </w:tcPr>
          <w:p>
            <w:pPr>
              <w:pStyle w:val="1297"/>
              <w:pBdr/>
              <w:spacing/>
              <w:ind/>
              <w:rPr/>
            </w:pPr>
            <w:r>
              <w:t xml:space="preserve">Potential Chapter 18–19 organizer only after exact praxis/telos source review and active counterexample search.</w:t>
            </w:r>
            <w:r/>
          </w:p>
        </w:tc>
      </w:tr>
      <w:tr>
        <w:trPr>
          <w:cantSplit/>
        </w:trPr>
        <w:tc>
          <w:tcPr>
            <w:shd w:val="clear" w:color="auto" w:fill="f7f9fa"/>
            <w:tcBorders/>
            <w:tcMar>
              <w:left w:w="70" w:type="dxa"/>
              <w:top w:w="60" w:type="dxa"/>
              <w:right w:w="70" w:type="dxa"/>
              <w:bottom w:w="60" w:type="dxa"/>
            </w:tcMar>
            <w:tcW w:w="814" w:type="dxa"/>
            <w:vAlign w:val="top"/>
          </w:tcPr>
          <w:p>
            <w:pPr>
              <w:pStyle w:val="1297"/>
              <w:pBdr/>
              <w:spacing/>
              <w:ind/>
              <w:rPr/>
            </w:pPr>
            <w:r>
              <w:t xml:space="preserve">F1</w:t>
            </w:r>
            <w:r/>
          </w:p>
        </w:tc>
        <w:tc>
          <w:tcPr>
            <w:shd w:val="clear" w:color="auto" w:fill="f7f9fa"/>
            <w:tcBorders/>
            <w:tcMar>
              <w:left w:w="70" w:type="dxa"/>
              <w:top w:w="60" w:type="dxa"/>
              <w:right w:w="70" w:type="dxa"/>
              <w:bottom w:w="60" w:type="dxa"/>
            </w:tcMar>
            <w:tcW w:w="1111" w:type="dxa"/>
            <w:vAlign w:val="top"/>
          </w:tcPr>
          <w:p>
            <w:pPr>
              <w:pStyle w:val="1297"/>
              <w:pBdr/>
              <w:spacing/>
              <w:ind/>
              <w:rPr/>
            </w:pPr>
            <w:r>
              <w:t xml:space="preserve">L1</w:t>
            </w:r>
            <w:r/>
          </w:p>
        </w:tc>
        <w:tc>
          <w:tcPr>
            <w:shd w:val="clear" w:color="auto" w:fill="f7f9fa"/>
            <w:tcBorders/>
            <w:tcMar>
              <w:left w:w="70" w:type="dxa"/>
              <w:top w:w="60" w:type="dxa"/>
              <w:right w:w="70" w:type="dxa"/>
              <w:bottom w:w="60" w:type="dxa"/>
            </w:tcMar>
            <w:tcW w:w="13330" w:type="dxa"/>
            <w:vAlign w:val="top"/>
          </w:tcPr>
          <w:p>
            <w:pPr>
              <w:pStyle w:val="1297"/>
              <w:pBdr/>
              <w:spacing/>
              <w:ind/>
              <w:rPr/>
            </w:pPr>
            <w:r>
              <w:t xml:space="preserve">Central pairwise fault line; no cross-traditional ontological equivalence.</w:t>
            </w:r>
            <w:r/>
          </w:p>
        </w:tc>
      </w:tr>
      <w:tr>
        <w:trPr>
          <w:cantSplit/>
        </w:trPr>
        <w:tc>
          <w:tcPr>
            <w:tcBorders/>
            <w:tcMar>
              <w:left w:w="70" w:type="dxa"/>
              <w:top w:w="60" w:type="dxa"/>
              <w:right w:w="70" w:type="dxa"/>
              <w:bottom w:w="60" w:type="dxa"/>
            </w:tcMar>
            <w:tcW w:w="814" w:type="dxa"/>
            <w:vAlign w:val="top"/>
          </w:tcPr>
          <w:p>
            <w:pPr>
              <w:pStyle w:val="1297"/>
              <w:pBdr/>
              <w:spacing/>
              <w:ind/>
              <w:rPr/>
            </w:pPr>
            <w:r>
              <w:t xml:space="preserve">F2</w:t>
            </w:r>
            <w:r/>
          </w:p>
        </w:tc>
        <w:tc>
          <w:tcPr>
            <w:tcBorders/>
            <w:tcMar>
              <w:left w:w="70" w:type="dxa"/>
              <w:top w:w="60" w:type="dxa"/>
              <w:right w:w="70" w:type="dxa"/>
              <w:bottom w:w="60" w:type="dxa"/>
            </w:tcMar>
            <w:tcW w:w="1111" w:type="dxa"/>
            <w:vAlign w:val="top"/>
          </w:tcPr>
          <w:p>
            <w:pPr>
              <w:pStyle w:val="1297"/>
              <w:pBdr/>
              <w:spacing/>
              <w:ind/>
              <w:rPr/>
            </w:pPr>
            <w:r>
              <w:t xml:space="preserve">L1</w:t>
            </w:r>
            <w:r/>
          </w:p>
        </w:tc>
        <w:tc>
          <w:tcPr>
            <w:tcBorders/>
            <w:tcMar>
              <w:left w:w="70" w:type="dxa"/>
              <w:top w:w="60" w:type="dxa"/>
              <w:right w:w="70" w:type="dxa"/>
              <w:bottom w:w="60" w:type="dxa"/>
            </w:tcMar>
            <w:tcW w:w="13330" w:type="dxa"/>
            <w:vAlign w:val="top"/>
          </w:tcPr>
          <w:p>
            <w:pPr>
              <w:pStyle w:val="1297"/>
              <w:pBdr/>
              <w:spacing/>
              <w:ind/>
              <w:rPr/>
            </w:pPr>
            <w:r>
              <w:t xml:space="preserve">Central but deliberately local in temporal, textual and doctrinal scope.</w:t>
            </w:r>
            <w:r/>
          </w:p>
        </w:tc>
      </w:tr>
      <w:tr>
        <w:trPr>
          <w:cantSplit/>
        </w:trPr>
        <w:tc>
          <w:tcPr>
            <w:shd w:val="clear" w:color="auto" w:fill="f7f9fa"/>
            <w:tcBorders/>
            <w:tcMar>
              <w:left w:w="70" w:type="dxa"/>
              <w:top w:w="60" w:type="dxa"/>
              <w:right w:w="70" w:type="dxa"/>
              <w:bottom w:w="60" w:type="dxa"/>
            </w:tcMar>
            <w:tcW w:w="814" w:type="dxa"/>
            <w:vAlign w:val="top"/>
          </w:tcPr>
          <w:p>
            <w:pPr>
              <w:pStyle w:val="1297"/>
              <w:pBdr/>
              <w:spacing/>
              <w:ind/>
              <w:rPr/>
            </w:pPr>
            <w:r>
              <w:t xml:space="preserve">F3</w:t>
            </w:r>
            <w:r/>
          </w:p>
        </w:tc>
        <w:tc>
          <w:tcPr>
            <w:shd w:val="clear" w:color="auto" w:fill="f7f9fa"/>
            <w:tcBorders/>
            <w:tcMar>
              <w:left w:w="70" w:type="dxa"/>
              <w:top w:w="60" w:type="dxa"/>
              <w:right w:w="70" w:type="dxa"/>
              <w:bottom w:w="60" w:type="dxa"/>
            </w:tcMar>
            <w:tcW w:w="1111" w:type="dxa"/>
            <w:vAlign w:val="top"/>
          </w:tcPr>
          <w:p>
            <w:pPr>
              <w:pStyle w:val="1297"/>
              <w:pBdr/>
              <w:spacing/>
              <w:ind/>
              <w:rPr/>
            </w:pPr>
            <w:r>
              <w:t xml:space="preserve">L1</w:t>
            </w:r>
            <w:r/>
          </w:p>
        </w:tc>
        <w:tc>
          <w:tcPr>
            <w:shd w:val="clear" w:color="auto" w:fill="f7f9fa"/>
            <w:tcBorders/>
            <w:tcMar>
              <w:left w:w="70" w:type="dxa"/>
              <w:top w:w="60" w:type="dxa"/>
              <w:right w:w="70" w:type="dxa"/>
              <w:bottom w:w="60" w:type="dxa"/>
            </w:tcMar>
            <w:tcW w:w="13330" w:type="dxa"/>
            <w:vAlign w:val="top"/>
          </w:tcPr>
          <w:p>
            <w:pPr>
              <w:pStyle w:val="1297"/>
              <w:pBdr/>
              <w:spacing/>
              <w:ind/>
              <w:rPr/>
            </w:pPr>
            <w:r>
              <w:t xml:space="preserve">Central in Chapter 7; historical comparators do not universalize the analytic fault line.</w:t>
            </w:r>
            <w:r/>
          </w:p>
        </w:tc>
      </w:tr>
      <w:tr>
        <w:trPr>
          <w:cantSplit/>
        </w:trPr>
        <w:tc>
          <w:tcPr>
            <w:tcBorders/>
            <w:tcMar>
              <w:left w:w="70" w:type="dxa"/>
              <w:top w:w="60" w:type="dxa"/>
              <w:right w:w="70" w:type="dxa"/>
              <w:bottom w:w="60" w:type="dxa"/>
            </w:tcMar>
            <w:tcW w:w="814" w:type="dxa"/>
            <w:vAlign w:val="top"/>
          </w:tcPr>
          <w:p>
            <w:pPr>
              <w:pStyle w:val="1297"/>
              <w:pBdr/>
              <w:spacing/>
              <w:ind/>
              <w:rPr/>
            </w:pPr>
            <w:r>
              <w:t xml:space="preserve">F4</w:t>
            </w:r>
            <w:r/>
          </w:p>
        </w:tc>
        <w:tc>
          <w:tcPr>
            <w:tcBorders/>
            <w:tcMar>
              <w:left w:w="70" w:type="dxa"/>
              <w:top w:w="60" w:type="dxa"/>
              <w:right w:w="70" w:type="dxa"/>
              <w:bottom w:w="60" w:type="dxa"/>
            </w:tcMar>
            <w:tcW w:w="1111" w:type="dxa"/>
            <w:vAlign w:val="top"/>
          </w:tcPr>
          <w:p>
            <w:pPr>
              <w:pStyle w:val="1297"/>
              <w:pBdr/>
              <w:spacing/>
              <w:ind/>
              <w:rPr/>
            </w:pPr>
            <w:r>
              <w:t xml:space="preserve">L1</w:t>
            </w:r>
            <w:r/>
          </w:p>
        </w:tc>
        <w:tc>
          <w:tcPr>
            <w:tcBorders/>
            <w:tcMar>
              <w:left w:w="70" w:type="dxa"/>
              <w:top w:w="60" w:type="dxa"/>
              <w:right w:w="70" w:type="dxa"/>
              <w:bottom w:w="60" w:type="dxa"/>
            </w:tcMar>
            <w:tcW w:w="13330" w:type="dxa"/>
            <w:vAlign w:val="top"/>
          </w:tcPr>
          <w:p>
            <w:pPr>
              <w:pStyle w:val="1297"/>
              <w:pBdr/>
              <w:spacing/>
              <w:ind/>
              <w:rPr/>
            </w:pPr>
            <w:r>
              <w:t xml:space="preserve">Retain as a prospective scoped fault-line question; assertion of incompatibility awaits a source-bounded human-exclusive pole and exact opposing Claims; any L2 cluster claim requires additional governed representation and synthesis evidence.</w:t>
            </w:r>
            <w:r/>
          </w:p>
        </w:tc>
      </w:tr>
    </w:tbl>
    <w:p>
      <w:pPr>
        <w:pStyle w:val="1300"/>
        <w:pBdr/>
        <w:spacing/>
        <w:ind/>
        <w:rPr/>
      </w:pPr>
      <w:r/>
      <w:r/>
    </w:p>
    <w:p>
      <w:pPr>
        <w:pBdr/>
        <w:spacing/>
        <w:ind/>
        <w:rPr/>
        <w:sectPr>
          <w:headerReference w:type="default" r:id="rId17"/>
          <w:footerReference w:type="default" r:id="rId28"/>
          <w:footnotePr/>
          <w:endnotePr/>
          <w:type w:val="nextPage"/>
          <w:pgSz w:h="11906" w:orient="landscape" w:w="16838"/>
          <w:pgMar w:top="792" w:right="792" w:bottom="792" w:left="792" w:header="403" w:footer="403" w:gutter="0"/>
          <w:cols w:num="1" w:sep="0" w:space="720" w:equalWidth="1"/>
        </w:sectPr>
      </w:pPr>
      <w:r/>
      <w:r/>
    </w:p>
    <w:p>
      <w:pPr>
        <w:pStyle w:val="1135"/>
        <w:keepNext w:val="true"/>
        <w:keepLines w:val="true"/>
        <w:pBdr/>
        <w:spacing/>
        <w:ind/>
        <w:rPr/>
      </w:pPr>
      <w:r/>
      <w:bookmarkStart w:id="207" w:name="ANNEX_D"/>
      <w:r>
        <w:t xml:space="preserve">Annex D — External baseline and publication terminology</w:t>
      </w:r>
      <w:bookmarkEnd w:id="207"/>
      <w:r/>
      <w:r/>
    </w:p>
    <w:p>
      <w:pPr>
        <w:pStyle w:val="1184"/>
        <w:keepNext w:val="true"/>
        <w:keepLines w:val="true"/>
        <w:pBdr/>
        <w:spacing/>
        <w:ind/>
        <w:rPr/>
      </w:pPr>
      <w:r>
        <w:t xml:space="preserve">Historical snapshot — Annex D front door</w:t>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2393"/>
        <w:gridCol w:w="7613"/>
      </w:tblGrid>
      <w:tr>
        <w:trPr>
          <w:cantSplit/>
          <w:tblHeader/>
        </w:trPr>
        <w:tc>
          <w:tcPr>
            <w:shd w:val="clear" w:color="auto" w:fill="1f5a73"/>
            <w:tcBorders/>
            <w:tcMar>
              <w:left w:w="70" w:type="dxa"/>
              <w:top w:w="60" w:type="dxa"/>
              <w:right w:w="70" w:type="dxa"/>
              <w:bottom w:w="60" w:type="dxa"/>
            </w:tcMar>
            <w:tcW w:w="2393" w:type="dxa"/>
            <w:vAlign w:val="top"/>
          </w:tcPr>
          <w:p>
            <w:pPr>
              <w:pStyle w:val="1298"/>
              <w:pBdr/>
              <w:spacing/>
              <w:ind/>
              <w:rPr/>
            </w:pPr>
            <w:r>
              <w:t xml:space="preserve">Field</w:t>
            </w:r>
            <w:r/>
          </w:p>
        </w:tc>
        <w:tc>
          <w:tcPr>
            <w:shd w:val="clear" w:color="auto" w:fill="1f5a73"/>
            <w:tcBorders/>
            <w:tcMar>
              <w:left w:w="70" w:type="dxa"/>
              <w:top w:w="60" w:type="dxa"/>
              <w:right w:w="70" w:type="dxa"/>
              <w:bottom w:w="60" w:type="dxa"/>
            </w:tcMar>
            <w:tcW w:w="7613" w:type="dxa"/>
            <w:vAlign w:val="top"/>
          </w:tcPr>
          <w:p>
            <w:pPr>
              <w:pStyle w:val="1298"/>
              <w:pBdr/>
              <w:spacing/>
              <w:ind/>
              <w:rPr/>
            </w:pPr>
            <w:r>
              <w:t xml:space="preserve">Required content</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Purpose</w:t>
            </w:r>
            <w:r/>
          </w:p>
        </w:tc>
        <w:tc>
          <w:tcPr>
            <w:tcBorders/>
            <w:tcMar>
              <w:left w:w="70" w:type="dxa"/>
              <w:top w:w="60" w:type="dxa"/>
              <w:right w:w="70" w:type="dxa"/>
              <w:bottom w:w="60" w:type="dxa"/>
            </w:tcMar>
            <w:tcW w:w="7613" w:type="dxa"/>
            <w:vAlign w:val="top"/>
          </w:tcPr>
          <w:p>
            <w:pPr>
              <w:pStyle w:val="1296"/>
              <w:pBdr/>
              <w:spacing/>
              <w:ind/>
              <w:rPr/>
            </w:pPr>
            <w:r>
              <w:t xml:space="preserve">Preserve the dated external publication/novelty basis and the Publication-specific terminology needed to use this file.</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Authority status</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External material is a historical snapshot through 19 August 2026. Shared controlled values and machine semantics remain authoritative in Research Specification Annex A.</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Refresh rule</w:t>
            </w:r>
            <w:r/>
          </w:p>
        </w:tc>
        <w:tc>
          <w:tcPr>
            <w:tcBorders/>
            <w:tcMar>
              <w:left w:w="70" w:type="dxa"/>
              <w:top w:w="60" w:type="dxa"/>
              <w:right w:w="70" w:type="dxa"/>
              <w:bottom w:w="60" w:type="dxa"/>
            </w:tcMar>
            <w:tcW w:w="7613" w:type="dxa"/>
            <w:vAlign w:val="top"/>
          </w:tcPr>
          <w:p>
            <w:pPr>
              <w:pStyle w:val="1296"/>
              <w:pBdr/>
              <w:spacing/>
              <w:ind/>
              <w:rPr/>
            </w:pPr>
            <w:r>
              <w:t xml:space="preserve">Research Specification §12.1, Annex C §C3.8 and the recorded G8 GateRun are the sole live authority for novelty/currentness. This annex remains a dated publication-facing historical snapshot. Following a recorded G8 refresh</w:t>
            </w:r>
            <w:r>
              <w:t xml:space="preserve">, it may be regenerated as a derived snapshot to reflect publication consequences. It does not maintain an independent novelty verdict and does not alter the adopted architecture unless refreshed evidence creates a material editorial consequence under §14.</w:t>
            </w:r>
            <w:r/>
          </w:p>
        </w:tc>
      </w:tr>
    </w:tbl>
    <w:p>
      <w:pPr>
        <w:pStyle w:val="1300"/>
        <w:pBdr/>
        <w:spacing/>
        <w:ind/>
        <w:rPr/>
      </w:pPr>
      <w:r/>
      <w:r/>
    </w:p>
    <w:p>
      <w:pPr>
        <w:pStyle w:val="1136"/>
        <w:keepNext w:val="true"/>
        <w:keepLines w:val="true"/>
        <w:pBdr/>
        <w:spacing/>
        <w:ind/>
        <w:rPr/>
      </w:pPr>
      <w:r/>
      <w:bookmarkStart w:id="208" w:name="D1"/>
      <w:r>
        <w:t xml:space="preserve">D1. Comparative method and publication context</w:t>
      </w:r>
      <w:bookmarkEnd w:id="208"/>
      <w:r/>
      <w:r/>
    </w:p>
    <w:p>
      <w:pPr>
        <w:pBdr/>
        <w:spacing/>
        <w:ind/>
        <w:rPr/>
      </w:pPr>
      <w:r>
        <w:t xml:space="preserve">Sikri’s methodological critique challenges the treatment of comparands as stable, enclosed conceptual schemes [E1]. For the Atlas, it motivates explicit testing and revision of Position boundaries, attention to historical context and preservation of co</w:t>
      </w:r>
      <w:r>
        <w:t xml:space="preserve">nstitutive variation. This editorial application does not establish that a bounded Position is a naturally closed or fixed unit. Burley’s 2025 treatment foregrounds the problem of comparing religious-philosophical materials without assuming transparent con</w:t>
      </w:r>
      <w:r>
        <w:t xml:space="preserve">ceptual identity [E2]. Freiberger treats comparison as a controlled scholarly operation rather than discovery of pre-given civilizational units [E3]. Editorial implication: preserve emic-before-etic orientation and make comparability visible to the reader.</w:t>
      </w:r>
      <w:r/>
    </w:p>
    <w:p>
      <w:pPr>
        <w:pBdr/>
        <w:spacing/>
        <w:ind/>
        <w:rPr/>
      </w:pPr>
      <w:r>
        <w:t xml:space="preserve">Recent philosophy-as-way-of-life and transformative-philosophy scholarship establishes substantial prior art for treating philosophy as lived practice, self-cultivation, tra</w:t>
      </w:r>
      <w:r>
        <w:t xml:space="preserve">nsformation and evaluation of predicament–path–goal structures. Comparative work also explicitly links ontological claims, epistemic access, transformation of the knower and onto-epistemic self-cultivation, sometimes through universalizing integrative fram</w:t>
      </w:r>
      <w:r>
        <w:t xml:space="preserve">eworks. Editorial implication: do not position the Atlas as discovering that knowing can transform the knower or that ontology and epistemology can be connected. Position the narrative contribution as the governed, source-bounded comparison of how Position</w:t>
      </w:r>
      <w:r>
        <w:t xml:space="preserve">s couple or uncouple ontology, consciousness, subjecthood, epistemic authority/access, diagnosis and praxis, including negative/open states, disanalogies, genealogy, counterexamples and traceable synthesis—and as a refusal to infer one universal structure.</w:t>
      </w:r>
      <w:r/>
    </w:p>
    <w:p>
      <w:pPr>
        <w:pStyle w:val="1184"/>
        <w:keepNext w:val="true"/>
        <w:keepLines w:val="true"/>
        <w:pBdr/>
        <w:spacing/>
        <w:ind/>
        <w:rPr/>
      </w:pPr>
      <w:r>
        <w:t xml:space="preserve">Historical snapshot — Publication and reference analogues as of 19 August 2026</w:t>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1601"/>
        <w:gridCol w:w="1801"/>
        <w:gridCol w:w="1601"/>
        <w:gridCol w:w="2601"/>
        <w:gridCol w:w="2401"/>
      </w:tblGrid>
      <w:tr>
        <w:trPr>
          <w:cantSplit/>
          <w:tblHeader/>
        </w:trPr>
        <w:tc>
          <w:tcPr>
            <w:shd w:val="clear" w:color="auto" w:fill="1f5a73"/>
            <w:tcBorders/>
            <w:tcMar>
              <w:left w:w="70" w:type="dxa"/>
              <w:top w:w="60" w:type="dxa"/>
              <w:right w:w="70" w:type="dxa"/>
              <w:bottom w:w="60" w:type="dxa"/>
            </w:tcMar>
            <w:tcW w:w="1601" w:type="dxa"/>
            <w:vAlign w:val="top"/>
          </w:tcPr>
          <w:p>
            <w:pPr>
              <w:pStyle w:val="1299"/>
              <w:pBdr/>
              <w:spacing/>
              <w:ind/>
              <w:rPr/>
            </w:pPr>
            <w:r>
              <w:t xml:space="preserve">Analogue</w:t>
            </w:r>
            <w:r/>
          </w:p>
        </w:tc>
        <w:tc>
          <w:tcPr>
            <w:shd w:val="clear" w:color="auto" w:fill="1f5a73"/>
            <w:tcBorders/>
            <w:tcMar>
              <w:left w:w="70" w:type="dxa"/>
              <w:top w:w="60" w:type="dxa"/>
              <w:right w:w="70" w:type="dxa"/>
              <w:bottom w:w="60" w:type="dxa"/>
            </w:tcMar>
            <w:tcW w:w="1801" w:type="dxa"/>
            <w:vAlign w:val="top"/>
          </w:tcPr>
          <w:p>
            <w:pPr>
              <w:pStyle w:val="1299"/>
              <w:pBdr/>
              <w:spacing/>
              <w:ind/>
              <w:rPr/>
            </w:pPr>
            <w:r>
              <w:t xml:space="preserve">Architecture</w:t>
            </w:r>
            <w:r/>
          </w:p>
        </w:tc>
        <w:tc>
          <w:tcPr>
            <w:shd w:val="clear" w:color="auto" w:fill="1f5a73"/>
            <w:tcBorders/>
            <w:tcMar>
              <w:left w:w="70" w:type="dxa"/>
              <w:top w:w="60" w:type="dxa"/>
              <w:right w:w="70" w:type="dxa"/>
              <w:bottom w:w="60" w:type="dxa"/>
            </w:tcMar>
            <w:tcW w:w="1601" w:type="dxa"/>
            <w:vAlign w:val="top"/>
          </w:tcPr>
          <w:p>
            <w:pPr>
              <w:pStyle w:val="1299"/>
              <w:pBdr/>
              <w:spacing/>
              <w:ind/>
              <w:rPr/>
            </w:pPr>
            <w:r>
              <w:t xml:space="preserve">Strength</w:t>
            </w:r>
            <w:r/>
          </w:p>
        </w:tc>
        <w:tc>
          <w:tcPr>
            <w:shd w:val="clear" w:color="auto" w:fill="1f5a73"/>
            <w:tcBorders/>
            <w:tcMar>
              <w:left w:w="70" w:type="dxa"/>
              <w:top w:w="60" w:type="dxa"/>
              <w:right w:w="70" w:type="dxa"/>
              <w:bottom w:w="60" w:type="dxa"/>
            </w:tcMar>
            <w:tcW w:w="2601" w:type="dxa"/>
            <w:vAlign w:val="top"/>
          </w:tcPr>
          <w:p>
            <w:pPr>
              <w:pStyle w:val="1299"/>
              <w:pBdr/>
              <w:spacing/>
              <w:ind/>
              <w:rPr/>
            </w:pPr>
            <w:r>
              <w:t xml:space="preserve">Failure mode for the Atlas</w:t>
            </w:r>
            <w:r/>
          </w:p>
        </w:tc>
        <w:tc>
          <w:tcPr>
            <w:shd w:val="clear" w:color="auto" w:fill="1f5a73"/>
            <w:tcBorders/>
            <w:tcMar>
              <w:left w:w="70" w:type="dxa"/>
              <w:top w:w="60" w:type="dxa"/>
              <w:right w:w="70" w:type="dxa"/>
              <w:bottom w:w="60" w:type="dxa"/>
            </w:tcMar>
            <w:tcW w:w="2401" w:type="dxa"/>
            <w:vAlign w:val="top"/>
          </w:tcPr>
          <w:p>
            <w:pPr>
              <w:pStyle w:val="1299"/>
              <w:pBdr/>
              <w:spacing/>
              <w:ind/>
              <w:rPr/>
            </w:pPr>
            <w:r>
              <w:t xml:space="preserve">Design lesson</w:t>
            </w:r>
            <w:r/>
          </w:p>
        </w:tc>
      </w:tr>
      <w:tr>
        <w:trPr>
          <w:cantSplit/>
        </w:trPr>
        <w:tc>
          <w:tcPr>
            <w:tcBorders/>
            <w:tcMar>
              <w:left w:w="70" w:type="dxa"/>
              <w:top w:w="60" w:type="dxa"/>
              <w:right w:w="70" w:type="dxa"/>
              <w:bottom w:w="60" w:type="dxa"/>
            </w:tcMar>
            <w:tcW w:w="1601" w:type="dxa"/>
            <w:vAlign w:val="top"/>
          </w:tcPr>
          <w:p>
            <w:pPr>
              <w:pStyle w:val="1297"/>
              <w:pBdr/>
              <w:spacing/>
              <w:ind/>
              <w:rPr/>
            </w:pPr>
            <w:r>
              <w:t xml:space="preserve">Stanford Encyclopedia of Philosophy [E5]</w:t>
            </w:r>
            <w:r/>
          </w:p>
        </w:tc>
        <w:tc>
          <w:tcPr>
            <w:tcBorders/>
            <w:tcMar>
              <w:left w:w="70" w:type="dxa"/>
              <w:top w:w="60" w:type="dxa"/>
              <w:right w:w="70" w:type="dxa"/>
              <w:bottom w:w="60" w:type="dxa"/>
            </w:tcMar>
            <w:tcW w:w="1801" w:type="dxa"/>
            <w:vAlign w:val="top"/>
          </w:tcPr>
          <w:p>
            <w:pPr>
              <w:pStyle w:val="1297"/>
              <w:pBdr/>
              <w:spacing/>
              <w:ind/>
              <w:rPr/>
            </w:pPr>
            <w:r>
              <w:t xml:space="preserve">Dynamic expert reference entries; versioned/updated online</w:t>
            </w:r>
            <w:r/>
          </w:p>
        </w:tc>
        <w:tc>
          <w:tcPr>
            <w:tcBorders/>
            <w:tcMar>
              <w:left w:w="70" w:type="dxa"/>
              <w:top w:w="60" w:type="dxa"/>
              <w:right w:w="70" w:type="dxa"/>
              <w:bottom w:w="60" w:type="dxa"/>
            </w:tcMar>
            <w:tcW w:w="1601" w:type="dxa"/>
            <w:vAlign w:val="top"/>
          </w:tcPr>
          <w:p>
            <w:pPr>
              <w:pStyle w:val="1297"/>
              <w:pBdr/>
              <w:spacing/>
              <w:ind/>
              <w:rPr/>
            </w:pPr>
            <w:r>
              <w:t xml:space="preserve">Authority and updateability</w:t>
            </w:r>
            <w:r/>
          </w:p>
        </w:tc>
        <w:tc>
          <w:tcPr>
            <w:tcBorders/>
            <w:tcMar>
              <w:left w:w="70" w:type="dxa"/>
              <w:top w:w="60" w:type="dxa"/>
              <w:right w:w="70" w:type="dxa"/>
              <w:bottom w:w="60" w:type="dxa"/>
            </w:tcMar>
            <w:tcW w:w="2601" w:type="dxa"/>
            <w:vAlign w:val="top"/>
          </w:tcPr>
          <w:p>
            <w:pPr>
              <w:pStyle w:val="1297"/>
              <w:pBdr/>
              <w:spacing/>
              <w:ind/>
              <w:rPr/>
            </w:pPr>
            <w:r>
              <w:t xml:space="preserve">Entry structure does not itself create a comparative argument</w:t>
            </w:r>
            <w:r/>
          </w:p>
        </w:tc>
        <w:tc>
          <w:tcPr>
            <w:tcBorders/>
            <w:tcMar>
              <w:left w:w="70" w:type="dxa"/>
              <w:top w:w="60" w:type="dxa"/>
              <w:right w:w="70" w:type="dxa"/>
              <w:bottom w:w="60" w:type="dxa"/>
            </w:tcMar>
            <w:tcW w:w="2401" w:type="dxa"/>
            <w:vAlign w:val="top"/>
          </w:tcPr>
          <w:p>
            <w:pPr>
              <w:pStyle w:val="1297"/>
              <w:pBdr/>
              <w:spacing/>
              <w:ind/>
              <w:rPr/>
            </w:pPr>
            <w:r>
              <w:t xml:space="preserve">Put reference completeness and updating in the Digital Atlas.</w:t>
            </w:r>
            <w:r/>
          </w:p>
        </w:tc>
      </w:tr>
      <w:tr>
        <w:trPr>
          <w:cantSplit/>
        </w:trPr>
        <w:tc>
          <w:tcPr>
            <w:shd w:val="clear" w:color="auto" w:fill="f7f9fa"/>
            <w:tcBorders/>
            <w:tcMar>
              <w:left w:w="70" w:type="dxa"/>
              <w:top w:w="60" w:type="dxa"/>
              <w:right w:w="70" w:type="dxa"/>
              <w:bottom w:w="60" w:type="dxa"/>
            </w:tcMar>
            <w:tcW w:w="1601" w:type="dxa"/>
            <w:vAlign w:val="top"/>
          </w:tcPr>
          <w:p>
            <w:pPr>
              <w:pStyle w:val="1297"/>
              <w:pBdr/>
              <w:spacing/>
              <w:ind/>
              <w:rPr/>
            </w:pPr>
            <w:r>
              <w:t xml:space="preserve">A Companion to World Philosophies [E6]</w:t>
            </w:r>
            <w:r/>
          </w:p>
        </w:tc>
        <w:tc>
          <w:tcPr>
            <w:shd w:val="clear" w:color="auto" w:fill="f7f9fa"/>
            <w:tcBorders/>
            <w:tcMar>
              <w:left w:w="70" w:type="dxa"/>
              <w:top w:w="60" w:type="dxa"/>
              <w:right w:w="70" w:type="dxa"/>
              <w:bottom w:w="60" w:type="dxa"/>
            </w:tcMar>
            <w:tcW w:w="1801" w:type="dxa"/>
            <w:vAlign w:val="top"/>
          </w:tcPr>
          <w:p>
            <w:pPr>
              <w:pStyle w:val="1297"/>
              <w:pBdr/>
              <w:spacing/>
              <w:ind/>
              <w:rPr/>
            </w:pPr>
            <w:r>
              <w:t xml:space="preserve">Large print companion organized substantially by world-philosophical traditions/regions</w:t>
            </w:r>
            <w:r/>
          </w:p>
        </w:tc>
        <w:tc>
          <w:tcPr>
            <w:shd w:val="clear" w:color="auto" w:fill="f7f9fa"/>
            <w:tcBorders/>
            <w:tcMar>
              <w:left w:w="70" w:type="dxa"/>
              <w:top w:w="60" w:type="dxa"/>
              <w:right w:w="70" w:type="dxa"/>
              <w:bottom w:w="60" w:type="dxa"/>
            </w:tcMar>
            <w:tcW w:w="1601" w:type="dxa"/>
            <w:vAlign w:val="top"/>
          </w:tcPr>
          <w:p>
            <w:pPr>
              <w:pStyle w:val="1297"/>
              <w:pBdr/>
              <w:spacing/>
              <w:ind/>
              <w:rPr/>
            </w:pPr>
            <w:r>
              <w:t xml:space="preserve">Breadth; accessible orientation</w:t>
            </w:r>
            <w:r/>
          </w:p>
        </w:tc>
        <w:tc>
          <w:tcPr>
            <w:shd w:val="clear" w:color="auto" w:fill="f7f9fa"/>
            <w:tcBorders/>
            <w:tcMar>
              <w:left w:w="70" w:type="dxa"/>
              <w:top w:w="60" w:type="dxa"/>
              <w:right w:w="70" w:type="dxa"/>
              <w:bottom w:w="60" w:type="dxa"/>
            </w:tcMar>
            <w:tcW w:w="2601" w:type="dxa"/>
            <w:vAlign w:val="top"/>
          </w:tcPr>
          <w:p>
            <w:pPr>
              <w:pStyle w:val="1297"/>
              <w:pBdr/>
              <w:spacing/>
              <w:ind/>
              <w:rPr/>
            </w:pPr>
            <w:r>
              <w:t xml:space="preserve">Regional/tradition silos can make comparison secondary</w:t>
            </w:r>
            <w:r/>
          </w:p>
        </w:tc>
        <w:tc>
          <w:tcPr>
            <w:shd w:val="clear" w:color="auto" w:fill="f7f9fa"/>
            <w:tcBorders/>
            <w:tcMar>
              <w:left w:w="70" w:type="dxa"/>
              <w:top w:w="60" w:type="dxa"/>
              <w:right w:w="70" w:type="dxa"/>
              <w:bottom w:w="60" w:type="dxa"/>
            </w:tcMar>
            <w:tcW w:w="2401" w:type="dxa"/>
            <w:vAlign w:val="top"/>
          </w:tcPr>
          <w:p>
            <w:pPr>
              <w:pStyle w:val="1297"/>
              <w:pBdr/>
              <w:spacing/>
              <w:ind/>
              <w:rPr/>
            </w:pPr>
            <w:r>
              <w:t xml:space="preserve">Do not organize Atlas Parts by civilization or religion.</w:t>
            </w:r>
            <w:r/>
          </w:p>
        </w:tc>
      </w:tr>
      <w:tr>
        <w:trPr>
          <w:cantSplit/>
        </w:trPr>
        <w:tc>
          <w:tcPr>
            <w:tcBorders/>
            <w:tcMar>
              <w:left w:w="70" w:type="dxa"/>
              <w:top w:w="60" w:type="dxa"/>
              <w:right w:w="70" w:type="dxa"/>
              <w:bottom w:w="60" w:type="dxa"/>
            </w:tcMar>
            <w:tcW w:w="1601" w:type="dxa"/>
            <w:vAlign w:val="top"/>
          </w:tcPr>
          <w:p>
            <w:pPr>
              <w:pStyle w:val="1297"/>
              <w:pBdr/>
              <w:spacing/>
              <w:ind/>
              <w:rPr/>
            </w:pPr>
            <w:r>
              <w:t xml:space="preserve">Stenmark, Contemporary Worldviews (2026) [E4]</w:t>
            </w:r>
            <w:r/>
          </w:p>
        </w:tc>
        <w:tc>
          <w:tcPr>
            <w:tcBorders/>
            <w:tcMar>
              <w:left w:w="70" w:type="dxa"/>
              <w:top w:w="60" w:type="dxa"/>
              <w:right w:w="70" w:type="dxa"/>
              <w:bottom w:w="60" w:type="dxa"/>
            </w:tcMar>
            <w:tcW w:w="1801" w:type="dxa"/>
            <w:vAlign w:val="top"/>
          </w:tcPr>
          <w:p>
            <w:pPr>
              <w:pStyle w:val="1297"/>
              <w:pBdr/>
              <w:spacing/>
              <w:ind/>
              <w:rPr/>
            </w:pPr>
            <w:r>
              <w:t xml:space="preserve">Comparative monograph using explicit worldview categories</w:t>
            </w:r>
            <w:r/>
          </w:p>
        </w:tc>
        <w:tc>
          <w:tcPr>
            <w:tcBorders/>
            <w:tcMar>
              <w:left w:w="70" w:type="dxa"/>
              <w:top w:w="60" w:type="dxa"/>
              <w:right w:w="70" w:type="dxa"/>
              <w:bottom w:w="60" w:type="dxa"/>
            </w:tcMar>
            <w:tcW w:w="1601" w:type="dxa"/>
            <w:vAlign w:val="top"/>
          </w:tcPr>
          <w:p>
            <w:pPr>
              <w:pStyle w:val="1297"/>
              <w:pBdr/>
              <w:spacing/>
              <w:ind/>
              <w:rPr/>
            </w:pPr>
            <w:r>
              <w:t xml:space="preserve">Shows value of a sustained comparative thesis</w:t>
            </w:r>
            <w:r/>
          </w:p>
        </w:tc>
        <w:tc>
          <w:tcPr>
            <w:tcBorders/>
            <w:tcMar>
              <w:left w:w="70" w:type="dxa"/>
              <w:top w:w="60" w:type="dxa"/>
              <w:right w:w="70" w:type="dxa"/>
              <w:bottom w:w="60" w:type="dxa"/>
            </w:tcMar>
            <w:tcW w:w="2601" w:type="dxa"/>
            <w:vAlign w:val="top"/>
          </w:tcPr>
          <w:p>
            <w:pPr>
              <w:pStyle w:val="1297"/>
              <w:pBdr/>
              <w:spacing/>
              <w:ind/>
              <w:rPr/>
            </w:pPr>
            <w:r>
              <w:t xml:space="preserve">A single broad framework can become too coarse for source-level plurality</w:t>
            </w:r>
            <w:r/>
          </w:p>
        </w:tc>
        <w:tc>
          <w:tcPr>
            <w:tcBorders/>
            <w:tcMar>
              <w:left w:w="70" w:type="dxa"/>
              <w:top w:w="60" w:type="dxa"/>
              <w:right w:w="70" w:type="dxa"/>
              <w:bottom w:w="60" w:type="dxa"/>
            </w:tcMar>
            <w:tcW w:w="2401" w:type="dxa"/>
            <w:vAlign w:val="top"/>
          </w:tcPr>
          <w:p>
            <w:pPr>
              <w:pStyle w:val="1297"/>
              <w:pBdr/>
              <w:spacing/>
              <w:ind/>
              <w:rPr/>
            </w:pPr>
            <w:r>
              <w:t xml:space="preserve">Use Atlas domains as hidden audit, not repetitive chapter template.</w:t>
            </w:r>
            <w:r/>
          </w:p>
        </w:tc>
      </w:tr>
      <w:tr>
        <w:trPr>
          <w:cantSplit/>
        </w:trPr>
        <w:tc>
          <w:tcPr>
            <w:shd w:val="clear" w:color="auto" w:fill="f7f9fa"/>
            <w:tcBorders/>
            <w:tcMar>
              <w:left w:w="70" w:type="dxa"/>
              <w:top w:w="60" w:type="dxa"/>
              <w:right w:w="70" w:type="dxa"/>
              <w:bottom w:w="60" w:type="dxa"/>
            </w:tcMar>
            <w:tcW w:w="1601" w:type="dxa"/>
            <w:vAlign w:val="top"/>
          </w:tcPr>
          <w:p>
            <w:pPr>
              <w:pStyle w:val="1297"/>
              <w:pBdr/>
              <w:spacing/>
              <w:ind/>
              <w:rPr/>
            </w:pPr>
            <w:r>
              <w:t xml:space="preserve">DRH / Seshat / Pulotu [E11–E13]</w:t>
            </w:r>
            <w:r/>
          </w:p>
        </w:tc>
        <w:tc>
          <w:tcPr>
            <w:shd w:val="clear" w:color="auto" w:fill="f7f9fa"/>
            <w:tcBorders/>
            <w:tcMar>
              <w:left w:w="70" w:type="dxa"/>
              <w:top w:w="60" w:type="dxa"/>
              <w:right w:w="70" w:type="dxa"/>
              <w:bottom w:w="60" w:type="dxa"/>
            </w:tcMar>
            <w:tcW w:w="1801" w:type="dxa"/>
            <w:vAlign w:val="top"/>
          </w:tcPr>
          <w:p>
            <w:pPr>
              <w:pStyle w:val="1297"/>
              <w:pBdr/>
              <w:spacing/>
              <w:ind/>
              <w:rPr/>
            </w:pPr>
            <w:r>
              <w:t xml:space="preserve">Structured digital records/databanks across religion/history/culture</w:t>
            </w:r>
            <w:r/>
          </w:p>
        </w:tc>
        <w:tc>
          <w:tcPr>
            <w:shd w:val="clear" w:color="auto" w:fill="f7f9fa"/>
            <w:tcBorders/>
            <w:tcMar>
              <w:left w:w="70" w:type="dxa"/>
              <w:top w:w="60" w:type="dxa"/>
              <w:right w:w="70" w:type="dxa"/>
              <w:bottom w:w="60" w:type="dxa"/>
            </w:tcMar>
            <w:tcW w:w="1601" w:type="dxa"/>
            <w:vAlign w:val="top"/>
          </w:tcPr>
          <w:p>
            <w:pPr>
              <w:pStyle w:val="1297"/>
              <w:pBdr/>
              <w:spacing/>
              <w:ind/>
              <w:rPr/>
            </w:pPr>
            <w:r>
              <w:t xml:space="preserve">Machine-actionability, queryability, updateability</w:t>
            </w:r>
            <w:r/>
          </w:p>
        </w:tc>
        <w:tc>
          <w:tcPr>
            <w:shd w:val="clear" w:color="auto" w:fill="f7f9fa"/>
            <w:tcBorders/>
            <w:tcMar>
              <w:left w:w="70" w:type="dxa"/>
              <w:top w:w="60" w:type="dxa"/>
              <w:right w:w="70" w:type="dxa"/>
              <w:bottom w:w="60" w:type="dxa"/>
            </w:tcMar>
            <w:tcW w:w="2601" w:type="dxa"/>
            <w:vAlign w:val="top"/>
          </w:tcPr>
          <w:p>
            <w:pPr>
              <w:pStyle w:val="1297"/>
              <w:pBdr/>
              <w:spacing/>
              <w:ind/>
              <w:rPr/>
            </w:pPr>
            <w:r>
              <w:t xml:space="preserve">Database variables are not narrative argument; aggregation risks differ</w:t>
            </w:r>
            <w:r/>
          </w:p>
        </w:tc>
        <w:tc>
          <w:tcPr>
            <w:shd w:val="clear" w:color="auto" w:fill="f7f9fa"/>
            <w:tcBorders/>
            <w:tcMar>
              <w:left w:w="70" w:type="dxa"/>
              <w:top w:w="60" w:type="dxa"/>
              <w:right w:w="70" w:type="dxa"/>
              <w:bottom w:w="60" w:type="dxa"/>
            </w:tcMar>
            <w:tcW w:w="2401" w:type="dxa"/>
            <w:vAlign w:val="top"/>
          </w:tcPr>
          <w:p>
            <w:pPr>
              <w:pStyle w:val="1297"/>
              <w:pBdr/>
              <w:spacing/>
              <w:ind/>
              <w:rPr/>
            </w:pPr>
            <w:r>
              <w:t xml:space="preserve">Use digital structure as evidence layer, not as book form.</w:t>
            </w:r>
            <w:r/>
          </w:p>
        </w:tc>
      </w:tr>
      <w:tr>
        <w:trPr>
          <w:cantSplit/>
        </w:trPr>
        <w:tc>
          <w:tcPr>
            <w:tcBorders/>
            <w:tcMar>
              <w:left w:w="70" w:type="dxa"/>
              <w:top w:w="60" w:type="dxa"/>
              <w:right w:w="70" w:type="dxa"/>
              <w:bottom w:w="60" w:type="dxa"/>
            </w:tcMar>
            <w:tcW w:w="1601" w:type="dxa"/>
            <w:vAlign w:val="top"/>
          </w:tcPr>
          <w:p>
            <w:pPr>
              <w:pStyle w:val="1297"/>
              <w:pBdr/>
              <w:spacing/>
              <w:ind/>
              <w:rPr/>
            </w:pPr>
            <w:r>
              <w:t xml:space="preserve">SOPHIS [E7]</w:t>
            </w:r>
            <w:r/>
          </w:p>
        </w:tc>
        <w:tc>
          <w:tcPr>
            <w:tcBorders/>
            <w:tcMar>
              <w:left w:w="70" w:type="dxa"/>
              <w:top w:w="60" w:type="dxa"/>
              <w:right w:w="70" w:type="dxa"/>
              <w:bottom w:w="60" w:type="dxa"/>
            </w:tcMar>
            <w:tcW w:w="1801" w:type="dxa"/>
            <w:vAlign w:val="top"/>
          </w:tcPr>
          <w:p>
            <w:pPr>
              <w:pStyle w:val="1297"/>
              <w:pBdr/>
              <w:spacing/>
              <w:ind/>
              <w:rPr/>
            </w:pPr>
            <w:r>
              <w:t xml:space="preserve">Graph-based database for contemporary philosophy of science; eight journals, 2005–2019.</w:t>
            </w:r>
            <w:r/>
          </w:p>
        </w:tc>
        <w:tc>
          <w:tcPr>
            <w:tcBorders/>
            <w:tcMar>
              <w:left w:w="70" w:type="dxa"/>
              <w:top w:w="60" w:type="dxa"/>
              <w:right w:w="70" w:type="dxa"/>
              <w:bottom w:w="60" w:type="dxa"/>
            </w:tcMar>
            <w:tcW w:w="1601" w:type="dxa"/>
            <w:vAlign w:val="top"/>
          </w:tcPr>
          <w:p>
            <w:pPr>
              <w:pStyle w:val="1297"/>
              <w:pBdr/>
              <w:spacing/>
              <w:ind/>
              <w:rPr/>
            </w:pPr>
            <w:r>
              <w:t xml:space="preserve">The authors integrate intellectual, social and institutional data.</w:t>
            </w:r>
            <w:r/>
          </w:p>
        </w:tc>
        <w:tc>
          <w:tcPr>
            <w:tcBorders/>
            <w:tcMar>
              <w:left w:w="70" w:type="dxa"/>
              <w:top w:w="60" w:type="dxa"/>
              <w:right w:w="70" w:type="dxa"/>
              <w:bottom w:w="60" w:type="dxa"/>
            </w:tcMar>
            <w:tcW w:w="2601" w:type="dxa"/>
            <w:vAlign w:val="top"/>
          </w:tcPr>
          <w:p>
            <w:pPr>
              <w:pStyle w:val="1297"/>
              <w:pBdr/>
              <w:spacing/>
              <w:ind/>
              <w:rPr/>
            </w:pPr>
            <w:r>
              <w:t xml:space="preserve">Its bounded journal corpus is not evidence of a global philosophy ontology.</w:t>
            </w:r>
            <w:r/>
          </w:p>
        </w:tc>
        <w:tc>
          <w:tcPr>
            <w:tcBorders/>
            <w:tcMar>
              <w:left w:w="70" w:type="dxa"/>
              <w:top w:w="60" w:type="dxa"/>
              <w:right w:w="70" w:type="dxa"/>
              <w:bottom w:w="60" w:type="dxa"/>
            </w:tcMar>
            <w:tcW w:w="2401" w:type="dxa"/>
            <w:vAlign w:val="top"/>
          </w:tcPr>
          <w:p>
            <w:pPr>
              <w:pStyle w:val="1297"/>
              <w:pBdr/>
              <w:spacing/>
              <w:ind/>
              <w:rPr/>
            </w:pPr>
            <w:r>
              <w:t xml:space="preserve">Separate database structure from source coverage and comparative validity.</w:t>
            </w:r>
            <w:r/>
          </w:p>
        </w:tc>
      </w:tr>
      <w:tr>
        <w:trPr>
          <w:cantSplit/>
        </w:trPr>
        <w:tc>
          <w:tcPr>
            <w:tcBorders/>
            <w:tcMar>
              <w:left w:w="70" w:type="dxa"/>
              <w:top w:w="60" w:type="dxa"/>
              <w:right w:w="70" w:type="dxa"/>
              <w:bottom w:w="60" w:type="dxa"/>
            </w:tcMar>
            <w:tcW w:w="1601" w:type="dxa"/>
            <w:vAlign w:val="top"/>
          </w:tcPr>
          <w:p>
            <w:pPr>
              <w:pStyle w:val="1297"/>
              <w:pBdr/>
              <w:spacing/>
              <w:ind/>
              <w:rPr/>
            </w:pPr>
            <w:r>
              <w:t xml:space="preserve">Graphilosophy [E8]</w:t>
            </w:r>
            <w:r/>
          </w:p>
        </w:tc>
        <w:tc>
          <w:tcPr>
            <w:tcBorders/>
            <w:tcMar>
              <w:left w:w="70" w:type="dxa"/>
              <w:top w:w="60" w:type="dxa"/>
              <w:right w:w="70" w:type="dxa"/>
              <w:bottom w:w="60" w:type="dxa"/>
            </w:tcMar>
            <w:tcW w:w="1801" w:type="dxa"/>
            <w:vAlign w:val="top"/>
          </w:tcPr>
          <w:p>
            <w:pPr>
              <w:pStyle w:val="1297"/>
              <w:pBdr/>
              <w:spacing/>
              <w:ind/>
              <w:rPr/>
            </w:pPr>
            <w:r>
              <w:t xml:space="preserve">Graph-based digital-humanities computing with The Four Books; repository manuscript.</w:t>
            </w:r>
            <w:r/>
          </w:p>
        </w:tc>
        <w:tc>
          <w:tcPr>
            <w:tcBorders/>
            <w:tcMar>
              <w:left w:w="70" w:type="dxa"/>
              <w:top w:w="60" w:type="dxa"/>
              <w:right w:w="70" w:type="dxa"/>
              <w:bottom w:w="60" w:type="dxa"/>
            </w:tcMar>
            <w:tcW w:w="1601" w:type="dxa"/>
            <w:vAlign w:val="top"/>
          </w:tcPr>
          <w:p>
            <w:pPr>
              <w:pStyle w:val="1297"/>
              <w:pBdr/>
              <w:spacing/>
              <w:ind/>
              <w:rPr/>
            </w:pPr>
            <w:r>
              <w:t xml:space="preserve">The authors investigate a specified textual corpus computationally.</w:t>
            </w:r>
            <w:r/>
          </w:p>
        </w:tc>
        <w:tc>
          <w:tcPr>
            <w:tcBorders/>
            <w:tcMar>
              <w:left w:w="70" w:type="dxa"/>
              <w:top w:w="60" w:type="dxa"/>
              <w:right w:w="70" w:type="dxa"/>
              <w:bottom w:w="60" w:type="dxa"/>
            </w:tcMar>
            <w:tcW w:w="2601" w:type="dxa"/>
            <w:vAlign w:val="top"/>
          </w:tcPr>
          <w:p>
            <w:pPr>
              <w:pStyle w:val="1297"/>
              <w:pBdr/>
              <w:spacing/>
              <w:ind/>
              <w:rPr/>
            </w:pPr>
            <w:r>
              <w:t xml:space="preserve">Graph form and multilingual terminology alone do not establish philosophical equivalence or Atlas novelty.</w:t>
            </w:r>
            <w:r/>
          </w:p>
        </w:tc>
        <w:tc>
          <w:tcPr>
            <w:tcBorders/>
            <w:tcMar>
              <w:left w:w="70" w:type="dxa"/>
              <w:top w:w="60" w:type="dxa"/>
              <w:right w:w="70" w:type="dxa"/>
              <w:bottom w:w="60" w:type="dxa"/>
            </w:tcMar>
            <w:tcW w:w="2401" w:type="dxa"/>
            <w:vAlign w:val="top"/>
          </w:tcPr>
          <w:p>
            <w:pPr>
              <w:pStyle w:val="1297"/>
              <w:pBdr/>
              <w:spacing/>
              <w:ind/>
              <w:rPr/>
            </w:pPr>
            <w:r>
              <w:t xml:space="preserve">Keep source scope and independent comparative review explicit.</w:t>
            </w:r>
            <w:r/>
          </w:p>
        </w:tc>
      </w:tr>
      <w:tr>
        <w:trPr>
          <w:cantSplit/>
        </w:trPr>
        <w:tc>
          <w:tcPr>
            <w:tcBorders/>
            <w:tcMar>
              <w:left w:w="70" w:type="dxa"/>
              <w:top w:w="60" w:type="dxa"/>
              <w:right w:w="70" w:type="dxa"/>
              <w:bottom w:w="60" w:type="dxa"/>
            </w:tcMar>
            <w:tcW w:w="1601" w:type="dxa"/>
            <w:vAlign w:val="top"/>
          </w:tcPr>
          <w:p>
            <w:pPr>
              <w:pStyle w:val="1297"/>
              <w:pBdr/>
              <w:spacing/>
              <w:ind/>
              <w:rPr/>
            </w:pPr>
            <w:r>
              <w:t xml:space="preserve">Darshana Graph [E9]</w:t>
            </w:r>
            <w:r/>
          </w:p>
        </w:tc>
        <w:tc>
          <w:tcPr>
            <w:tcBorders/>
            <w:tcMar>
              <w:left w:w="70" w:type="dxa"/>
              <w:top w:w="60" w:type="dxa"/>
              <w:right w:w="70" w:type="dxa"/>
              <w:bottom w:w="60" w:type="dxa"/>
            </w:tcMar>
            <w:tcW w:w="1801" w:type="dxa"/>
            <w:vAlign w:val="top"/>
          </w:tcPr>
          <w:p>
            <w:pPr>
              <w:pStyle w:val="1297"/>
              <w:pBdr/>
              <w:spacing/>
              <w:ind/>
              <w:rPr/>
            </w:pPr>
            <w:r>
              <w:t xml:space="preserve">Parallel Indian-philosophy commentary corpus with stylometric and exploratory graph analyses; repository manuscript.</w:t>
            </w:r>
            <w:r/>
          </w:p>
        </w:tc>
        <w:tc>
          <w:tcPr>
            <w:tcBorders/>
            <w:tcMar>
              <w:left w:w="70" w:type="dxa"/>
              <w:top w:w="60" w:type="dxa"/>
              <w:right w:w="70" w:type="dxa"/>
              <w:bottom w:w="60" w:type="dxa"/>
            </w:tcMar>
            <w:tcW w:w="1601" w:type="dxa"/>
            <w:vAlign w:val="top"/>
          </w:tcPr>
          <w:p>
            <w:pPr>
              <w:pStyle w:val="1297"/>
              <w:pBdr/>
              <w:spacing/>
              <w:ind/>
              <w:rPr/>
            </w:pPr>
            <w:r>
              <w:t xml:space="preserve">The author reports aligned commentary and typed-relation analyses, together with extraction limitations.</w:t>
            </w:r>
            <w:r/>
          </w:p>
        </w:tc>
        <w:tc>
          <w:tcPr>
            <w:tcBorders/>
            <w:tcMar>
              <w:left w:w="70" w:type="dxa"/>
              <w:top w:w="60" w:type="dxa"/>
              <w:right w:w="70" w:type="dxa"/>
              <w:bottom w:w="60" w:type="dxa"/>
            </w:tcMar>
            <w:tcW w:w="2601" w:type="dxa"/>
            <w:vAlign w:val="top"/>
          </w:tcPr>
          <w:p>
            <w:pPr>
              <w:pStyle w:val="1297"/>
              <w:pBdr/>
              <w:spacing/>
              <w:ind/>
              <w:rPr/>
            </w:pPr>
            <w:r>
              <w:t xml:space="preserve">Exploratory graph findings are not independently validated cross-Position conclusions.</w:t>
            </w:r>
            <w:r/>
          </w:p>
        </w:tc>
        <w:tc>
          <w:tcPr>
            <w:tcBorders/>
            <w:tcMar>
              <w:left w:w="70" w:type="dxa"/>
              <w:top w:w="60" w:type="dxa"/>
              <w:right w:w="70" w:type="dxa"/>
              <w:bottom w:w="60" w:type="dxa"/>
            </w:tcMar>
            <w:tcW w:w="2401" w:type="dxa"/>
            <w:vAlign w:val="top"/>
          </w:tcPr>
          <w:p>
            <w:pPr>
              <w:pStyle w:val="1297"/>
              <w:pBdr/>
              <w:spacing/>
              <w:ind/>
              <w:rPr/>
            </w:pPr>
            <w:r>
              <w:t xml:space="preserve">Retain source-specific attribution, disanalogy and review.</w:t>
            </w:r>
            <w:r/>
          </w:p>
        </w:tc>
      </w:tr>
      <w:tr>
        <w:trPr>
          <w:cantSplit/>
        </w:trPr>
        <w:tc>
          <w:tcPr>
            <w:tcBorders/>
            <w:tcMar>
              <w:left w:w="70" w:type="dxa"/>
              <w:top w:w="60" w:type="dxa"/>
              <w:right w:w="70" w:type="dxa"/>
              <w:bottom w:w="60" w:type="dxa"/>
            </w:tcMar>
            <w:tcW w:w="1601" w:type="dxa"/>
            <w:vAlign w:val="top"/>
          </w:tcPr>
          <w:p>
            <w:pPr>
              <w:pStyle w:val="1297"/>
              <w:pBdr/>
              <w:spacing/>
              <w:ind/>
              <w:rPr/>
            </w:pPr>
            <w:r>
              <w:t xml:space="preserve">Attribution-bias study [E10]</w:t>
            </w:r>
            <w:r/>
          </w:p>
        </w:tc>
        <w:tc>
          <w:tcPr>
            <w:tcBorders/>
            <w:tcMar>
              <w:left w:w="70" w:type="dxa"/>
              <w:top w:w="60" w:type="dxa"/>
              <w:right w:w="70" w:type="dxa"/>
              <w:bottom w:w="60" w:type="dxa"/>
            </w:tcMar>
            <w:tcW w:w="1801" w:type="dxa"/>
            <w:vAlign w:val="top"/>
          </w:tcPr>
          <w:p>
            <w:pPr>
              <w:pStyle w:val="1297"/>
              <w:pBdr/>
              <w:spacing/>
              <w:ind/>
              <w:rPr/>
            </w:pPr>
            <w:r>
              <w:t xml:space="preserve">Repository manuscript comparing corpus frequency with temporal sourcing in philosophical knowledge graphs.</w:t>
            </w:r>
            <w:r/>
          </w:p>
        </w:tc>
        <w:tc>
          <w:tcPr>
            <w:tcBorders/>
            <w:tcMar>
              <w:left w:w="70" w:type="dxa"/>
              <w:top w:w="60" w:type="dxa"/>
              <w:right w:w="70" w:type="dxa"/>
              <w:bottom w:w="60" w:type="dxa"/>
            </w:tcMar>
            <w:tcW w:w="1601" w:type="dxa"/>
            <w:vAlign w:val="top"/>
          </w:tcPr>
          <w:p>
            <w:pPr>
              <w:pStyle w:val="1297"/>
              <w:pBdr/>
              <w:spacing/>
              <w:ind/>
              <w:rPr/>
            </w:pPr>
            <w:r>
              <w:t xml:space="preserve">The author examines corpus-dependent attribution and limits on inference from graph patterns.</w:t>
            </w:r>
            <w:r/>
          </w:p>
        </w:tc>
        <w:tc>
          <w:tcPr>
            <w:tcBorders/>
            <w:tcMar>
              <w:left w:w="70" w:type="dxa"/>
              <w:top w:w="60" w:type="dxa"/>
              <w:right w:w="70" w:type="dxa"/>
              <w:bottom w:w="60" w:type="dxa"/>
            </w:tcMar>
            <w:tcW w:w="2601" w:type="dxa"/>
            <w:vAlign w:val="top"/>
          </w:tcPr>
          <w:p>
            <w:pPr>
              <w:pStyle w:val="1297"/>
              <w:pBdr/>
              <w:spacing/>
              <w:ind/>
              <w:rPr/>
            </w:pPr>
            <w:r>
              <w:t xml:space="preserve">Corpus prominence does not independently establish historical priority or doctrinal equivalence.</w:t>
            </w:r>
            <w:r/>
          </w:p>
        </w:tc>
        <w:tc>
          <w:tcPr>
            <w:tcBorders/>
            <w:tcMar>
              <w:left w:w="70" w:type="dxa"/>
              <w:top w:w="60" w:type="dxa"/>
              <w:right w:w="70" w:type="dxa"/>
              <w:bottom w:w="60" w:type="dxa"/>
            </w:tcMar>
            <w:tcW w:w="2401" w:type="dxa"/>
            <w:vAlign w:val="top"/>
          </w:tcPr>
          <w:p>
            <w:pPr>
              <w:pStyle w:val="1297"/>
              <w:pBdr/>
              <w:spacing/>
              <w:ind/>
              <w:rPr/>
            </w:pPr>
            <w:r>
              <w:t xml:space="preserve">Keep novelty integration-based and require exact source and genealogy evidence.</w:t>
            </w:r>
            <w:r/>
          </w:p>
        </w:tc>
      </w:tr>
      <w:tr>
        <w:trPr>
          <w:cantSplit/>
        </w:trPr>
        <w:tc>
          <w:tcPr>
            <w:tcBorders/>
            <w:tcMar>
              <w:left w:w="70" w:type="dxa"/>
              <w:top w:w="60" w:type="dxa"/>
              <w:right w:w="70" w:type="dxa"/>
              <w:bottom w:w="60" w:type="dxa"/>
            </w:tcMar>
            <w:tcW w:w="1601" w:type="dxa"/>
            <w:vAlign w:val="top"/>
          </w:tcPr>
          <w:p>
            <w:pPr>
              <w:pStyle w:val="1297"/>
              <w:pBdr/>
              <w:spacing/>
              <w:ind/>
              <w:rPr/>
            </w:pPr>
            <w:r>
              <w:t xml:space="preserve">Philosophy as a way of life / transformative philosophy [E41–E45]</w:t>
            </w:r>
            <w:r/>
          </w:p>
        </w:tc>
        <w:tc>
          <w:tcPr>
            <w:tcBorders/>
            <w:tcMar>
              <w:left w:w="70" w:type="dxa"/>
              <w:top w:w="60" w:type="dxa"/>
              <w:right w:w="70" w:type="dxa"/>
              <w:bottom w:w="60" w:type="dxa"/>
            </w:tcMar>
            <w:tcW w:w="1801" w:type="dxa"/>
            <w:vAlign w:val="top"/>
          </w:tcPr>
          <w:p>
            <w:pPr>
              <w:pStyle w:val="1297"/>
              <w:pBdr/>
              <w:spacing/>
              <w:ind/>
              <w:rPr/>
            </w:pPr>
            <w:r>
              <w:t xml:space="preserve">Historical, comparative and thematic study of philosophy as lived practice, self-cultivation and transformation.</w:t>
            </w:r>
            <w:r/>
          </w:p>
        </w:tc>
        <w:tc>
          <w:tcPr>
            <w:tcBorders/>
            <w:tcMar>
              <w:left w:w="70" w:type="dxa"/>
              <w:top w:w="60" w:type="dxa"/>
              <w:right w:w="70" w:type="dxa"/>
              <w:bottom w:w="60" w:type="dxa"/>
            </w:tcMar>
            <w:tcW w:w="1601" w:type="dxa"/>
            <w:vAlign w:val="top"/>
          </w:tcPr>
          <w:p>
            <w:pPr>
              <w:pStyle w:val="1297"/>
              <w:pBdr/>
              <w:spacing/>
              <w:ind/>
              <w:rPr/>
            </w:pPr>
            <w:r>
              <w:t xml:space="preserve">Establishes rich prior art for transformation, ways of life and formation of the knower.</w:t>
            </w:r>
            <w:r/>
          </w:p>
        </w:tc>
        <w:tc>
          <w:tcPr>
            <w:tcBorders/>
            <w:tcMar>
              <w:left w:w="70" w:type="dxa"/>
              <w:top w:w="60" w:type="dxa"/>
              <w:right w:w="70" w:type="dxa"/>
              <w:bottom w:w="60" w:type="dxa"/>
            </w:tcMar>
            <w:tcW w:w="2601" w:type="dxa"/>
            <w:vAlign w:val="top"/>
          </w:tcPr>
          <w:p>
            <w:pPr>
              <w:pStyle w:val="1297"/>
              <w:pBdr/>
              <w:spacing/>
              <w:ind/>
              <w:rPr/>
            </w:pPr>
            <w:r>
              <w:t xml:space="preserve">“Transformation of the knower,</w:t>
            </w:r>
            <w:r>
              <w:t xml:space="preserve">” a predicament–path–goal structure or an ontology–epistemology integration is not sufficient Atlas novelty; broad way-of-life categories and universalizing integrative frameworks can flatten source-level differences or convert transformation into warrant.</w:t>
            </w:r>
            <w:r/>
          </w:p>
        </w:tc>
        <w:tc>
          <w:tcPr>
            <w:tcBorders/>
            <w:tcMar>
              <w:left w:w="70" w:type="dxa"/>
              <w:top w:w="60" w:type="dxa"/>
              <w:right w:w="70" w:type="dxa"/>
              <w:bottom w:w="60" w:type="dxa"/>
            </w:tcMar>
            <w:tcW w:w="2401" w:type="dxa"/>
            <w:vAlign w:val="top"/>
          </w:tcPr>
          <w:p>
            <w:pPr>
              <w:pStyle w:val="1297"/>
              <w:pBdr/>
              <w:spacing/>
              <w:ind/>
              <w:rPr/>
            </w:pPr>
            <w:r>
              <w:t xml:space="preserve">Compare source-bounded coupling and uncoupling among ontology, consciousness, subjecthood, epistemic access, diagnosis and praxis using the existing Atlas safeguards; preserve category refusal and do not infer unity or truth.</w:t>
            </w:r>
            <w:r/>
          </w:p>
        </w:tc>
      </w:tr>
    </w:tbl>
    <w:p>
      <w:pPr>
        <w:pStyle w:val="1300"/>
        <w:pBdr/>
        <w:spacing/>
        <w:ind/>
        <w:rPr/>
      </w:pPr>
      <w:r/>
      <w:r/>
    </w:p>
    <w:p>
      <w:pPr>
        <w:pBdr/>
        <w:spacing/>
        <w:ind/>
        <w:rPr/>
      </w:pPr>
      <w:r>
        <w:t xml:space="preserve">The Digital Atlas should use interoperable provenance and validation patterns without making a particular serialization part of the publication thes</w:t>
      </w:r>
      <w:r>
        <w:t xml:space="preserve">is. W3C PROV-O and SHACL remain stable standards [E14–E15]. FAIR supports findable, interoperable and reusable data without requiring unrestricted access; CARE adds collective benefit, authority to control, responsibility and ethics for Indigenous data gov</w:t>
      </w:r>
      <w:r>
        <w:t xml:space="preserve">ernance [E16–E17]. Oral History Association guidance and Local Contexts reinforce continuing consent, provenance, access planning and community-controlled labels or notices [E18–E19]. Digital availability never substitutes for cultural authority or rights.</w:t>
      </w:r>
      <w:r/>
    </w:p>
    <w:p>
      <w:pPr>
        <w:pBdr/>
        <w:spacing/>
        <w:ind/>
        <w:rPr/>
      </w:pPr>
      <w:r>
        <w:t xml:space="preserve">The enlarged corpus is feasible because several absent solution-spaces have s</w:t>
      </w:r>
      <w:r>
        <w:t xml:space="preserve">trong primary, source-near and specialist packages: classical Sāṃkhya [E24], Jaina philosophy [E22], Vasubandhu/Yogācāra [E23], Sikh philosophy [E21], Avicenna [E25], Maimonides [E26], Spinoza [E27], modern mind-body alternatives [E28,E36,E37], and Chinese</w:t>
      </w:r>
      <w:r>
        <w:t xml:space="preserve"> internal comparators including Mencius and Xunzi [E38]. Māori, Nahua and Achuar candidates expose larger mediation, philological or community-authority burdens and therefore remain HOLD-FUTURE rather than being selected to manufacture geographic symmetry.</w:t>
      </w:r>
      <w:r/>
    </w:p>
    <w:p>
      <w:pPr>
        <w:pBdr/>
        <w:spacing/>
        <w:ind/>
        <w:rPr/>
      </w:pPr>
      <w:r>
        <w:t xml:space="preserve">SOPHIS concerns a bounded philosophy-of-science journal corpus [E7]; Graphilosophy concerns The Four Books [E8]; and Darshana concerns a comparative Indian-philosophy commentary corpus and exploratory analyses [E9]. Bose’s attribution-bias m</w:t>
      </w:r>
      <w:r>
        <w:t xml:space="preserve">anuscript reports limits on inferences from corpus frequency and graph resemblance [E10]. These are distinct precedents with source-specific claims and limitations. A repository record or manuscript comment does not establish completed journal peer review </w:t>
      </w:r>
      <w:r>
        <w:t xml:space="preserve">or an implemented, independently validated infrastructure. Breadth, graph structure, multilingual terminology and typed representation do not by themselves establish Atlas novelty. Permissible positioning remains an integration claim, not a priority claim.</w:t>
      </w:r>
      <w:r/>
    </w:p>
    <w:p>
      <w:pPr>
        <w:pStyle w:val="1136"/>
        <w:keepNext w:val="true"/>
        <w:keepLines w:val="true"/>
        <w:pBdr/>
        <w:spacing/>
        <w:ind/>
        <w:rPr/>
      </w:pPr>
      <w:r/>
      <w:bookmarkStart w:id="209" w:name="D2"/>
      <w:r>
        <w:t xml:space="preserve">D2. External scholarship, standards and public sources</w:t>
      </w:r>
      <w:bookmarkEnd w:id="209"/>
      <w:r/>
      <w:r/>
    </w:p>
    <w:p>
      <w:pPr>
        <w:pStyle w:val="1300"/>
        <w:pBdr/>
        <w:spacing/>
        <w:ind/>
        <w:rPr/>
      </w:pPr>
      <w:r>
        <w:t xml:space="preserve">Recorded source-access date for [E1]–[E40]: 27 July 2026. Verification date for [E41]–[E45]: 19 August 2026. Bibliographic identity and scope for [E1] and [E7]–[E10] were check</w:t>
      </w:r>
      <w:r>
        <w:t xml:space="preserve">ed on 16 September 2026; this check does not establish earlier access or verification of those identities, refresh the full literature basis, or alter the recorded G8 verdict. The external publication and novelty basis remains dated through 19 August 2026.</w:t>
      </w:r>
      <w:r/>
    </w:p>
    <w:p>
      <w:pPr>
        <w:pStyle w:val="1300"/>
        <w:pBdr/>
        <w:spacing/>
        <w:ind/>
        <w:rPr/>
      </w:pPr>
      <w:r>
        <w:t xml:space="preserve">[E1] Sikri, Rohan. “Philosophy by Equivocation: A Methodological Reset for Comparative Philosophy.” Journal of World Philosophies 11(1), published 13 July 2026. </w:t>
      </w:r>
      <w:hyperlink r:id="rId34" w:tooltip="https://scholarworks.iu.edu/iupjournals/index.php/jwp/article/view/9253" w:history="1">
        <w:r>
          <w:t xml:space="preserve">Publisher record</w:t>
        </w:r>
      </w:hyperlink>
      <w:r/>
      <w:r/>
    </w:p>
    <w:p>
      <w:pPr>
        <w:pStyle w:val="1300"/>
        <w:pBdr/>
        <w:spacing/>
        <w:ind/>
        <w:rPr/>
      </w:pPr>
      <w:r>
        <w:t xml:space="preserve">[E2] Burley, Mikel. “Comparative Philosophy of Religion.” Stanford Encyclopedia of Philosophy, 2025.</w:t>
      </w:r>
      <w:r/>
    </w:p>
    <w:p>
      <w:pPr>
        <w:pStyle w:val="1300"/>
        <w:pBdr/>
        <w:spacing/>
        <w:ind/>
        <w:rPr/>
      </w:pPr>
      <w:r>
        <w:t xml:space="preserve">[E3] Freiberger, Oliver. Considering Comparison: A Method for Religious Studies. Oxford University Press, 2019.</w:t>
      </w:r>
      <w:r/>
    </w:p>
    <w:p>
      <w:pPr>
        <w:pStyle w:val="1300"/>
        <w:pBdr/>
        <w:spacing/>
        <w:ind/>
        <w:rPr/>
      </w:pPr>
      <w:r>
        <w:t xml:space="preserve">[E4] Stenmark, Mikael. Contemporary Worldviews: A Comparative Study. Cambridge University Press, online 14 May 2026; print 4 June 2026.</w:t>
      </w:r>
      <w:r/>
    </w:p>
    <w:p>
      <w:pPr>
        <w:pStyle w:val="1300"/>
        <w:pBdr/>
        <w:spacing/>
        <w:ind/>
        <w:rPr/>
      </w:pPr>
      <w:r>
        <w:t xml:space="preserve">[E5] Stanford Encyclopedia of Philosophy. “About the SEP” / project information.</w:t>
      </w:r>
      <w:r/>
    </w:p>
    <w:p>
      <w:pPr>
        <w:pStyle w:val="1300"/>
        <w:pBdr/>
        <w:spacing/>
        <w:ind/>
        <w:rPr/>
      </w:pPr>
      <w:r>
        <w:t xml:space="preserve">[E6] Wiley. A Companion to World Philosophies, edited by Eliot Deutsch and Ron Bontekoe. Wiley-Blackwell, 1997.</w:t>
      </w:r>
      <w:r/>
    </w:p>
    <w:p>
      <w:pPr>
        <w:pStyle w:val="1300"/>
        <w:pBdr/>
        <w:spacing/>
        <w:ind/>
        <w:rPr/>
      </w:pPr>
      <w:r>
        <w:t xml:space="preserve">[E7] Petrovich, </w:t>
      </w:r>
      <w:r>
        <w:t xml:space="preserve">Eugenio, Selene Allevi, Edoardo Fazzini and Lorenzo Gandolfi. “SOPHIS: an open-access database for quantitative studies of contemporary philosophy of science.” Scientometrics 131 (2026): 1947–1978. Published 19 March 2026. DOI: 10.1007/s11192-026-05591-4. </w:t>
      </w:r>
      <w:hyperlink r:id="rId35" w:tooltip="https://doi.org/10.1007/s11192-026-05591-4" w:history="1">
        <w:r>
          <w:t xml:space="preserve">Publisher record</w:t>
        </w:r>
      </w:hyperlink>
      <w:r/>
      <w:r/>
    </w:p>
    <w:p>
      <w:pPr>
        <w:pStyle w:val="1300"/>
        <w:pBdr/>
        <w:spacing/>
        <w:ind/>
        <w:rPr/>
      </w:pPr>
      <w:r>
        <w:t xml:space="preserve">[E8] Do, Minh-Thu, et al. “Graphilosophy: Graph-Based Digital Humanities Computing with The Four Books.” arXiv:2603.28755v1, submitted 30 March 2026. </w:t>
      </w:r>
      <w:hyperlink r:id="rId36" w:tooltip="https://arxiv.org/abs/2603.28755v1" w:history="1">
        <w:r>
          <w:t xml:space="preserve">Repository record (v1)</w:t>
        </w:r>
      </w:hyperlink>
      <w:r/>
      <w:r/>
    </w:p>
    <w:p>
      <w:pPr>
        <w:pStyle w:val="1300"/>
        <w:pBdr/>
        <w:spacing/>
        <w:ind/>
        <w:rPr/>
      </w:pPr>
      <w:r>
        <w:t xml:space="preserve">[E9] Bose, Joy. “Darshana Graph: A Parallel Commentary Corpus for Comparative Indian Philosophy, with Stylometric and Exploratory Graph Analyses.” arXiv:2606.18222v1, submitted 16 June 2026. </w:t>
      </w:r>
      <w:hyperlink r:id="rId37" w:tooltip="https://arxiv.org/abs/2606.18222v1" w:history="1">
        <w:r>
          <w:t xml:space="preserve">Repository record (v1)</w:t>
        </w:r>
      </w:hyperlink>
      <w:r/>
      <w:r/>
    </w:p>
    <w:p>
      <w:pPr>
        <w:pStyle w:val="1300"/>
        <w:pBdr/>
        <w:spacing/>
        <w:ind/>
        <w:rPr/>
      </w:pPr>
      <w:r>
        <w:t xml:space="preserve">[E10] Bose, Joy. “Attribution Bias in Philosophical Knowledge Graphs: Corpus Frequency versus Temporal Sourcing.” arXiv:2606.29070v1, submitted 27 June 2026. </w:t>
      </w:r>
      <w:hyperlink r:id="rId38" w:tooltip="https://arxiv.org/abs/2606.29070v1" w:history="1">
        <w:r>
          <w:t xml:space="preserve">Repository record (v1)</w:t>
        </w:r>
      </w:hyperlink>
      <w:r/>
      <w:r/>
    </w:p>
    <w:p>
      <w:pPr>
        <w:pStyle w:val="1300"/>
        <w:pBdr/>
        <w:spacing/>
        <w:ind/>
        <w:rPr/>
      </w:pPr>
      <w:r>
        <w:t xml:space="preserve">[E11] Database of Religious History, University of British Columbia.</w:t>
      </w:r>
      <w:r/>
    </w:p>
    <w:p>
      <w:pPr>
        <w:pStyle w:val="1300"/>
        <w:pBdr/>
        <w:spacing/>
        <w:ind/>
        <w:rPr/>
      </w:pPr>
      <w:r>
        <w:t xml:space="preserve">[E12] Seshat: Global History Databank.</w:t>
      </w:r>
      <w:r/>
    </w:p>
    <w:p>
      <w:pPr>
        <w:pStyle w:val="1300"/>
        <w:pBdr/>
        <w:spacing/>
        <w:ind/>
        <w:rPr/>
      </w:pPr>
      <w:r>
        <w:t xml:space="preserve">[E13] Pulotu: Database of Pacific Religions.</w:t>
      </w:r>
      <w:r/>
    </w:p>
    <w:p>
      <w:pPr>
        <w:pStyle w:val="1300"/>
        <w:pBdr/>
        <w:spacing/>
        <w:ind/>
        <w:rPr/>
      </w:pPr>
      <w:r>
        <w:t xml:space="preserve">[E14] W3C. PROV-O: The PROV Ontology. W3C Recommendation, 30 April 2013.</w:t>
      </w:r>
      <w:r/>
    </w:p>
    <w:p>
      <w:pPr>
        <w:pStyle w:val="1300"/>
        <w:pBdr/>
        <w:spacing/>
        <w:ind/>
        <w:rPr/>
      </w:pPr>
      <w:r>
        <w:t xml:space="preserve">[E15] W3C. Shapes Constraint Language (SHACL). W3C Recommendation, 20 July 2017.</w:t>
      </w:r>
      <w:r/>
    </w:p>
    <w:p>
      <w:pPr>
        <w:pStyle w:val="1300"/>
        <w:pBdr/>
        <w:spacing/>
        <w:ind/>
        <w:rPr/>
      </w:pPr>
      <w:r>
        <w:t xml:space="preserve">[E16] GO FAIR. FAIR Principles.</w:t>
      </w:r>
      <w:r/>
    </w:p>
    <w:p>
      <w:pPr>
        <w:pStyle w:val="1300"/>
        <w:pBdr/>
        <w:spacing/>
        <w:ind/>
        <w:rPr/>
      </w:pPr>
      <w:r>
        <w:t xml:space="preserve">[E17] Global Indigenous Data Alliance. CARE Principles for Indigenous Data Governance.</w:t>
      </w:r>
      <w:r/>
    </w:p>
    <w:p>
      <w:pPr>
        <w:pStyle w:val="1300"/>
        <w:pBdr/>
        <w:spacing/>
        <w:ind/>
        <w:rPr/>
      </w:pPr>
      <w:r>
        <w:t xml:space="preserve">[E18] Oral History Association. Principles and Best Practices.</w:t>
      </w:r>
      <w:r/>
    </w:p>
    <w:p>
      <w:pPr>
        <w:pStyle w:val="1300"/>
        <w:pBdr/>
        <w:spacing/>
        <w:ind/>
        <w:rPr/>
      </w:pPr>
      <w:r>
        <w:t xml:space="preserve">[E19] Local Contexts. Traditional Knowledge Labels and Biocultural Labels.</w:t>
      </w:r>
      <w:r/>
    </w:p>
    <w:p>
      <w:pPr>
        <w:pStyle w:val="1300"/>
        <w:pBdr/>
        <w:spacing/>
        <w:ind/>
        <w:rPr/>
      </w:pPr>
      <w:r>
        <w:t xml:space="preserve">[E20] UNESCO. “Ifa Divination System.” Intangible Cultural Heritage.</w:t>
      </w:r>
      <w:r/>
    </w:p>
    <w:p>
      <w:pPr>
        <w:pStyle w:val="1300"/>
        <w:pBdr/>
        <w:spacing/>
        <w:ind/>
        <w:rPr/>
      </w:pPr>
      <w:r>
        <w:t xml:space="preserve">[E21] “Sikh Philosophy.” Stanford Encyclopedia of Philosophy, first published 12 February 2026.</w:t>
      </w:r>
      <w:r/>
    </w:p>
    <w:p>
      <w:pPr>
        <w:pStyle w:val="1300"/>
        <w:pBdr/>
        <w:spacing/>
        <w:ind/>
        <w:rPr/>
      </w:pPr>
      <w:r>
        <w:t xml:space="preserve">[E22] “Jaina Philosophy.” Stanford Encyclopedia of Philosophy.</w:t>
      </w:r>
      <w:r/>
    </w:p>
    <w:p>
      <w:pPr>
        <w:pStyle w:val="1300"/>
        <w:pBdr/>
        <w:spacing/>
        <w:ind/>
        <w:rPr/>
      </w:pPr>
      <w:r>
        <w:t xml:space="preserve">[E23] “Vasubandhu.” Stanford Encyclopedia of Philosophy.</w:t>
      </w:r>
      <w:r/>
    </w:p>
    <w:p>
      <w:pPr>
        <w:pStyle w:val="1300"/>
        <w:pBdr/>
        <w:spacing/>
        <w:ind/>
        <w:rPr/>
      </w:pPr>
      <w:r>
        <w:t xml:space="preserve">[E24] “Sāṃkhya.” Internet Encyclopedia of Philosophy.</w:t>
      </w:r>
      <w:r/>
    </w:p>
    <w:p>
      <w:pPr>
        <w:pStyle w:val="1300"/>
        <w:pBdr/>
        <w:spacing/>
        <w:ind/>
        <w:rPr/>
      </w:pPr>
      <w:r>
        <w:t xml:space="preserve">[E25] “Avicenna’s Metaphysics.” Stanford Encyclopedia of Philosophy, revised June 2026.</w:t>
      </w:r>
      <w:r/>
    </w:p>
    <w:p>
      <w:pPr>
        <w:pStyle w:val="1300"/>
        <w:pBdr/>
        <w:spacing/>
        <w:ind/>
        <w:rPr/>
      </w:pPr>
      <w:r>
        <w:t xml:space="preserve">[E26] “Maimonides.” Stanford Encyclopedia of Philosophy.</w:t>
      </w:r>
      <w:r/>
    </w:p>
    <w:p>
      <w:pPr>
        <w:pStyle w:val="1300"/>
        <w:pBdr/>
        <w:spacing/>
        <w:ind/>
        <w:rPr/>
      </w:pPr>
      <w:r>
        <w:t xml:space="preserve">[E27] “Baruch Spinoza.” Stanford Encyclopedia of Philosophy.</w:t>
      </w:r>
      <w:r/>
    </w:p>
    <w:p>
      <w:pPr>
        <w:pStyle w:val="1300"/>
        <w:pBdr/>
        <w:spacing/>
        <w:ind/>
        <w:rPr/>
      </w:pPr>
      <w:r>
        <w:t xml:space="preserve">[E28] “Dualism.” Stanford Encyclopedia of Philosophy, revised 17 October 2025.</w:t>
      </w:r>
      <w:r/>
    </w:p>
    <w:p>
      <w:pPr>
        <w:pStyle w:val="1300"/>
        <w:pBdr/>
        <w:spacing/>
        <w:ind/>
        <w:rPr/>
      </w:pPr>
      <w:r>
        <w:t xml:space="preserve">[E29] “Leibniz’s Philosophy of Mind.” Stanford Encyclopedia of Philosophy.</w:t>
      </w:r>
      <w:r/>
    </w:p>
    <w:p>
      <w:pPr>
        <w:pStyle w:val="1300"/>
        <w:pBdr/>
        <w:spacing/>
        <w:ind/>
        <w:rPr/>
      </w:pPr>
      <w:r>
        <w:t xml:space="preserve">[E30] “Alfred North Whitehead.” Stanford Encyclopedia of Philosophy.</w:t>
      </w:r>
      <w:r/>
    </w:p>
    <w:p>
      <w:pPr>
        <w:pStyle w:val="1300"/>
        <w:pBdr/>
        <w:spacing/>
        <w:ind/>
        <w:rPr/>
      </w:pPr>
      <w:r>
        <w:t xml:space="preserve">[E31] “Stoicism.” Stanford Encyclopedia of Philosophy.</w:t>
      </w:r>
      <w:r/>
    </w:p>
    <w:p>
      <w:pPr>
        <w:pStyle w:val="1300"/>
        <w:pBdr/>
        <w:spacing/>
        <w:ind/>
        <w:rPr/>
      </w:pPr>
      <w:r>
        <w:t xml:space="preserve">[E32] “Epicurus.” Stanford Encyclopedia of Philosophy.</w:t>
      </w:r>
      <w:r/>
    </w:p>
    <w:p>
      <w:pPr>
        <w:pStyle w:val="1300"/>
        <w:pBdr/>
        <w:spacing/>
        <w:ind/>
        <w:rPr/>
      </w:pPr>
      <w:r>
        <w:t xml:space="preserve">[E33] “Akan Philosophy of the Person.” Stanford Encyclopedia of Philosophy, revised 15 April 2024.</w:t>
      </w:r>
      <w:r/>
    </w:p>
    <w:p>
      <w:pPr>
        <w:pStyle w:val="1300"/>
        <w:pBdr/>
        <w:spacing/>
        <w:ind/>
        <w:rPr/>
      </w:pPr>
      <w:r>
        <w:t xml:space="preserve">[E34] Te Ara — The Encyclopedia of New Zealand. “Whakapapa – genealogy.”</w:t>
      </w:r>
      <w:r/>
    </w:p>
    <w:p>
      <w:pPr>
        <w:pStyle w:val="1300"/>
        <w:pBdr/>
        <w:spacing/>
        <w:ind/>
        <w:rPr/>
      </w:pPr>
      <w:r>
        <w:t xml:space="preserve">[E35] “Aztec Philosophy.” Internet Encyclopedia of Philosophy.</w:t>
      </w:r>
      <w:r/>
    </w:p>
    <w:p>
      <w:pPr>
        <w:pStyle w:val="1300"/>
        <w:pBdr/>
        <w:spacing/>
        <w:ind/>
        <w:rPr/>
      </w:pPr>
      <w:r>
        <w:t xml:space="preserve">[E36] “Physicalism.” Stanford Encyclopedia of Philosophy.</w:t>
      </w:r>
      <w:r/>
    </w:p>
    <w:p>
      <w:pPr>
        <w:pStyle w:val="1300"/>
        <w:pBdr/>
        <w:spacing/>
        <w:ind/>
        <w:rPr/>
      </w:pPr>
      <w:r>
        <w:t xml:space="preserve">[E37] “Panpsychism.” Stanford Encyclopedia of Philosophy.</w:t>
      </w:r>
      <w:r/>
    </w:p>
    <w:p>
      <w:pPr>
        <w:pStyle w:val="1300"/>
        <w:pBdr/>
        <w:spacing/>
        <w:ind/>
        <w:rPr/>
      </w:pPr>
      <w:r>
        <w:t xml:space="preserve">[E38] “Mencius.” Stanford Encyclopedia of Philosophy, revised 27 September 2024.</w:t>
      </w:r>
      <w:r/>
    </w:p>
    <w:p>
      <w:pPr>
        <w:pStyle w:val="1300"/>
        <w:pBdr/>
        <w:spacing/>
        <w:ind/>
        <w:rPr/>
      </w:pPr>
      <w:r>
        <w:t xml:space="preserve">[E39] “Al-Ghazali.” Stanford Encyclopedia of Philosophy.</w:t>
      </w:r>
      <w:r/>
    </w:p>
    <w:p>
      <w:pPr>
        <w:pStyle w:val="1300"/>
        <w:pBdr/>
        <w:spacing/>
        <w:ind/>
        <w:rPr/>
      </w:pPr>
      <w:r>
        <w:t xml:space="preserve">[E40] “Śaiva Philosophy.” Stanford Encyclopedia of Philosophy.</w:t>
      </w:r>
      <w:r/>
    </w:p>
    <w:p>
      <w:pPr>
        <w:pStyle w:val="1300"/>
        <w:pBdr/>
        <w:spacing/>
        <w:ind/>
        <w:rPr/>
      </w:pPr>
      <w:r>
        <w:t xml:space="preserve">[E41] Sharpe, Matthew, ed. Philosophy as a Way of Life: New Research Directions. Brill, 2025. DOI: 10.1163/9789004739147.</w:t>
      </w:r>
      <w:r/>
    </w:p>
    <w:p>
      <w:pPr>
        <w:pStyle w:val="1300"/>
        <w:pBdr/>
        <w:spacing/>
        <w:ind/>
        <w:rPr/>
      </w:pPr>
      <w:r>
        <w:t xml:space="preserve">[E42] Grimm, Stephen R. “Evaluating Philosophical Ways of Life.” In Matthew Sharpe, ed., Philosophy as a Way of Life: New Research Directions, 280–295. Brill, 2025. DOI: 10.1163/9789004739147_013.</w:t>
      </w:r>
      <w:r/>
    </w:p>
    <w:p>
      <w:pPr>
        <w:pStyle w:val="1300"/>
        <w:pBdr/>
        <w:spacing/>
        <w:ind/>
        <w:rPr/>
      </w:pPr>
      <w:r>
        <w:t xml:space="preserve">[E43] Amir, Lydia, ed. Handbook of Transformative Philosophy. Springer, 2026. DOI: 10.1007/978-3-032-00622-6.</w:t>
      </w:r>
      <w:r/>
    </w:p>
    <w:p>
      <w:pPr>
        <w:pStyle w:val="1300"/>
        <w:pBdr/>
        <w:spacing/>
        <w:ind/>
        <w:rPr/>
      </w:pPr>
      <w:r>
        <w:t xml:space="preserve">[E44] Jong, Abbas. “The Possibility of Cosmopolitan Philosophy: Integrating Ontologism and Phenomenological Hermeneutics Within a Post-Foundationalist Framework.” Philosophies 10(2):45, 2025. DOI: 10.3390/philosophies10020045.</w:t>
      </w:r>
      <w:r/>
    </w:p>
    <w:p>
      <w:pPr>
        <w:pStyle w:val="1300"/>
        <w:pBdr/>
        <w:spacing/>
        <w:ind/>
        <w:rPr/>
      </w:pPr>
      <w:r>
        <w:t xml:space="preserve">[E45] Takayama, Keita. “An invitation to theorise East Asian pedagogy: bodymind, dark consciousness, kata, and self-cultivation.” Asia Pacific Education Review, 2026. DOI: 10.1007/s12564-026-10113-1.</w:t>
      </w:r>
      <w:r/>
    </w:p>
    <w:p>
      <w:pPr>
        <w:pStyle w:val="1300"/>
        <w:pBdr/>
        <w:spacing/>
        <w:ind/>
        <w:rPr/>
      </w:pPr>
      <w:r>
        <w:t xml:space="preserve">[Research Specification] The Atlas of Being and Becoming — Research, Evidence &amp; Validation Specification. Spe</w:t>
      </w:r>
      <w:r>
        <w:t xml:space="preserve">cification version RS-2026-10-15; research and standards basis dated 19 August 2026. Governing authority for shared research method, evidence, comparison, validation, representation, synthesis, publication traceability, public claims and release readiness.</w:t>
      </w:r>
      <w:r/>
    </w:p>
    <w:p>
      <w:pPr>
        <w:pStyle w:val="1136"/>
        <w:keepNext w:val="true"/>
        <w:keepLines w:val="true"/>
        <w:pageBreakBefore w:val="true"/>
        <w:pBdr/>
        <w:spacing/>
        <w:ind/>
        <w:rPr/>
      </w:pPr>
      <w:r/>
      <w:bookmarkStart w:id="210" w:name="D3"/>
      <w:r>
        <w:t xml:space="preserve">D3. Publication-specific terminology and abbreviations</w:t>
      </w:r>
      <w:bookmarkEnd w:id="210"/>
      <w:r/>
      <w:r/>
    </w:p>
    <w:p>
      <w:pPr>
        <w:pBdr/>
        <w:spacing/>
        <w:ind/>
        <w:rPr/>
      </w:pPr>
      <w:r>
        <w:t xml:space="preserve">Research Specification Annex A governs shared terms, qualified values and machine semantics. This table retains only Publication-specific uses.</w:t>
      </w:r>
      <w:r/>
    </w:p>
    <w:p>
      <w:pPr>
        <w:pStyle w:val="1184"/>
        <w:keepNext w:val="true"/>
        <w:keepLines w:val="true"/>
        <w:pBdr/>
        <w:spacing/>
        <w:ind/>
        <w:rPr/>
      </w:pPr>
      <w:r>
        <w:t xml:space="preserve">Governing — Publication-specific controlled terminology</w:t>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3202"/>
        <w:gridCol w:w="6804"/>
      </w:tblGrid>
      <w:tr>
        <w:trPr>
          <w:cantSplit/>
          <w:tblHeader/>
        </w:trPr>
        <w:tc>
          <w:tcPr>
            <w:shd w:val="clear" w:color="auto" w:fill="1f5a73"/>
            <w:tcBorders/>
            <w:tcMar>
              <w:left w:w="70" w:type="dxa"/>
              <w:top w:w="30" w:type="dxa"/>
              <w:right w:w="70" w:type="dxa"/>
              <w:bottom w:w="30" w:type="dxa"/>
            </w:tcMar>
            <w:tcW w:w="3202" w:type="dxa"/>
            <w:vAlign w:val="top"/>
          </w:tcPr>
          <w:p>
            <w:pPr>
              <w:pStyle w:val="1298"/>
              <w:pBdr/>
              <w:spacing/>
              <w:ind/>
              <w:rPr/>
            </w:pPr>
            <w:r>
              <w:t xml:space="preserve">Term</w:t>
            </w:r>
            <w:r/>
          </w:p>
        </w:tc>
        <w:tc>
          <w:tcPr>
            <w:shd w:val="clear" w:color="auto" w:fill="1f5a73"/>
            <w:tcBorders/>
            <w:tcMar>
              <w:left w:w="70" w:type="dxa"/>
              <w:top w:w="30" w:type="dxa"/>
              <w:right w:w="70" w:type="dxa"/>
              <w:bottom w:w="30" w:type="dxa"/>
            </w:tcMar>
            <w:tcW w:w="6804" w:type="dxa"/>
            <w:vAlign w:val="top"/>
          </w:tcPr>
          <w:p>
            <w:pPr>
              <w:pStyle w:val="1298"/>
              <w:pBdr/>
              <w:spacing/>
              <w:ind/>
              <w:rPr/>
            </w:pPr>
            <w:r>
              <w:t xml:space="preserve">Publication-specific use</w:t>
            </w:r>
            <w:r/>
          </w:p>
        </w:tc>
      </w:tr>
      <w:tr>
        <w:trPr>
          <w:cantSplit/>
        </w:trPr>
        <w:tc>
          <w:tcPr>
            <w:tcBorders/>
            <w:tcMar>
              <w:left w:w="70" w:type="dxa"/>
              <w:top w:w="30" w:type="dxa"/>
              <w:right w:w="70" w:type="dxa"/>
              <w:bottom w:w="30" w:type="dxa"/>
            </w:tcMar>
            <w:tcW w:w="3202" w:type="dxa"/>
            <w:vAlign w:val="top"/>
          </w:tcPr>
          <w:p>
            <w:pPr>
              <w:pStyle w:val="1296"/>
              <w:pBdr/>
              <w:spacing/>
              <w:ind/>
              <w:rPr/>
            </w:pPr>
            <w:r>
              <w:t xml:space="preserve">Adopted editorial baseline</w:t>
            </w:r>
            <w:r/>
          </w:p>
        </w:tc>
        <w:tc>
          <w:tcPr>
            <w:tcBorders/>
            <w:tcMar>
              <w:left w:w="70" w:type="dxa"/>
              <w:top w:w="30" w:type="dxa"/>
              <w:right w:w="70" w:type="dxa"/>
              <w:bottom w:w="30" w:type="dxa"/>
            </w:tcMar>
            <w:tcW w:w="6804" w:type="dxa"/>
            <w:vAlign w:val="top"/>
          </w:tcPr>
          <w:p>
            <w:pPr>
              <w:pStyle w:val="1296"/>
              <w:pBdr/>
              <w:spacing/>
              <w:ind/>
              <w:rPr/>
            </w:pPr>
            <w:r>
              <w:t xml:space="preserve">The current publication corpus, chapter architecture, scale, allocation and production design; not release authorization.</w:t>
            </w:r>
            <w:r/>
          </w:p>
        </w:tc>
      </w:tr>
      <w:tr>
        <w:trPr>
          <w:cantSplit/>
        </w:trPr>
        <w:tc>
          <w:tcPr>
            <w:shd w:val="clear" w:color="auto" w:fill="f7f9fa"/>
            <w:tcBorders/>
            <w:tcMar>
              <w:left w:w="70" w:type="dxa"/>
              <w:top w:w="30" w:type="dxa"/>
              <w:right w:w="70" w:type="dxa"/>
              <w:bottom w:w="30" w:type="dxa"/>
            </w:tcMar>
            <w:tcW w:w="3202" w:type="dxa"/>
            <w:vAlign w:val="top"/>
          </w:tcPr>
          <w:p>
            <w:pPr>
              <w:pStyle w:val="1296"/>
              <w:pBdr/>
              <w:spacing/>
              <w:ind/>
              <w:rPr/>
            </w:pPr>
            <w:r>
              <w:t xml:space="preserve">Editorial role</w:t>
            </w:r>
            <w:r/>
          </w:p>
        </w:tc>
        <w:tc>
          <w:tcPr>
            <w:shd w:val="clear" w:color="auto" w:fill="f7f9fa"/>
            <w:tcBorders/>
            <w:tcMar>
              <w:left w:w="70" w:type="dxa"/>
              <w:top w:w="30" w:type="dxa"/>
              <w:right w:w="70" w:type="dxa"/>
              <w:bottom w:w="30" w:type="dxa"/>
            </w:tcMar>
            <w:tcW w:w="6804" w:type="dxa"/>
            <w:vAlign w:val="top"/>
          </w:tcPr>
          <w:p>
            <w:pPr>
              <w:pStyle w:val="1296"/>
              <w:pBdr/>
              <w:spacing/>
              <w:ind/>
              <w:rPr/>
            </w:pPr>
            <w:r>
              <w:t xml:space="preserve">CORE, MAJOR COMPARATOR, COUNTEREXAMPLE-STRESS, DIGITAL-REFERENCE or HOLD-FUTURE. Publication function only.</w:t>
            </w:r>
            <w:r/>
          </w:p>
        </w:tc>
      </w:tr>
      <w:tr>
        <w:trPr>
          <w:cantSplit/>
        </w:trPr>
        <w:tc>
          <w:tcPr>
            <w:tcBorders/>
            <w:tcMar>
              <w:left w:w="70" w:type="dxa"/>
              <w:top w:w="30" w:type="dxa"/>
              <w:right w:w="70" w:type="dxa"/>
              <w:bottom w:w="30" w:type="dxa"/>
            </w:tcMar>
            <w:tcW w:w="3202" w:type="dxa"/>
            <w:vAlign w:val="top"/>
          </w:tcPr>
          <w:p>
            <w:pPr>
              <w:pStyle w:val="1296"/>
              <w:pBdr/>
              <w:spacing/>
              <w:ind/>
              <w:rPr/>
            </w:pPr>
            <w:r>
              <w:t xml:space="preserve">Planning confidence</w:t>
            </w:r>
            <w:r/>
          </w:p>
        </w:tc>
        <w:tc>
          <w:tcPr>
            <w:tcBorders/>
            <w:tcMar>
              <w:left w:w="70" w:type="dxa"/>
              <w:top w:w="30" w:type="dxa"/>
              <w:right w:w="70" w:type="dxa"/>
              <w:bottom w:w="30" w:type="dxa"/>
            </w:tcMar>
            <w:tcW w:w="6804" w:type="dxa"/>
            <w:vAlign w:val="top"/>
          </w:tcPr>
          <w:p>
            <w:pPr>
              <w:pStyle w:val="1296"/>
              <w:pBdr/>
              <w:spacing/>
              <w:ind/>
              <w:rPr/>
            </w:pPr>
            <w:r>
              <w:t xml:space="preserve">VERY HIGH, HIGH or PROVISIONAL. A dated planning judgment, independent of evidence and release readiness.</w:t>
            </w:r>
            <w:r/>
          </w:p>
        </w:tc>
      </w:tr>
      <w:tr>
        <w:trPr>
          <w:cantSplit/>
        </w:trPr>
        <w:tc>
          <w:tcPr>
            <w:shd w:val="clear" w:color="auto" w:fill="f7f9fa"/>
            <w:tcBorders/>
            <w:tcMar>
              <w:left w:w="70" w:type="dxa"/>
              <w:top w:w="30" w:type="dxa"/>
              <w:right w:w="70" w:type="dxa"/>
              <w:bottom w:w="30" w:type="dxa"/>
            </w:tcMar>
            <w:tcW w:w="3202" w:type="dxa"/>
            <w:vAlign w:val="top"/>
          </w:tcPr>
          <w:p>
            <w:pPr>
              <w:pStyle w:val="1296"/>
              <w:pBdr/>
              <w:spacing/>
              <w:ind/>
              <w:rPr/>
            </w:pPr>
            <w:r>
              <w:t xml:space="preserve">Validation dependency</w:t>
            </w:r>
            <w:r/>
          </w:p>
        </w:tc>
        <w:tc>
          <w:tcPr>
            <w:shd w:val="clear" w:color="auto" w:fill="f7f9fa"/>
            <w:tcBorders/>
            <w:tcMar>
              <w:left w:w="70" w:type="dxa"/>
              <w:top w:w="30" w:type="dxa"/>
              <w:right w:w="70" w:type="dxa"/>
              <w:bottom w:w="30" w:type="dxa"/>
            </w:tcMar>
            <w:tcW w:w="6804" w:type="dxa"/>
            <w:vAlign w:val="top"/>
          </w:tcPr>
          <w:p>
            <w:pPr>
              <w:pStyle w:val="1296"/>
              <w:pBdr/>
              <w:spacing/>
              <w:ind/>
              <w:rPr/>
            </w:pPr>
            <w:r>
              <w:t xml:space="preserve">NONE, LOCAL, PROJECT-GATE DEPENDENT or COMMUNITY-GOVERNANCE DEPENDENT. May block or narrow a treatment without changing editorial role.</w:t>
            </w:r>
            <w:r/>
          </w:p>
        </w:tc>
      </w:tr>
      <w:tr>
        <w:trPr>
          <w:cantSplit/>
        </w:trPr>
        <w:tc>
          <w:tcPr>
            <w:tcBorders/>
            <w:tcMar>
              <w:left w:w="70" w:type="dxa"/>
              <w:top w:w="30" w:type="dxa"/>
              <w:right w:w="70" w:type="dxa"/>
              <w:bottom w:w="30" w:type="dxa"/>
            </w:tcMar>
            <w:tcW w:w="3202" w:type="dxa"/>
            <w:vAlign w:val="top"/>
          </w:tcPr>
          <w:p>
            <w:pPr>
              <w:pStyle w:val="1296"/>
              <w:pBdr/>
              <w:spacing/>
              <w:ind/>
              <w:rPr/>
            </w:pPr>
            <w:r>
              <w:t xml:space="preserve">Master Chapter Production Contract</w:t>
            </w:r>
            <w:r/>
          </w:p>
        </w:tc>
        <w:tc>
          <w:tcPr>
            <w:tcBorders/>
            <w:tcMar>
              <w:left w:w="70" w:type="dxa"/>
              <w:top w:w="30" w:type="dxa"/>
              <w:right w:w="70" w:type="dxa"/>
              <w:bottom w:w="30" w:type="dxa"/>
            </w:tcMar>
            <w:tcW w:w="6804" w:type="dxa"/>
            <w:vAlign w:val="top"/>
          </w:tcPr>
          <w:p>
            <w:pPr>
              <w:pStyle w:val="1296"/>
              <w:pBdr/>
              <w:spacing/>
              <w:ind/>
              <w:rPr/>
            </w:pPr>
            <w:r>
              <w:t xml:space="preserve">The common chapter entry, evidence, comparison, traceability, completion and release-freeze contract in Part III.</w:t>
            </w:r>
            <w:r/>
          </w:p>
        </w:tc>
      </w:tr>
      <w:tr>
        <w:trPr>
          <w:cantSplit/>
        </w:trPr>
        <w:tc>
          <w:tcPr>
            <w:shd w:val="clear" w:color="auto" w:fill="f7f9fa"/>
            <w:tcBorders/>
            <w:tcMar>
              <w:left w:w="70" w:type="dxa"/>
              <w:top w:w="30" w:type="dxa"/>
              <w:right w:w="70" w:type="dxa"/>
              <w:bottom w:w="30" w:type="dxa"/>
            </w:tcMar>
            <w:tcW w:w="3202" w:type="dxa"/>
            <w:vAlign w:val="top"/>
          </w:tcPr>
          <w:p>
            <w:pPr>
              <w:pStyle w:val="1296"/>
              <w:pBdr/>
              <w:spacing/>
              <w:ind/>
              <w:rPr/>
            </w:pPr>
            <w:r>
              <w:t xml:space="preserve">Derived view</w:t>
            </w:r>
            <w:r/>
          </w:p>
        </w:tc>
        <w:tc>
          <w:tcPr>
            <w:shd w:val="clear" w:color="auto" w:fill="f7f9fa"/>
            <w:tcBorders/>
            <w:tcMar>
              <w:left w:w="70" w:type="dxa"/>
              <w:top w:w="30" w:type="dxa"/>
              <w:right w:w="70" w:type="dxa"/>
              <w:bottom w:w="30" w:type="dxa"/>
            </w:tcMar>
            <w:tcW w:w="6804" w:type="dxa"/>
            <w:vAlign w:val="top"/>
          </w:tcPr>
          <w:p>
            <w:pPr>
              <w:pStyle w:val="1296"/>
              <w:pBdr/>
              <w:spacing/>
              <w:ind/>
              <w:rPr/>
            </w:pPr>
            <w:r>
              <w:t xml:space="preserve">A manifest, crosswalk or coverage display generated from an identified authoritative chapter, corpus or dependency source.</w:t>
            </w:r>
            <w:r/>
          </w:p>
        </w:tc>
      </w:tr>
      <w:tr>
        <w:trPr>
          <w:cantSplit/>
        </w:trPr>
        <w:tc>
          <w:tcPr>
            <w:tcBorders/>
            <w:tcMar>
              <w:left w:w="70" w:type="dxa"/>
              <w:top w:w="30" w:type="dxa"/>
              <w:right w:w="70" w:type="dxa"/>
              <w:bottom w:w="30" w:type="dxa"/>
            </w:tcMar>
            <w:tcW w:w="3202" w:type="dxa"/>
            <w:vAlign w:val="top"/>
          </w:tcPr>
          <w:p>
            <w:pPr>
              <w:pStyle w:val="1296"/>
              <w:pBdr/>
              <w:spacing/>
              <w:ind/>
              <w:rPr/>
            </w:pPr>
            <w:r>
              <w:t xml:space="preserve">Historical snapshot</w:t>
            </w:r>
            <w:r/>
          </w:p>
        </w:tc>
        <w:tc>
          <w:tcPr>
            <w:tcBorders/>
            <w:tcMar>
              <w:left w:w="70" w:type="dxa"/>
              <w:top w:w="30" w:type="dxa"/>
              <w:right w:w="70" w:type="dxa"/>
              <w:bottom w:w="30" w:type="dxa"/>
            </w:tcMar>
            <w:tcW w:w="6804" w:type="dxa"/>
            <w:vAlign w:val="top"/>
          </w:tcPr>
          <w:p>
            <w:pPr>
              <w:pStyle w:val="1296"/>
              <w:pBdr/>
              <w:spacing/>
              <w:ind/>
              <w:rPr/>
            </w:pPr>
            <w:r>
              <w:t xml:space="preserve">A view of planning, maturity, dependency or gate state at a stated date; not a timeless rule or an independent source of later authority. Subsequent state requires applicable governed records.</w:t>
            </w:r>
            <w:r/>
          </w:p>
        </w:tc>
      </w:tr>
      <w:tr>
        <w:trPr>
          <w:cantSplit/>
        </w:trPr>
        <w:tc>
          <w:tcPr>
            <w:tcBorders/>
            <w:tcMar>
              <w:left w:w="70" w:type="dxa"/>
              <w:top w:w="30" w:type="dxa"/>
              <w:right w:w="70" w:type="dxa"/>
              <w:bottom w:w="30" w:type="dxa"/>
            </w:tcMar>
            <w:tcW w:w="3202" w:type="dxa"/>
            <w:vAlign w:val="top"/>
          </w:tcPr>
          <w:p>
            <w:pPr>
              <w:pStyle w:val="1296"/>
              <w:pBdr/>
              <w:spacing/>
              <w:ind/>
              <w:rPr/>
            </w:pPr>
            <w:r>
              <w:t xml:space="preserve">Conditions of epistemic access</w:t>
            </w:r>
            <w:r/>
          </w:p>
        </w:tc>
        <w:tc>
          <w:tcPr>
            <w:tcBorders/>
            <w:tcMar>
              <w:left w:w="70" w:type="dxa"/>
              <w:top w:w="30" w:type="dxa"/>
              <w:right w:w="70" w:type="dxa"/>
              <w:bottom w:w="30" w:type="dxa"/>
            </w:tcMar>
            <w:tcW w:w="6804" w:type="dxa"/>
            <w:vAlign w:val="top"/>
          </w:tcPr>
          <w:p>
            <w:pPr>
              <w:pStyle w:val="1296"/>
              <w:pBdr/>
              <w:spacing/>
              <w:ind/>
              <w:rPr/>
            </w:pPr>
            <w:r>
              <w:t xml:space="preserve">Reader-facing phrase for capacities, dispositions, relations, practices, transformations or co</w:t>
            </w:r>
            <w:r>
              <w:t xml:space="preserve">ntextual conditions a Position claims enable, constitute, authorize or limit knowing. It is not a new Atlas domain, response state, Claim type, relation type or validation standard; it does not imply a distinct knower and is used only when source-grounded.</w:t>
            </w:r>
            <w:r/>
          </w:p>
        </w:tc>
      </w:tr>
    </w:tbl>
    <w:p>
      <w:pPr>
        <w:pStyle w:val="1300"/>
        <w:pBdr/>
        <w:spacing/>
        <w:ind/>
        <w:rPr/>
      </w:pPr>
      <w:r/>
      <w:r/>
    </w:p>
    <w:p>
      <w:pPr>
        <w:pStyle w:val="1184"/>
        <w:keepNext w:val="true"/>
        <w:keepLines w:val="true"/>
        <w:pBdr/>
        <w:spacing/>
        <w:ind/>
        <w:rPr/>
      </w:pPr>
      <w:r>
        <w:t xml:space="preserve">Governing — Abbreviation index</w:t>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2902"/>
        <w:gridCol w:w="7104"/>
      </w:tblGrid>
      <w:tr>
        <w:trPr>
          <w:cantSplit/>
          <w:tblHeader/>
        </w:trPr>
        <w:tc>
          <w:tcPr>
            <w:shd w:val="clear" w:color="auto" w:fill="1f5a73"/>
            <w:tcBorders/>
            <w:tcMar>
              <w:left w:w="70" w:type="dxa"/>
              <w:top w:w="30" w:type="dxa"/>
              <w:right w:w="70" w:type="dxa"/>
              <w:bottom w:w="30" w:type="dxa"/>
            </w:tcMar>
            <w:tcW w:w="2902" w:type="dxa"/>
            <w:vAlign w:val="top"/>
          </w:tcPr>
          <w:p>
            <w:pPr>
              <w:pStyle w:val="1298"/>
              <w:pBdr/>
              <w:spacing/>
              <w:ind/>
              <w:rPr/>
            </w:pPr>
            <w:r>
              <w:t xml:space="preserve">Short label</w:t>
            </w:r>
            <w:r/>
          </w:p>
        </w:tc>
        <w:tc>
          <w:tcPr>
            <w:shd w:val="clear" w:color="auto" w:fill="1f5a73"/>
            <w:tcBorders/>
            <w:tcMar>
              <w:left w:w="70" w:type="dxa"/>
              <w:top w:w="30" w:type="dxa"/>
              <w:right w:w="70" w:type="dxa"/>
              <w:bottom w:w="30" w:type="dxa"/>
            </w:tcMar>
            <w:tcW w:w="7104" w:type="dxa"/>
            <w:vAlign w:val="top"/>
          </w:tcPr>
          <w:p>
            <w:pPr>
              <w:pStyle w:val="1298"/>
              <w:pBdr/>
              <w:spacing/>
              <w:ind/>
              <w:rPr/>
            </w:pPr>
            <w:r>
              <w:t xml:space="preserve">Plain-language meaning</w:t>
            </w:r>
            <w:r/>
          </w:p>
        </w:tc>
      </w:tr>
      <w:tr>
        <w:trPr>
          <w:cantSplit/>
        </w:trPr>
        <w:tc>
          <w:tcPr>
            <w:tcBorders/>
            <w:tcMar>
              <w:left w:w="70" w:type="dxa"/>
              <w:top w:w="30" w:type="dxa"/>
              <w:right w:w="70" w:type="dxa"/>
              <w:bottom w:w="30" w:type="dxa"/>
            </w:tcMar>
            <w:tcW w:w="2902" w:type="dxa"/>
            <w:vAlign w:val="top"/>
          </w:tcPr>
          <w:p>
            <w:pPr>
              <w:pStyle w:val="1296"/>
              <w:pBdr/>
              <w:spacing/>
              <w:ind/>
              <w:rPr/>
            </w:pPr>
            <w:r>
              <w:t xml:space="preserve">D1–D15</w:t>
            </w:r>
            <w:r/>
          </w:p>
        </w:tc>
        <w:tc>
          <w:tcPr>
            <w:tcBorders/>
            <w:tcMar>
              <w:left w:w="70" w:type="dxa"/>
              <w:top w:w="30" w:type="dxa"/>
              <w:right w:w="70" w:type="dxa"/>
              <w:bottom w:w="30" w:type="dxa"/>
            </w:tcMar>
            <w:tcW w:w="7104" w:type="dxa"/>
            <w:vAlign w:val="top"/>
          </w:tcPr>
          <w:p>
            <w:pPr>
              <w:pStyle w:val="1296"/>
              <w:pBdr/>
              <w:spacing/>
              <w:ind/>
              <w:rPr/>
            </w:pPr>
            <w:r>
              <w:t xml:space="preserve">The fifteen analytical domains governed by Research Specification §3 and its Annex A.</w:t>
            </w:r>
            <w:r/>
          </w:p>
        </w:tc>
      </w:tr>
      <w:tr>
        <w:trPr>
          <w:cantSplit/>
        </w:trPr>
        <w:tc>
          <w:tcPr>
            <w:shd w:val="clear" w:color="auto" w:fill="f7f9fa"/>
            <w:tcBorders/>
            <w:tcMar>
              <w:left w:w="70" w:type="dxa"/>
              <w:top w:w="30" w:type="dxa"/>
              <w:right w:w="70" w:type="dxa"/>
              <w:bottom w:w="30" w:type="dxa"/>
            </w:tcMar>
            <w:tcW w:w="2902" w:type="dxa"/>
            <w:vAlign w:val="top"/>
          </w:tcPr>
          <w:p>
            <w:pPr>
              <w:pStyle w:val="1296"/>
              <w:pBdr/>
              <w:spacing/>
              <w:ind/>
              <w:rPr/>
            </w:pPr>
            <w:r>
              <w:t xml:space="preserve">RG</w:t>
            </w:r>
            <w:r/>
          </w:p>
        </w:tc>
        <w:tc>
          <w:tcPr>
            <w:shd w:val="clear" w:color="auto" w:fill="f7f9fa"/>
            <w:tcBorders/>
            <w:tcMar>
              <w:left w:w="70" w:type="dxa"/>
              <w:top w:w="30" w:type="dxa"/>
              <w:right w:w="70" w:type="dxa"/>
              <w:bottom w:w="30" w:type="dxa"/>
            </w:tcMar>
            <w:tcW w:w="7104" w:type="dxa"/>
            <w:vAlign w:val="top"/>
          </w:tcPr>
          <w:p>
            <w:pPr>
              <w:pStyle w:val="1296"/>
              <w:pBdr/>
              <w:spacing/>
              <w:ind/>
              <w:rPr/>
            </w:pPr>
            <w:r>
              <w:t xml:space="preserve">Research-gap or publication dependency identifier.</w:t>
            </w:r>
            <w:r/>
          </w:p>
        </w:tc>
      </w:tr>
      <w:tr>
        <w:trPr>
          <w:cantSplit/>
        </w:trPr>
        <w:tc>
          <w:tcPr>
            <w:tcBorders/>
            <w:tcMar>
              <w:left w:w="70" w:type="dxa"/>
              <w:top w:w="30" w:type="dxa"/>
              <w:right w:w="70" w:type="dxa"/>
              <w:bottom w:w="30" w:type="dxa"/>
            </w:tcMar>
            <w:tcW w:w="2902" w:type="dxa"/>
            <w:vAlign w:val="top"/>
          </w:tcPr>
          <w:p>
            <w:pPr>
              <w:pStyle w:val="1296"/>
              <w:pBdr/>
              <w:spacing/>
              <w:ind/>
              <w:rPr/>
            </w:pPr>
            <w:r>
              <w:t xml:space="preserve">MCPC</w:t>
            </w:r>
            <w:r/>
          </w:p>
        </w:tc>
        <w:tc>
          <w:tcPr>
            <w:tcBorders/>
            <w:tcMar>
              <w:left w:w="70" w:type="dxa"/>
              <w:top w:w="30" w:type="dxa"/>
              <w:right w:w="70" w:type="dxa"/>
              <w:bottom w:w="30" w:type="dxa"/>
            </w:tcMar>
            <w:tcW w:w="7104" w:type="dxa"/>
            <w:vAlign w:val="top"/>
          </w:tcPr>
          <w:p>
            <w:pPr>
              <w:pStyle w:val="1296"/>
              <w:pBdr/>
              <w:spacing/>
              <w:ind/>
              <w:rPr/>
            </w:pPr>
            <w:r>
              <w:t xml:space="preserve">Master Chapter Production Contract.</w:t>
            </w:r>
            <w:r/>
          </w:p>
        </w:tc>
      </w:tr>
      <w:tr>
        <w:trPr>
          <w:cantSplit/>
        </w:trPr>
        <w:tc>
          <w:tcPr>
            <w:shd w:val="clear" w:color="auto" w:fill="f7f9fa"/>
            <w:tcBorders/>
            <w:tcMar>
              <w:left w:w="70" w:type="dxa"/>
              <w:top w:w="30" w:type="dxa"/>
              <w:right w:w="70" w:type="dxa"/>
              <w:bottom w:w="30" w:type="dxa"/>
            </w:tcMar>
            <w:tcW w:w="2902" w:type="dxa"/>
            <w:vAlign w:val="top"/>
          </w:tcPr>
          <w:p>
            <w:pPr>
              <w:pStyle w:val="1296"/>
              <w:pBdr/>
              <w:spacing/>
              <w:ind/>
              <w:rPr/>
            </w:pPr>
            <w:r>
              <w:t xml:space="preserve">L0–L5</w:t>
            </w:r>
            <w:r/>
          </w:p>
        </w:tc>
        <w:tc>
          <w:tcPr>
            <w:shd w:val="clear" w:color="auto" w:fill="f7f9fa"/>
            <w:tcBorders/>
            <w:tcMar>
              <w:left w:w="70" w:type="dxa"/>
              <w:top w:w="30" w:type="dxa"/>
              <w:right w:w="70" w:type="dxa"/>
              <w:bottom w:w="30" w:type="dxa"/>
            </w:tcMar>
            <w:tcW w:w="7104" w:type="dxa"/>
            <w:vAlign w:val="top"/>
          </w:tcPr>
          <w:p>
            <w:pPr>
              <w:pStyle w:val="1296"/>
              <w:pBdr/>
              <w:spacing/>
              <w:ind/>
              <w:rPr/>
            </w:pPr>
            <w:r>
              <w:t xml:space="preserve">Synthesis levels governed by Research Specification §11 and its Annex A.</w:t>
            </w:r>
            <w:r/>
          </w:p>
        </w:tc>
      </w:tr>
      <w:tr>
        <w:trPr>
          <w:cantSplit/>
        </w:trPr>
        <w:tc>
          <w:tcPr>
            <w:tcBorders/>
            <w:tcMar>
              <w:left w:w="70" w:type="dxa"/>
              <w:top w:w="30" w:type="dxa"/>
              <w:right w:w="70" w:type="dxa"/>
              <w:bottom w:w="30" w:type="dxa"/>
            </w:tcMar>
            <w:tcW w:w="2902" w:type="dxa"/>
            <w:vAlign w:val="top"/>
          </w:tcPr>
          <w:p>
            <w:pPr>
              <w:pStyle w:val="1296"/>
              <w:pBdr/>
              <w:spacing/>
              <w:ind/>
              <w:rPr/>
            </w:pPr>
            <w:r>
              <w:t xml:space="preserve">CAT</w:t>
            </w:r>
            <w:r/>
          </w:p>
        </w:tc>
        <w:tc>
          <w:tcPr>
            <w:tcBorders/>
            <w:tcMar>
              <w:left w:w="70" w:type="dxa"/>
              <w:top w:w="30" w:type="dxa"/>
              <w:right w:w="70" w:type="dxa"/>
              <w:bottom w:w="30" w:type="dxa"/>
            </w:tcMar>
            <w:tcW w:w="7104" w:type="dxa"/>
            <w:vAlign w:val="top"/>
          </w:tcPr>
          <w:p>
            <w:pPr>
              <w:pStyle w:val="1296"/>
              <w:pBdr/>
              <w:spacing/>
              <w:ind/>
              <w:rPr/>
            </w:pPr>
            <w:r>
              <w:t xml:space="preserve">Orthogonal category warning; shared meaning governed by Research Specification.</w:t>
            </w:r>
            <w:r/>
          </w:p>
        </w:tc>
      </w:tr>
      <w:tr>
        <w:trPr>
          <w:cantSplit/>
        </w:trPr>
        <w:tc>
          <w:tcPr>
            <w:shd w:val="clear" w:color="auto" w:fill="f7f9fa"/>
            <w:tcBorders/>
            <w:tcMar>
              <w:left w:w="70" w:type="dxa"/>
              <w:top w:w="30" w:type="dxa"/>
              <w:right w:w="70" w:type="dxa"/>
              <w:bottom w:w="30" w:type="dxa"/>
            </w:tcMar>
            <w:tcW w:w="2902" w:type="dxa"/>
            <w:vAlign w:val="top"/>
          </w:tcPr>
          <w:p>
            <w:pPr>
              <w:pStyle w:val="1296"/>
              <w:pBdr/>
              <w:spacing/>
              <w:ind/>
              <w:rPr/>
            </w:pPr>
            <w:r>
              <w:t xml:space="preserve">OEQ</w:t>
            </w:r>
            <w:r/>
          </w:p>
        </w:tc>
        <w:tc>
          <w:tcPr>
            <w:shd w:val="clear" w:color="auto" w:fill="f7f9fa"/>
            <w:tcBorders/>
            <w:tcMar>
              <w:left w:w="70" w:type="dxa"/>
              <w:top w:w="30" w:type="dxa"/>
              <w:right w:w="70" w:type="dxa"/>
              <w:bottom w:w="30" w:type="dxa"/>
            </w:tcMar>
            <w:tcW w:w="7104" w:type="dxa"/>
            <w:vAlign w:val="top"/>
          </w:tcPr>
          <w:p>
            <w:pPr>
              <w:pStyle w:val="1296"/>
              <w:pBdr/>
              <w:spacing/>
              <w:ind/>
              <w:rPr/>
            </w:pPr>
            <w:r>
              <w:t xml:space="preserve">Scoped ontological equivalence; a high-burden relation governed by Research Specification.</w:t>
            </w:r>
            <w:r/>
          </w:p>
        </w:tc>
      </w:tr>
      <w:tr>
        <w:trPr>
          <w:cantSplit/>
        </w:trPr>
        <w:tc>
          <w:tcPr>
            <w:tcBorders/>
            <w:tcMar>
              <w:left w:w="70" w:type="dxa"/>
              <w:top w:w="30" w:type="dxa"/>
              <w:right w:w="70" w:type="dxa"/>
              <w:bottom w:w="30" w:type="dxa"/>
            </w:tcMar>
            <w:tcW w:w="2902" w:type="dxa"/>
            <w:vAlign w:val="top"/>
          </w:tcPr>
          <w:p>
            <w:pPr>
              <w:pStyle w:val="1296"/>
              <w:pBdr/>
              <w:spacing/>
              <w:ind/>
              <w:rPr/>
            </w:pPr>
            <w:r>
              <w:t xml:space="preserve">GO / HOLD</w:t>
            </w:r>
            <w:r/>
          </w:p>
        </w:tc>
        <w:tc>
          <w:tcPr>
            <w:tcBorders/>
            <w:tcMar>
              <w:left w:w="70" w:type="dxa"/>
              <w:top w:w="30" w:type="dxa"/>
              <w:right w:w="70" w:type="dxa"/>
              <w:bottom w:w="30" w:type="dxa"/>
            </w:tcMar>
            <w:tcW w:w="7104" w:type="dxa"/>
            <w:vAlign w:val="top"/>
          </w:tcPr>
          <w:p>
            <w:pPr>
              <w:pStyle w:val="1296"/>
              <w:pBdr/>
              <w:spacing/>
              <w:ind/>
              <w:rPr/>
            </w:pPr>
            <w:r>
              <w:t xml:space="preserve">Release authorization decision governed by Research Specification §10.</w:t>
            </w:r>
            <w:r/>
          </w:p>
        </w:tc>
      </w:tr>
      <w:tr>
        <w:trPr>
          <w:cantSplit/>
        </w:trPr>
        <w:tc>
          <w:tcPr>
            <w:shd w:val="clear" w:color="auto" w:fill="f7f9fa"/>
            <w:tcBorders/>
            <w:tcMar>
              <w:left w:w="70" w:type="dxa"/>
              <w:top w:w="30" w:type="dxa"/>
              <w:right w:w="70" w:type="dxa"/>
              <w:bottom w:w="30" w:type="dxa"/>
            </w:tcMar>
            <w:tcW w:w="2902" w:type="dxa"/>
            <w:vAlign w:val="top"/>
          </w:tcPr>
          <w:p>
            <w:pPr>
              <w:pStyle w:val="1296"/>
              <w:pBdr/>
              <w:spacing/>
              <w:ind/>
              <w:rPr/>
            </w:pPr>
            <w:r>
              <w:t xml:space="preserve">CORE / MAJOR / STRESS / DIGITAL / HOLD</w:t>
            </w:r>
            <w:r/>
          </w:p>
        </w:tc>
        <w:tc>
          <w:tcPr>
            <w:shd w:val="clear" w:color="auto" w:fill="f7f9fa"/>
            <w:tcBorders/>
            <w:tcMar>
              <w:left w:w="70" w:type="dxa"/>
              <w:top w:w="30" w:type="dxa"/>
              <w:right w:w="70" w:type="dxa"/>
              <w:bottom w:w="30" w:type="dxa"/>
            </w:tcMar>
            <w:tcW w:w="7104" w:type="dxa"/>
            <w:vAlign w:val="top"/>
          </w:tcPr>
          <w:p>
            <w:pPr>
              <w:pStyle w:val="1296"/>
              <w:pBdr/>
              <w:spacing/>
              <w:ind/>
              <w:rPr/>
            </w:pPr>
            <w:r>
              <w:t xml:space="preserve">Human-facing shorthand for the five editorial roles; full role names govern.</w:t>
            </w:r>
            <w:r/>
          </w:p>
        </w:tc>
      </w:tr>
    </w:tbl>
    <w:p>
      <w:pPr>
        <w:pStyle w:val="1300"/>
        <w:pBdr/>
        <w:spacing/>
        <w:ind/>
        <w:rPr/>
      </w:pPr>
      <w:r/>
      <w:r/>
    </w:p>
    <w:p>
      <w:pPr>
        <w:pStyle w:val="1184"/>
        <w:keepNext w:val="true"/>
        <w:keepLines w:val="true"/>
        <w:pBdr/>
        <w:spacing/>
        <w:ind/>
        <w:rPr/>
      </w:pPr>
      <w:r>
        <w:t xml:space="preserve">Governing — Reader and editorial evidence markers</w:t>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3502"/>
        <w:gridCol w:w="6504"/>
      </w:tblGrid>
      <w:tr>
        <w:trPr>
          <w:cantSplit/>
          <w:tblHeader/>
        </w:trPr>
        <w:tc>
          <w:tcPr>
            <w:shd w:val="clear" w:color="auto" w:fill="1f5a73"/>
            <w:tcBorders/>
            <w:tcMar>
              <w:left w:w="70" w:type="dxa"/>
              <w:top w:w="30" w:type="dxa"/>
              <w:right w:w="70" w:type="dxa"/>
              <w:bottom w:w="30" w:type="dxa"/>
            </w:tcMar>
            <w:tcW w:w="3502" w:type="dxa"/>
            <w:vAlign w:val="top"/>
          </w:tcPr>
          <w:p>
            <w:pPr>
              <w:pStyle w:val="1298"/>
              <w:pBdr/>
              <w:spacing/>
              <w:ind/>
              <w:rPr/>
            </w:pPr>
            <w:r>
              <w:t xml:space="preserve">Marker</w:t>
            </w:r>
            <w:r/>
          </w:p>
        </w:tc>
        <w:tc>
          <w:tcPr>
            <w:shd w:val="clear" w:color="auto" w:fill="1f5a73"/>
            <w:tcBorders/>
            <w:tcMar>
              <w:left w:w="70" w:type="dxa"/>
              <w:top w:w="30" w:type="dxa"/>
              <w:right w:w="70" w:type="dxa"/>
              <w:bottom w:w="30" w:type="dxa"/>
            </w:tcMar>
            <w:tcW w:w="6504" w:type="dxa"/>
            <w:vAlign w:val="top"/>
          </w:tcPr>
          <w:p>
            <w:pPr>
              <w:pStyle w:val="1298"/>
              <w:pBdr/>
              <w:spacing/>
              <w:ind/>
              <w:rPr/>
            </w:pPr>
            <w:r>
              <w:t xml:space="preserve">Meaning</w:t>
            </w:r>
            <w:r/>
          </w:p>
        </w:tc>
      </w:tr>
      <w:tr>
        <w:trPr>
          <w:cantSplit/>
        </w:trPr>
        <w:tc>
          <w:tcPr>
            <w:tcBorders/>
            <w:tcMar>
              <w:left w:w="70" w:type="dxa"/>
              <w:top w:w="30" w:type="dxa"/>
              <w:right w:w="70" w:type="dxa"/>
              <w:bottom w:w="30" w:type="dxa"/>
            </w:tcMar>
            <w:tcW w:w="3502" w:type="dxa"/>
            <w:vAlign w:val="top"/>
          </w:tcPr>
          <w:p>
            <w:pPr>
              <w:pStyle w:val="1296"/>
              <w:pBdr/>
              <w:spacing/>
              <w:ind/>
              <w:rPr/>
            </w:pPr>
            <w:r>
              <w:t xml:space="preserve">GOVERNING REQUIREMENT</w:t>
            </w:r>
            <w:r/>
          </w:p>
        </w:tc>
        <w:tc>
          <w:tcPr>
            <w:tcBorders/>
            <w:tcMar>
              <w:left w:w="70" w:type="dxa"/>
              <w:top w:w="30" w:type="dxa"/>
              <w:right w:w="70" w:type="dxa"/>
              <w:bottom w:w="30" w:type="dxa"/>
            </w:tcMar>
            <w:tcW w:w="6504" w:type="dxa"/>
            <w:vAlign w:val="top"/>
          </w:tcPr>
          <w:p>
            <w:pPr>
              <w:pStyle w:val="1296"/>
              <w:pBdr/>
              <w:spacing/>
              <w:ind/>
              <w:rPr/>
            </w:pPr>
            <w:r>
              <w:t xml:space="preserve">Normative requirement inherited from Research Specification or this editorial specification.</w:t>
            </w:r>
            <w:r/>
          </w:p>
        </w:tc>
      </w:tr>
      <w:tr>
        <w:trPr>
          <w:cantSplit/>
        </w:trPr>
        <w:tc>
          <w:tcPr>
            <w:shd w:val="clear" w:color="auto" w:fill="f7f9fa"/>
            <w:tcBorders/>
            <w:tcMar>
              <w:left w:w="70" w:type="dxa"/>
              <w:top w:w="30" w:type="dxa"/>
              <w:right w:w="70" w:type="dxa"/>
              <w:bottom w:w="30" w:type="dxa"/>
            </w:tcMar>
            <w:tcW w:w="3502" w:type="dxa"/>
            <w:vAlign w:val="top"/>
          </w:tcPr>
          <w:p>
            <w:pPr>
              <w:pStyle w:val="1296"/>
              <w:pBdr/>
              <w:spacing/>
              <w:ind/>
              <w:rPr/>
            </w:pPr>
            <w:r>
              <w:t xml:space="preserve">SOURCE-GROUNDED ATTRIBUTION</w:t>
            </w:r>
            <w:r/>
          </w:p>
        </w:tc>
        <w:tc>
          <w:tcPr>
            <w:shd w:val="clear" w:color="auto" w:fill="f7f9fa"/>
            <w:tcBorders/>
            <w:tcMar>
              <w:left w:w="70" w:type="dxa"/>
              <w:top w:w="30" w:type="dxa"/>
              <w:right w:w="70" w:type="dxa"/>
              <w:bottom w:w="30" w:type="dxa"/>
            </w:tcMar>
            <w:tcW w:w="6504" w:type="dxa"/>
            <w:vAlign w:val="top"/>
          </w:tcPr>
          <w:p>
            <w:pPr>
              <w:pStyle w:val="1296"/>
              <w:pBdr/>
              <w:spacing/>
              <w:ind/>
              <w:rPr/>
            </w:pPr>
            <w:r>
              <w:t xml:space="preserve">Position/source attribution supported by human-verifiable EvidenceLink(s) with exact locator(s).</w:t>
            </w:r>
            <w:r/>
          </w:p>
        </w:tc>
      </w:tr>
      <w:tr>
        <w:trPr>
          <w:cantSplit/>
        </w:trPr>
        <w:tc>
          <w:tcPr>
            <w:tcBorders/>
            <w:tcMar>
              <w:left w:w="70" w:type="dxa"/>
              <w:top w:w="30" w:type="dxa"/>
              <w:right w:w="70" w:type="dxa"/>
              <w:bottom w:w="30" w:type="dxa"/>
            </w:tcMar>
            <w:tcW w:w="3502" w:type="dxa"/>
            <w:vAlign w:val="top"/>
          </w:tcPr>
          <w:p>
            <w:pPr>
              <w:pStyle w:val="1296"/>
              <w:pBdr/>
              <w:spacing/>
              <w:ind/>
              <w:rPr/>
            </w:pPr>
            <w:r>
              <w:t xml:space="preserve">ATLAS INFERENCE</w:t>
            </w:r>
            <w:r/>
          </w:p>
        </w:tc>
        <w:tc>
          <w:tcPr>
            <w:tcBorders/>
            <w:tcMar>
              <w:left w:w="70" w:type="dxa"/>
              <w:top w:w="30" w:type="dxa"/>
              <w:right w:w="70" w:type="dxa"/>
              <w:bottom w:w="30" w:type="dxa"/>
            </w:tcMar>
            <w:tcW w:w="6504" w:type="dxa"/>
            <w:vAlign w:val="top"/>
          </w:tcPr>
          <w:p>
            <w:pPr>
              <w:pStyle w:val="1296"/>
              <w:pBdr/>
              <w:spacing/>
              <w:ind/>
              <w:rPr/>
            </w:pPr>
            <w:r>
              <w:t xml:space="preserve">Explicit Atlas derivation, classification, comparison or synthesis with source-grounded premises and rationale.</w:t>
            </w:r>
            <w:r/>
          </w:p>
        </w:tc>
      </w:tr>
      <w:tr>
        <w:trPr>
          <w:cantSplit/>
        </w:trPr>
        <w:tc>
          <w:tcPr>
            <w:shd w:val="clear" w:color="auto" w:fill="f7f9fa"/>
            <w:tcBorders/>
            <w:tcMar>
              <w:left w:w="70" w:type="dxa"/>
              <w:top w:w="30" w:type="dxa"/>
              <w:right w:w="70" w:type="dxa"/>
              <w:bottom w:w="30" w:type="dxa"/>
            </w:tcMar>
            <w:tcW w:w="3502" w:type="dxa"/>
            <w:vAlign w:val="top"/>
          </w:tcPr>
          <w:p>
            <w:pPr>
              <w:pStyle w:val="1296"/>
              <w:pBdr/>
              <w:spacing/>
              <w:ind/>
              <w:rPr/>
            </w:pPr>
            <w:r>
              <w:t xml:space="preserve">EDITORIAL DECISION</w:t>
            </w:r>
            <w:r/>
          </w:p>
        </w:tc>
        <w:tc>
          <w:tcPr>
            <w:shd w:val="clear" w:color="auto" w:fill="f7f9fa"/>
            <w:tcBorders/>
            <w:tcMar>
              <w:left w:w="70" w:type="dxa"/>
              <w:top w:w="30" w:type="dxa"/>
              <w:right w:w="70" w:type="dxa"/>
              <w:bottom w:w="30" w:type="dxa"/>
            </w:tcMar>
            <w:tcW w:w="6504" w:type="dxa"/>
            <w:vAlign w:val="top"/>
          </w:tcPr>
          <w:p>
            <w:pPr>
              <w:pStyle w:val="1296"/>
              <w:pBdr/>
              <w:spacing/>
              <w:ind/>
              <w:rPr/>
            </w:pPr>
            <w:r>
              <w:t xml:space="preserve">Material placement, selection or production decision with declared premises.</w:t>
            </w:r>
            <w:r/>
          </w:p>
        </w:tc>
      </w:tr>
      <w:tr>
        <w:trPr>
          <w:cantSplit/>
        </w:trPr>
        <w:tc>
          <w:tcPr>
            <w:tcBorders/>
            <w:tcMar>
              <w:left w:w="70" w:type="dxa"/>
              <w:top w:w="30" w:type="dxa"/>
              <w:right w:w="70" w:type="dxa"/>
              <w:bottom w:w="30" w:type="dxa"/>
            </w:tcMar>
            <w:tcW w:w="3502" w:type="dxa"/>
            <w:vAlign w:val="top"/>
          </w:tcPr>
          <w:p>
            <w:pPr>
              <w:pStyle w:val="1296"/>
              <w:pBdr/>
              <w:spacing/>
              <w:ind/>
              <w:rPr/>
            </w:pPr>
            <w:r>
              <w:t xml:space="preserve">PROVISIONAL</w:t>
            </w:r>
            <w:r/>
          </w:p>
        </w:tc>
        <w:tc>
          <w:tcPr>
            <w:tcBorders/>
            <w:tcMar>
              <w:left w:w="70" w:type="dxa"/>
              <w:top w:w="30" w:type="dxa"/>
              <w:right w:w="70" w:type="dxa"/>
              <w:bottom w:w="30" w:type="dxa"/>
            </w:tcMar>
            <w:tcW w:w="6504" w:type="dxa"/>
            <w:vAlign w:val="top"/>
          </w:tcPr>
          <w:p>
            <w:pPr>
              <w:pStyle w:val="1296"/>
              <w:pBdr/>
              <w:spacing/>
              <w:ind/>
              <w:rPr/>
            </w:pPr>
            <w:r>
              <w:t xml:space="preserve">Planning or research statement not yet at the required evidence, maturity or review state.</w:t>
            </w:r>
            <w:r/>
          </w:p>
        </w:tc>
      </w:tr>
      <w:tr>
        <w:trPr>
          <w:cantSplit/>
        </w:trPr>
        <w:tc>
          <w:tcPr>
            <w:shd w:val="clear" w:color="auto" w:fill="f7f9fa"/>
            <w:tcBorders/>
            <w:tcMar>
              <w:left w:w="70" w:type="dxa"/>
              <w:top w:w="30" w:type="dxa"/>
              <w:right w:w="70" w:type="dxa"/>
              <w:bottom w:w="30" w:type="dxa"/>
            </w:tcMar>
            <w:tcW w:w="3502" w:type="dxa"/>
            <w:vAlign w:val="top"/>
          </w:tcPr>
          <w:p>
            <w:pPr>
              <w:pStyle w:val="1296"/>
              <w:pBdr/>
              <w:spacing/>
              <w:ind/>
              <w:rPr/>
            </w:pPr>
            <w:r>
              <w:t xml:space="preserve">EXTERNAL VALIDATION DEPENDENCY</w:t>
            </w:r>
            <w:r/>
          </w:p>
        </w:tc>
        <w:tc>
          <w:tcPr>
            <w:shd w:val="clear" w:color="auto" w:fill="f7f9fa"/>
            <w:tcBorders/>
            <w:tcMar>
              <w:left w:w="70" w:type="dxa"/>
              <w:top w:w="30" w:type="dxa"/>
              <w:right w:w="70" w:type="dxa"/>
              <w:bottom w:w="30" w:type="dxa"/>
            </w:tcMar>
            <w:tcW w:w="6504" w:type="dxa"/>
            <w:vAlign w:val="top"/>
          </w:tcPr>
          <w:p>
            <w:pPr>
              <w:pStyle w:val="1296"/>
              <w:pBdr/>
              <w:spacing/>
              <w:ind/>
              <w:rPr/>
            </w:pPr>
            <w:r>
              <w:t xml:space="preserve">Claim or treatment depends on specialist, reliability, governance, rights or gate evidence not supplied by this document.</w:t>
            </w:r>
            <w:r/>
          </w:p>
        </w:tc>
      </w:tr>
      <w:tr>
        <w:trPr>
          <w:cantSplit/>
        </w:trPr>
        <w:tc>
          <w:tcPr>
            <w:tcBorders/>
            <w:tcMar>
              <w:left w:w="70" w:type="dxa"/>
              <w:top w:w="30" w:type="dxa"/>
              <w:right w:w="70" w:type="dxa"/>
              <w:bottom w:w="30" w:type="dxa"/>
            </w:tcMar>
            <w:tcW w:w="3502" w:type="dxa"/>
            <w:vAlign w:val="top"/>
          </w:tcPr>
          <w:p>
            <w:pPr>
              <w:pStyle w:val="1296"/>
              <w:pBdr/>
              <w:spacing/>
              <w:ind/>
              <w:rPr/>
            </w:pPr>
            <w:r>
              <w:t xml:space="preserve">RESTRICTED / HOLD</w:t>
            </w:r>
            <w:r/>
          </w:p>
        </w:tc>
        <w:tc>
          <w:tcPr>
            <w:tcBorders/>
            <w:tcMar>
              <w:left w:w="70" w:type="dxa"/>
              <w:top w:w="30" w:type="dxa"/>
              <w:right w:w="70" w:type="dxa"/>
              <w:bottom w:w="30" w:type="dxa"/>
            </w:tcMar>
            <w:tcW w:w="6504" w:type="dxa"/>
            <w:vAlign w:val="top"/>
          </w:tcPr>
          <w:p>
            <w:pPr>
              <w:pStyle w:val="1296"/>
              <w:pBdr/>
              <w:spacing/>
              <w:ind/>
              <w:rPr/>
            </w:pPr>
            <w:r>
              <w:t xml:space="preserve">Material is internal, rights-limited, inadequately governed or intentionally outside release scope.</w:t>
            </w:r>
            <w:r/>
          </w:p>
        </w:tc>
      </w:tr>
    </w:tbl>
    <w:p>
      <w:pPr>
        <w:pStyle w:val="1300"/>
        <w:pBdr/>
        <w:spacing/>
        <w:ind/>
        <w:rPr/>
      </w:pPr>
      <w:r/>
      <w:r/>
    </w:p>
    <w:p>
      <w:pPr>
        <w:pStyle w:val="1135"/>
        <w:keepNext w:val="true"/>
        <w:keepLines w:val="true"/>
        <w:pBdr/>
        <w:spacing/>
        <w:ind/>
        <w:rPr/>
      </w:pPr>
      <w:r/>
      <w:bookmarkStart w:id="211" w:name="SNAPSHOT"/>
      <w:r>
        <w:t xml:space="preserve">Historical snapshot — Planning and dependency state as of 28 July 2026</w:t>
      </w:r>
      <w:bookmarkEnd w:id="211"/>
      <w:r/>
      <w:r/>
    </w:p>
    <w:p>
      <w:pPr>
        <w:pStyle w:val="1184"/>
        <w:keepNext w:val="true"/>
        <w:keepLines w:val="true"/>
        <w:pBdr/>
        <w:spacing/>
        <w:ind/>
        <w:rPr/>
      </w:pPr>
      <w:r>
        <w:t xml:space="preserve">Historical snapshot — Snapshot front door</w:t>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2393"/>
        <w:gridCol w:w="7613"/>
      </w:tblGrid>
      <w:tr>
        <w:trPr>
          <w:cantSplit/>
          <w:tblHeader/>
        </w:trPr>
        <w:tc>
          <w:tcPr>
            <w:shd w:val="clear" w:color="auto" w:fill="1f5a73"/>
            <w:tcBorders/>
            <w:tcMar>
              <w:left w:w="70" w:type="dxa"/>
              <w:top w:w="60" w:type="dxa"/>
              <w:right w:w="70" w:type="dxa"/>
              <w:bottom w:w="60" w:type="dxa"/>
            </w:tcMar>
            <w:tcW w:w="2393" w:type="dxa"/>
            <w:vAlign w:val="top"/>
          </w:tcPr>
          <w:p>
            <w:pPr>
              <w:pStyle w:val="1298"/>
              <w:pBdr/>
              <w:spacing/>
              <w:ind/>
              <w:rPr/>
            </w:pPr>
            <w:r>
              <w:t xml:space="preserve">Field</w:t>
            </w:r>
            <w:r/>
          </w:p>
        </w:tc>
        <w:tc>
          <w:tcPr>
            <w:shd w:val="clear" w:color="auto" w:fill="1f5a73"/>
            <w:tcBorders/>
            <w:tcMar>
              <w:left w:w="70" w:type="dxa"/>
              <w:top w:w="60" w:type="dxa"/>
              <w:right w:w="70" w:type="dxa"/>
              <w:bottom w:w="60" w:type="dxa"/>
            </w:tcMar>
            <w:tcW w:w="7613" w:type="dxa"/>
            <w:vAlign w:val="top"/>
          </w:tcPr>
          <w:p>
            <w:pPr>
              <w:pStyle w:val="1298"/>
              <w:pBdr/>
              <w:spacing/>
              <w:ind/>
              <w:rPr/>
            </w:pPr>
            <w:r>
              <w:t xml:space="preserve">Required content</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Purpose</w:t>
            </w:r>
            <w:r/>
          </w:p>
        </w:tc>
        <w:tc>
          <w:tcPr>
            <w:tcBorders/>
            <w:tcMar>
              <w:left w:w="70" w:type="dxa"/>
              <w:top w:w="60" w:type="dxa"/>
              <w:right w:w="70" w:type="dxa"/>
              <w:bottom w:w="60" w:type="dxa"/>
            </w:tcMar>
            <w:tcW w:w="7613" w:type="dxa"/>
            <w:vAlign w:val="top"/>
          </w:tcPr>
          <w:p>
            <w:pPr>
              <w:pStyle w:val="1296"/>
              <w:pBdr/>
              <w:spacing/>
              <w:ind/>
              <w:rPr/>
            </w:pPr>
            <w:r>
              <w:t xml:space="preserve">Preserve the handover planning, synthesis-maturity and publication-dependency state without making it part of timeless editorial authority.</w:t>
            </w:r>
            <w:r/>
          </w:p>
        </w:tc>
      </w:tr>
      <w:tr>
        <w:trPr>
          <w:cantSplit/>
        </w:trPr>
        <w:tc>
          <w:tcPr>
            <w:shd w:val="clear" w:color="auto" w:fill="f7f9fa"/>
            <w:tcBorders/>
            <w:tcMar>
              <w:left w:w="70" w:type="dxa"/>
              <w:top w:w="60" w:type="dxa"/>
              <w:right w:w="70" w:type="dxa"/>
              <w:bottom w:w="60" w:type="dxa"/>
            </w:tcMar>
            <w:tcW w:w="2393" w:type="dxa"/>
            <w:vAlign w:val="top"/>
          </w:tcPr>
          <w:p>
            <w:pPr>
              <w:pStyle w:val="1296"/>
              <w:pBdr/>
              <w:spacing/>
              <w:ind/>
              <w:rPr/>
            </w:pPr>
            <w:r>
              <w:t xml:space="preserve">Authority status</w:t>
            </w:r>
            <w:r/>
          </w:p>
        </w:tc>
        <w:tc>
          <w:tcPr>
            <w:shd w:val="clear" w:color="auto" w:fill="f7f9fa"/>
            <w:tcBorders/>
            <w:tcMar>
              <w:left w:w="70" w:type="dxa"/>
              <w:top w:w="60" w:type="dxa"/>
              <w:right w:w="70" w:type="dxa"/>
              <w:bottom w:w="60" w:type="dxa"/>
            </w:tcMar>
            <w:tcW w:w="7613" w:type="dxa"/>
            <w:vAlign w:val="top"/>
          </w:tcPr>
          <w:p>
            <w:pPr>
              <w:pStyle w:val="1296"/>
              <w:pBdr/>
              <w:spacing/>
              <w:ind/>
              <w:rPr/>
            </w:pPr>
            <w:r>
              <w:t xml:space="preserve">Historical snapshot at 28 July 2026. Later state requires controlled operational records; neither this display nor a change in document wording establishes that state.</w:t>
            </w:r>
            <w:r/>
          </w:p>
        </w:tc>
      </w:tr>
      <w:tr>
        <w:trPr>
          <w:cantSplit/>
        </w:trPr>
        <w:tc>
          <w:tcPr>
            <w:tcBorders/>
            <w:tcMar>
              <w:left w:w="70" w:type="dxa"/>
              <w:top w:w="60" w:type="dxa"/>
              <w:right w:w="70" w:type="dxa"/>
              <w:bottom w:w="60" w:type="dxa"/>
            </w:tcMar>
            <w:tcW w:w="2393" w:type="dxa"/>
            <w:vAlign w:val="top"/>
          </w:tcPr>
          <w:p>
            <w:pPr>
              <w:pStyle w:val="1296"/>
              <w:pBdr/>
              <w:spacing/>
              <w:ind/>
              <w:rPr/>
            </w:pPr>
            <w:r>
              <w:t xml:space="preserve">Gate source</w:t>
            </w:r>
            <w:r/>
          </w:p>
        </w:tc>
        <w:tc>
          <w:tcPr>
            <w:tcBorders/>
            <w:tcMar>
              <w:left w:w="70" w:type="dxa"/>
              <w:top w:w="60" w:type="dxa"/>
              <w:right w:w="70" w:type="dxa"/>
              <w:bottom w:w="60" w:type="dxa"/>
            </w:tcMar>
            <w:tcW w:w="7613" w:type="dxa"/>
            <w:vAlign w:val="top"/>
          </w:tcPr>
          <w:p>
            <w:pPr>
              <w:pStyle w:val="1296"/>
              <w:pBdr/>
              <w:spacing/>
              <w:ind/>
              <w:rPr/>
            </w:pPr>
            <w:r>
              <w:t xml:space="preserve">Current G1–G8 verdicts and evidence maturity are established by applicable recorded GateRuns under Research Specification §10. The Research Specification historical snapshot summarizes only its stated date.</w:t>
            </w:r>
            <w:r/>
          </w:p>
        </w:tc>
      </w:tr>
    </w:tbl>
    <w:p>
      <w:pPr>
        <w:pStyle w:val="1300"/>
        <w:pBdr/>
        <w:spacing/>
        <w:ind/>
        <w:rPr/>
      </w:pPr>
      <w:r/>
      <w:r/>
    </w:p>
    <w:p>
      <w:pPr>
        <w:pStyle w:val="1136"/>
        <w:keepNext w:val="true"/>
        <w:keepLines w:val="true"/>
        <w:pBdr/>
        <w:spacing/>
        <w:ind/>
        <w:rPr/>
      </w:pPr>
      <w:r/>
      <w:bookmarkStart w:id="212" w:name="S1"/>
      <w:r>
        <w:t xml:space="preserve">S1. Chapter planning status</w:t>
      </w:r>
      <w:bookmarkEnd w:id="212"/>
      <w:r/>
      <w:r/>
    </w:p>
    <w:p>
      <w:pPr>
        <w:pStyle w:val="1184"/>
        <w:keepNext w:val="true"/>
        <w:keepLines w:val="true"/>
        <w:pBdr/>
        <w:spacing/>
        <w:ind/>
        <w:rPr/>
      </w:pPr>
      <w:r/>
      <w:bookmarkStart w:id="213" w:name="T_CHAPTER_STATUS"/>
      <w:r>
        <w:t xml:space="preserve">Historical snapshot — Chapter planning and validation-dependency status as of 28 July 2026</w:t>
      </w:r>
      <w:bookmarkEnd w:id="213"/>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652"/>
        <w:gridCol w:w="4712"/>
        <w:gridCol w:w="2030"/>
        <w:gridCol w:w="2610"/>
      </w:tblGrid>
      <w:tr>
        <w:trPr>
          <w:cantSplit/>
          <w:tblHeader/>
        </w:trPr>
        <w:tc>
          <w:tcPr>
            <w:shd w:val="clear" w:color="auto" w:fill="1f5a73"/>
            <w:tcBorders/>
            <w:tcMar>
              <w:left w:w="70" w:type="dxa"/>
              <w:top w:w="60" w:type="dxa"/>
              <w:right w:w="70" w:type="dxa"/>
              <w:bottom w:w="60" w:type="dxa"/>
            </w:tcMar>
            <w:tcW w:w="652" w:type="dxa"/>
            <w:vAlign w:val="top"/>
          </w:tcPr>
          <w:p>
            <w:pPr>
              <w:pStyle w:val="1298"/>
              <w:pBdr/>
              <w:spacing/>
              <w:ind/>
              <w:rPr/>
            </w:pPr>
            <w:r>
              <w:t xml:space="preserve">Ch.</w:t>
            </w:r>
            <w:r/>
          </w:p>
        </w:tc>
        <w:tc>
          <w:tcPr>
            <w:shd w:val="clear" w:color="auto" w:fill="1f5a73"/>
            <w:tcBorders/>
            <w:tcMar>
              <w:left w:w="70" w:type="dxa"/>
              <w:top w:w="60" w:type="dxa"/>
              <w:right w:w="70" w:type="dxa"/>
              <w:bottom w:w="60" w:type="dxa"/>
            </w:tcMar>
            <w:tcW w:w="4712" w:type="dxa"/>
            <w:vAlign w:val="top"/>
          </w:tcPr>
          <w:p>
            <w:pPr>
              <w:pStyle w:val="1298"/>
              <w:pBdr/>
              <w:spacing/>
              <w:ind/>
              <w:rPr/>
            </w:pPr>
            <w:r>
              <w:t xml:space="preserve">Chapter</w:t>
            </w:r>
            <w:r/>
          </w:p>
        </w:tc>
        <w:tc>
          <w:tcPr>
            <w:shd w:val="clear" w:color="auto" w:fill="1f5a73"/>
            <w:tcBorders/>
            <w:tcMar>
              <w:left w:w="70" w:type="dxa"/>
              <w:top w:w="60" w:type="dxa"/>
              <w:right w:w="70" w:type="dxa"/>
              <w:bottom w:w="60" w:type="dxa"/>
            </w:tcMar>
            <w:tcW w:w="2030" w:type="dxa"/>
            <w:vAlign w:val="top"/>
          </w:tcPr>
          <w:p>
            <w:pPr>
              <w:pStyle w:val="1298"/>
              <w:pBdr/>
              <w:spacing/>
              <w:ind/>
              <w:rPr/>
            </w:pPr>
            <w:r>
              <w:t xml:space="preserve">Planning confidence</w:t>
            </w:r>
            <w:r/>
          </w:p>
        </w:tc>
        <w:tc>
          <w:tcPr>
            <w:shd w:val="clear" w:color="auto" w:fill="1f5a73"/>
            <w:tcBorders/>
            <w:tcMar>
              <w:left w:w="70" w:type="dxa"/>
              <w:top w:w="60" w:type="dxa"/>
              <w:right w:w="70" w:type="dxa"/>
              <w:bottom w:w="60" w:type="dxa"/>
            </w:tcMar>
            <w:tcW w:w="2610" w:type="dxa"/>
            <w:vAlign w:val="top"/>
          </w:tcPr>
          <w:p>
            <w:pPr>
              <w:pStyle w:val="1298"/>
              <w:pBdr/>
              <w:spacing/>
              <w:ind/>
              <w:rPr/>
            </w:pPr>
            <w:r>
              <w:t xml:space="preserve">Validation dependency</w:t>
            </w:r>
            <w:r/>
          </w:p>
        </w:tc>
      </w:tr>
      <w:tr>
        <w:trPr>
          <w:cantSplit/>
        </w:trPr>
        <w:tc>
          <w:tcPr>
            <w:tcBorders/>
            <w:tcMar>
              <w:left w:w="70" w:type="dxa"/>
              <w:top w:w="60" w:type="dxa"/>
              <w:right w:w="70" w:type="dxa"/>
              <w:bottom w:w="60" w:type="dxa"/>
            </w:tcMar>
            <w:tcW w:w="652" w:type="dxa"/>
            <w:vAlign w:val="top"/>
          </w:tcPr>
          <w:p>
            <w:pPr>
              <w:pStyle w:val="1296"/>
              <w:pBdr/>
              <w:spacing/>
              <w:ind/>
              <w:rPr/>
            </w:pPr>
            <w:r>
              <w:t xml:space="preserve">1</w:t>
            </w:r>
            <w:r/>
          </w:p>
        </w:tc>
        <w:tc>
          <w:tcPr>
            <w:tcBorders/>
            <w:tcMar>
              <w:left w:w="70" w:type="dxa"/>
              <w:top w:w="60" w:type="dxa"/>
              <w:right w:w="70" w:type="dxa"/>
              <w:bottom w:w="60" w:type="dxa"/>
            </w:tcMar>
            <w:tcW w:w="4712" w:type="dxa"/>
            <w:vAlign w:val="top"/>
          </w:tcPr>
          <w:p>
            <w:pPr>
              <w:pStyle w:val="1296"/>
              <w:pBdr/>
              <w:spacing/>
              <w:ind/>
              <w:rPr/>
            </w:pPr>
            <w:r>
              <w:t xml:space="preserve">From Worldview Labels to Bounded Architectures</w:t>
            </w:r>
            <w:r/>
          </w:p>
        </w:tc>
        <w:tc>
          <w:tcPr>
            <w:tcBorders/>
            <w:tcMar>
              <w:left w:w="70" w:type="dxa"/>
              <w:top w:w="60" w:type="dxa"/>
              <w:right w:w="70" w:type="dxa"/>
              <w:bottom w:w="60" w:type="dxa"/>
            </w:tcMar>
            <w:tcW w:w="2030" w:type="dxa"/>
            <w:vAlign w:val="top"/>
          </w:tcPr>
          <w:p>
            <w:pPr>
              <w:pStyle w:val="1296"/>
              <w:pBdr/>
              <w:spacing/>
              <w:ind/>
              <w:rPr/>
            </w:pPr>
            <w:r>
              <w:t xml:space="preserve">VERY HIGH</w:t>
            </w:r>
            <w:r/>
          </w:p>
        </w:tc>
        <w:tc>
          <w:tcPr>
            <w:tcBorders/>
            <w:tcMar>
              <w:left w:w="70" w:type="dxa"/>
              <w:top w:w="60" w:type="dxa"/>
              <w:right w:w="70" w:type="dxa"/>
              <w:bottom w:w="60" w:type="dxa"/>
            </w:tcMar>
            <w:tcW w:w="2610" w:type="dxa"/>
            <w:vAlign w:val="top"/>
          </w:tcPr>
          <w:p>
            <w:pPr>
              <w:pStyle w:val="1296"/>
              <w:pBdr/>
              <w:spacing/>
              <w:ind/>
              <w:rPr/>
            </w:pPr>
            <w:r>
              <w:t xml:space="preserve">LOCAL / PROJECT-GATE DEPENDENT / COMMUNITY-GOVERNANCE DEPENDENT</w:t>
            </w:r>
            <w:r/>
          </w:p>
        </w:tc>
      </w:tr>
      <w:tr>
        <w:trPr>
          <w:cantSplit/>
        </w:trPr>
        <w:tc>
          <w:tcPr>
            <w:shd w:val="clear" w:color="auto" w:fill="f7f9fa"/>
            <w:tcBorders/>
            <w:tcMar>
              <w:left w:w="70" w:type="dxa"/>
              <w:top w:w="60" w:type="dxa"/>
              <w:right w:w="70" w:type="dxa"/>
              <w:bottom w:w="60" w:type="dxa"/>
            </w:tcMar>
            <w:tcW w:w="652" w:type="dxa"/>
            <w:vAlign w:val="top"/>
          </w:tcPr>
          <w:p>
            <w:pPr>
              <w:pStyle w:val="1296"/>
              <w:pBdr/>
              <w:spacing/>
              <w:ind/>
              <w:rPr/>
            </w:pPr>
            <w:r>
              <w:t xml:space="preserve">2</w:t>
            </w:r>
            <w:r/>
          </w:p>
        </w:tc>
        <w:tc>
          <w:tcPr>
            <w:shd w:val="clear" w:color="auto" w:fill="f7f9fa"/>
            <w:tcBorders/>
            <w:tcMar>
              <w:left w:w="70" w:type="dxa"/>
              <w:top w:w="60" w:type="dxa"/>
              <w:right w:w="70" w:type="dxa"/>
              <w:bottom w:w="60" w:type="dxa"/>
            </w:tcMar>
            <w:tcW w:w="4712" w:type="dxa"/>
            <w:vAlign w:val="top"/>
          </w:tcPr>
          <w:p>
            <w:pPr>
              <w:pStyle w:val="1296"/>
              <w:pBdr/>
              <w:spacing/>
              <w:ind/>
              <w:rPr/>
            </w:pPr>
            <w:r>
              <w:t xml:space="preserve">Comparing Without Collapsing</w:t>
            </w:r>
            <w:r/>
          </w:p>
        </w:tc>
        <w:tc>
          <w:tcPr>
            <w:shd w:val="clear" w:color="auto" w:fill="f7f9fa"/>
            <w:tcBorders/>
            <w:tcMar>
              <w:left w:w="70" w:type="dxa"/>
              <w:top w:w="60" w:type="dxa"/>
              <w:right w:w="70" w:type="dxa"/>
              <w:bottom w:w="60" w:type="dxa"/>
            </w:tcMar>
            <w:tcW w:w="2030" w:type="dxa"/>
            <w:vAlign w:val="top"/>
          </w:tcPr>
          <w:p>
            <w:pPr>
              <w:pStyle w:val="1296"/>
              <w:pBdr/>
              <w:spacing/>
              <w:ind/>
              <w:rPr/>
            </w:pPr>
            <w:r>
              <w:t xml:space="preserve">VERY HIGH</w:t>
            </w:r>
            <w:r/>
          </w:p>
        </w:tc>
        <w:tc>
          <w:tcPr>
            <w:shd w:val="clear" w:color="auto" w:fill="f7f9fa"/>
            <w:tcBorders/>
            <w:tcMar>
              <w:left w:w="70" w:type="dxa"/>
              <w:top w:w="60" w:type="dxa"/>
              <w:right w:w="70" w:type="dxa"/>
              <w:bottom w:w="60" w:type="dxa"/>
            </w:tcMar>
            <w:tcW w:w="2610" w:type="dxa"/>
            <w:vAlign w:val="top"/>
          </w:tcPr>
          <w:p>
            <w:pPr>
              <w:pStyle w:val="1296"/>
              <w:pBdr/>
              <w:spacing/>
              <w:ind/>
              <w:rPr/>
            </w:pPr>
            <w:r>
              <w:t xml:space="preserve">NONE</w:t>
            </w:r>
            <w:r/>
          </w:p>
        </w:tc>
      </w:tr>
      <w:tr>
        <w:trPr>
          <w:cantSplit/>
        </w:trPr>
        <w:tc>
          <w:tcPr>
            <w:tcBorders/>
            <w:tcMar>
              <w:left w:w="70" w:type="dxa"/>
              <w:top w:w="60" w:type="dxa"/>
              <w:right w:w="70" w:type="dxa"/>
              <w:bottom w:w="60" w:type="dxa"/>
            </w:tcMar>
            <w:tcW w:w="652" w:type="dxa"/>
            <w:vAlign w:val="top"/>
          </w:tcPr>
          <w:p>
            <w:pPr>
              <w:pStyle w:val="1296"/>
              <w:pBdr/>
              <w:spacing/>
              <w:ind/>
              <w:rPr/>
            </w:pPr>
            <w:r>
              <w:t xml:space="preserve">3</w:t>
            </w:r>
            <w:r/>
          </w:p>
        </w:tc>
        <w:tc>
          <w:tcPr>
            <w:tcBorders/>
            <w:tcMar>
              <w:left w:w="70" w:type="dxa"/>
              <w:top w:w="60" w:type="dxa"/>
              <w:right w:w="70" w:type="dxa"/>
              <w:bottom w:w="60" w:type="dxa"/>
            </w:tcMar>
            <w:tcW w:w="4712" w:type="dxa"/>
            <w:vAlign w:val="top"/>
          </w:tcPr>
          <w:p>
            <w:pPr>
              <w:pStyle w:val="1296"/>
              <w:pBdr/>
              <w:spacing/>
              <w:ind/>
              <w:rPr/>
            </w:pPr>
            <w:r>
              <w:t xml:space="preserve">Can Reality Have No Ground?</w:t>
            </w:r>
            <w:r/>
          </w:p>
        </w:tc>
        <w:tc>
          <w:tcPr>
            <w:tcBorders/>
            <w:tcMar>
              <w:left w:w="70" w:type="dxa"/>
              <w:top w:w="60" w:type="dxa"/>
              <w:right w:w="70" w:type="dxa"/>
              <w:bottom w:w="60" w:type="dxa"/>
            </w:tcMar>
            <w:tcW w:w="2030" w:type="dxa"/>
            <w:vAlign w:val="top"/>
          </w:tcPr>
          <w:p>
            <w:pPr>
              <w:pStyle w:val="1296"/>
              <w:pBdr/>
              <w:spacing/>
              <w:ind/>
              <w:rPr/>
            </w:pPr>
            <w:r>
              <w:t xml:space="preserve">HIGH</w:t>
            </w:r>
            <w:r/>
          </w:p>
        </w:tc>
        <w:tc>
          <w:tcPr>
            <w:tcBorders/>
            <w:tcMar>
              <w:left w:w="70" w:type="dxa"/>
              <w:top w:w="60" w:type="dxa"/>
              <w:right w:w="70" w:type="dxa"/>
              <w:bottom w:w="60" w:type="dxa"/>
            </w:tcMar>
            <w:tcW w:w="2610" w:type="dxa"/>
            <w:vAlign w:val="top"/>
          </w:tcPr>
          <w:p>
            <w:pPr>
              <w:pStyle w:val="1296"/>
              <w:pBdr/>
              <w:spacing/>
              <w:ind/>
              <w:rPr/>
            </w:pPr>
            <w:r>
              <w:t xml:space="preserve">LOCAL</w:t>
            </w:r>
            <w:r/>
          </w:p>
        </w:tc>
      </w:tr>
      <w:tr>
        <w:trPr>
          <w:cantSplit/>
        </w:trPr>
        <w:tc>
          <w:tcPr>
            <w:shd w:val="clear" w:color="auto" w:fill="f7f9fa"/>
            <w:tcBorders/>
            <w:tcMar>
              <w:left w:w="70" w:type="dxa"/>
              <w:top w:w="60" w:type="dxa"/>
              <w:right w:w="70" w:type="dxa"/>
              <w:bottom w:w="60" w:type="dxa"/>
            </w:tcMar>
            <w:tcW w:w="652" w:type="dxa"/>
            <w:vAlign w:val="top"/>
          </w:tcPr>
          <w:p>
            <w:pPr>
              <w:pStyle w:val="1296"/>
              <w:pBdr/>
              <w:spacing/>
              <w:ind/>
              <w:rPr/>
            </w:pPr>
            <w:r>
              <w:t xml:space="preserve">4</w:t>
            </w:r>
            <w:r/>
          </w:p>
        </w:tc>
        <w:tc>
          <w:tcPr>
            <w:shd w:val="clear" w:color="auto" w:fill="f7f9fa"/>
            <w:tcBorders/>
            <w:tcMar>
              <w:left w:w="70" w:type="dxa"/>
              <w:top w:w="60" w:type="dxa"/>
              <w:right w:w="70" w:type="dxa"/>
              <w:bottom w:w="60" w:type="dxa"/>
            </w:tcMar>
            <w:tcW w:w="4712" w:type="dxa"/>
            <w:vAlign w:val="top"/>
          </w:tcPr>
          <w:p>
            <w:pPr>
              <w:pStyle w:val="1296"/>
              <w:pBdr/>
              <w:spacing/>
              <w:ind/>
              <w:rPr/>
            </w:pPr>
            <w:r>
              <w:t xml:space="preserve">Must the Ultimate Be One?</w:t>
            </w:r>
            <w:r/>
          </w:p>
        </w:tc>
        <w:tc>
          <w:tcPr>
            <w:shd w:val="clear" w:color="auto" w:fill="f7f9fa"/>
            <w:tcBorders/>
            <w:tcMar>
              <w:left w:w="70" w:type="dxa"/>
              <w:top w:w="60" w:type="dxa"/>
              <w:right w:w="70" w:type="dxa"/>
              <w:bottom w:w="60" w:type="dxa"/>
            </w:tcMar>
            <w:tcW w:w="2030" w:type="dxa"/>
            <w:vAlign w:val="top"/>
          </w:tcPr>
          <w:p>
            <w:pPr>
              <w:pStyle w:val="1296"/>
              <w:pBdr/>
              <w:spacing/>
              <w:ind/>
              <w:rPr/>
            </w:pPr>
            <w:r>
              <w:t xml:space="preserve">HIGH</w:t>
            </w:r>
            <w:r/>
          </w:p>
        </w:tc>
        <w:tc>
          <w:tcPr>
            <w:shd w:val="clear" w:color="auto" w:fill="f7f9fa"/>
            <w:tcBorders/>
            <w:tcMar>
              <w:left w:w="70" w:type="dxa"/>
              <w:top w:w="60" w:type="dxa"/>
              <w:right w:w="70" w:type="dxa"/>
              <w:bottom w:w="60" w:type="dxa"/>
            </w:tcMar>
            <w:tcW w:w="2610" w:type="dxa"/>
            <w:vAlign w:val="top"/>
          </w:tcPr>
          <w:p>
            <w:pPr>
              <w:pStyle w:val="1296"/>
              <w:pBdr/>
              <w:spacing/>
              <w:ind/>
              <w:rPr/>
            </w:pPr>
            <w:r>
              <w:t xml:space="preserve">LOCAL</w:t>
            </w:r>
            <w:r/>
          </w:p>
        </w:tc>
      </w:tr>
      <w:tr>
        <w:trPr>
          <w:cantSplit/>
        </w:trPr>
        <w:tc>
          <w:tcPr>
            <w:tcBorders/>
            <w:tcMar>
              <w:left w:w="70" w:type="dxa"/>
              <w:top w:w="60" w:type="dxa"/>
              <w:right w:w="70" w:type="dxa"/>
              <w:bottom w:w="60" w:type="dxa"/>
            </w:tcMar>
            <w:tcW w:w="652" w:type="dxa"/>
            <w:vAlign w:val="top"/>
          </w:tcPr>
          <w:p>
            <w:pPr>
              <w:pStyle w:val="1296"/>
              <w:pBdr/>
              <w:spacing/>
              <w:ind/>
              <w:rPr/>
            </w:pPr>
            <w:r>
              <w:t xml:space="preserve">5</w:t>
            </w:r>
            <w:r/>
          </w:p>
        </w:tc>
        <w:tc>
          <w:tcPr>
            <w:tcBorders/>
            <w:tcMar>
              <w:left w:w="70" w:type="dxa"/>
              <w:top w:w="60" w:type="dxa"/>
              <w:right w:w="70" w:type="dxa"/>
              <w:bottom w:w="60" w:type="dxa"/>
            </w:tcMar>
            <w:tcW w:w="4712" w:type="dxa"/>
            <w:vAlign w:val="top"/>
          </w:tcPr>
          <w:p>
            <w:pPr>
              <w:pStyle w:val="1296"/>
              <w:pBdr/>
              <w:spacing/>
              <w:ind/>
              <w:rPr/>
            </w:pPr>
            <w:r>
              <w:t xml:space="preserve">How Does a World Arise?</w:t>
            </w:r>
            <w:r/>
          </w:p>
        </w:tc>
        <w:tc>
          <w:tcPr>
            <w:tcBorders/>
            <w:tcMar>
              <w:left w:w="70" w:type="dxa"/>
              <w:top w:w="60" w:type="dxa"/>
              <w:right w:w="70" w:type="dxa"/>
              <w:bottom w:w="60" w:type="dxa"/>
            </w:tcMar>
            <w:tcW w:w="2030" w:type="dxa"/>
            <w:vAlign w:val="top"/>
          </w:tcPr>
          <w:p>
            <w:pPr>
              <w:pStyle w:val="1296"/>
              <w:pBdr/>
              <w:spacing/>
              <w:ind/>
              <w:rPr/>
            </w:pPr>
            <w:r>
              <w:t xml:space="preserve">HIGH</w:t>
            </w:r>
            <w:r/>
          </w:p>
        </w:tc>
        <w:tc>
          <w:tcPr>
            <w:tcBorders/>
            <w:tcMar>
              <w:left w:w="70" w:type="dxa"/>
              <w:top w:w="60" w:type="dxa"/>
              <w:right w:w="70" w:type="dxa"/>
              <w:bottom w:w="60" w:type="dxa"/>
            </w:tcMar>
            <w:tcW w:w="2610" w:type="dxa"/>
            <w:vAlign w:val="top"/>
          </w:tcPr>
          <w:p>
            <w:pPr>
              <w:pStyle w:val="1296"/>
              <w:pBdr/>
              <w:spacing/>
              <w:ind/>
              <w:rPr/>
            </w:pPr>
            <w:r>
              <w:t xml:space="preserve">LOCAL</w:t>
            </w:r>
            <w:r/>
          </w:p>
        </w:tc>
      </w:tr>
      <w:tr>
        <w:trPr>
          <w:cantSplit/>
        </w:trPr>
        <w:tc>
          <w:tcPr>
            <w:shd w:val="clear" w:color="auto" w:fill="f7f9fa"/>
            <w:tcBorders/>
            <w:tcMar>
              <w:left w:w="70" w:type="dxa"/>
              <w:top w:w="60" w:type="dxa"/>
              <w:right w:w="70" w:type="dxa"/>
              <w:bottom w:w="60" w:type="dxa"/>
            </w:tcMar>
            <w:tcW w:w="652" w:type="dxa"/>
            <w:vAlign w:val="top"/>
          </w:tcPr>
          <w:p>
            <w:pPr>
              <w:pStyle w:val="1296"/>
              <w:pBdr/>
              <w:spacing/>
              <w:ind/>
              <w:rPr/>
            </w:pPr>
            <w:r>
              <w:t xml:space="preserve">6</w:t>
            </w:r>
            <w:r/>
          </w:p>
        </w:tc>
        <w:tc>
          <w:tcPr>
            <w:shd w:val="clear" w:color="auto" w:fill="f7f9fa"/>
            <w:tcBorders/>
            <w:tcMar>
              <w:left w:w="70" w:type="dxa"/>
              <w:top w:w="60" w:type="dxa"/>
              <w:right w:w="70" w:type="dxa"/>
              <w:bottom w:w="60" w:type="dxa"/>
            </w:tcMar>
            <w:tcW w:w="4712" w:type="dxa"/>
            <w:vAlign w:val="top"/>
          </w:tcPr>
          <w:p>
            <w:pPr>
              <w:pStyle w:val="1296"/>
              <w:pBdr/>
              <w:spacing/>
              <w:ind/>
              <w:rPr/>
            </w:pPr>
            <w:r>
              <w:t xml:space="preserve">What Kind of World Is This?</w:t>
            </w:r>
            <w:r/>
          </w:p>
        </w:tc>
        <w:tc>
          <w:tcPr>
            <w:shd w:val="clear" w:color="auto" w:fill="f7f9fa"/>
            <w:tcBorders/>
            <w:tcMar>
              <w:left w:w="70" w:type="dxa"/>
              <w:top w:w="60" w:type="dxa"/>
              <w:right w:w="70" w:type="dxa"/>
              <w:bottom w:w="60" w:type="dxa"/>
            </w:tcMar>
            <w:tcW w:w="2030" w:type="dxa"/>
            <w:vAlign w:val="top"/>
          </w:tcPr>
          <w:p>
            <w:pPr>
              <w:pStyle w:val="1296"/>
              <w:pBdr/>
              <w:spacing/>
              <w:ind/>
              <w:rPr/>
            </w:pPr>
            <w:r>
              <w:t xml:space="preserve">PROVISIONAL</w:t>
            </w:r>
            <w:r/>
          </w:p>
        </w:tc>
        <w:tc>
          <w:tcPr>
            <w:shd w:val="clear" w:color="auto" w:fill="f7f9fa"/>
            <w:tcBorders/>
            <w:tcMar>
              <w:left w:w="70" w:type="dxa"/>
              <w:top w:w="60" w:type="dxa"/>
              <w:right w:w="70" w:type="dxa"/>
              <w:bottom w:w="60" w:type="dxa"/>
            </w:tcMar>
            <w:tcW w:w="2610" w:type="dxa"/>
            <w:vAlign w:val="top"/>
          </w:tcPr>
          <w:p>
            <w:pPr>
              <w:pStyle w:val="1296"/>
              <w:pBdr/>
              <w:spacing/>
              <w:ind/>
              <w:rPr/>
            </w:pPr>
            <w:r>
              <w:t xml:space="preserve">PROJECT-GATE DEPENDENT / COMMUNITY-GOVERNANCE DEPENDENT</w:t>
            </w:r>
            <w:r/>
          </w:p>
        </w:tc>
      </w:tr>
      <w:tr>
        <w:trPr>
          <w:cantSplit/>
        </w:trPr>
        <w:tc>
          <w:tcPr>
            <w:tcBorders/>
            <w:tcMar>
              <w:left w:w="70" w:type="dxa"/>
              <w:top w:w="60" w:type="dxa"/>
              <w:right w:w="70" w:type="dxa"/>
              <w:bottom w:w="60" w:type="dxa"/>
            </w:tcMar>
            <w:tcW w:w="652" w:type="dxa"/>
            <w:vAlign w:val="top"/>
          </w:tcPr>
          <w:p>
            <w:pPr>
              <w:pStyle w:val="1296"/>
              <w:pBdr/>
              <w:spacing/>
              <w:ind/>
              <w:rPr/>
            </w:pPr>
            <w:r>
              <w:t xml:space="preserve">7</w:t>
            </w:r>
            <w:r/>
          </w:p>
        </w:tc>
        <w:tc>
          <w:tcPr>
            <w:tcBorders/>
            <w:tcMar>
              <w:left w:w="70" w:type="dxa"/>
              <w:top w:w="60" w:type="dxa"/>
              <w:right w:w="70" w:type="dxa"/>
              <w:bottom w:w="60" w:type="dxa"/>
            </w:tcMar>
            <w:tcW w:w="4712" w:type="dxa"/>
            <w:vAlign w:val="top"/>
          </w:tcPr>
          <w:p>
            <w:pPr>
              <w:pStyle w:val="1296"/>
              <w:pBdr/>
              <w:spacing/>
              <w:ind/>
              <w:rPr/>
            </w:pPr>
            <w:r>
              <w:t xml:space="preserve">What Is Consciousness Made Of—or Is It Made at All?</w:t>
            </w:r>
            <w:r/>
          </w:p>
        </w:tc>
        <w:tc>
          <w:tcPr>
            <w:tcBorders/>
            <w:tcMar>
              <w:left w:w="70" w:type="dxa"/>
              <w:top w:w="60" w:type="dxa"/>
              <w:right w:w="70" w:type="dxa"/>
              <w:bottom w:w="60" w:type="dxa"/>
            </w:tcMar>
            <w:tcW w:w="2030" w:type="dxa"/>
            <w:vAlign w:val="top"/>
          </w:tcPr>
          <w:p>
            <w:pPr>
              <w:pStyle w:val="1296"/>
              <w:pBdr/>
              <w:spacing/>
              <w:ind/>
              <w:rPr/>
            </w:pPr>
            <w:r>
              <w:t xml:space="preserve">HIGH</w:t>
            </w:r>
            <w:r/>
          </w:p>
        </w:tc>
        <w:tc>
          <w:tcPr>
            <w:tcBorders/>
            <w:tcMar>
              <w:left w:w="70" w:type="dxa"/>
              <w:top w:w="60" w:type="dxa"/>
              <w:right w:w="70" w:type="dxa"/>
              <w:bottom w:w="60" w:type="dxa"/>
            </w:tcMar>
            <w:tcW w:w="2610" w:type="dxa"/>
            <w:vAlign w:val="top"/>
          </w:tcPr>
          <w:p>
            <w:pPr>
              <w:pStyle w:val="1296"/>
              <w:pBdr/>
              <w:spacing/>
              <w:ind/>
              <w:rPr/>
            </w:pPr>
            <w:r>
              <w:t xml:space="preserve">LOCAL</w:t>
            </w:r>
            <w:r/>
          </w:p>
        </w:tc>
      </w:tr>
      <w:tr>
        <w:trPr>
          <w:cantSplit/>
        </w:trPr>
        <w:tc>
          <w:tcPr>
            <w:shd w:val="clear" w:color="auto" w:fill="f7f9fa"/>
            <w:tcBorders/>
            <w:tcMar>
              <w:left w:w="70" w:type="dxa"/>
              <w:top w:w="60" w:type="dxa"/>
              <w:right w:w="70" w:type="dxa"/>
              <w:bottom w:w="60" w:type="dxa"/>
            </w:tcMar>
            <w:tcW w:w="652" w:type="dxa"/>
            <w:vAlign w:val="top"/>
          </w:tcPr>
          <w:p>
            <w:pPr>
              <w:pStyle w:val="1296"/>
              <w:pBdr/>
              <w:spacing/>
              <w:ind/>
              <w:rPr/>
            </w:pPr>
            <w:r>
              <w:t xml:space="preserve">8</w:t>
            </w:r>
            <w:r/>
          </w:p>
        </w:tc>
        <w:tc>
          <w:tcPr>
            <w:shd w:val="clear" w:color="auto" w:fill="f7f9fa"/>
            <w:tcBorders/>
            <w:tcMar>
              <w:left w:w="70" w:type="dxa"/>
              <w:top w:w="60" w:type="dxa"/>
              <w:right w:w="70" w:type="dxa"/>
              <w:bottom w:w="60" w:type="dxa"/>
            </w:tcMar>
            <w:tcW w:w="4712" w:type="dxa"/>
            <w:vAlign w:val="top"/>
          </w:tcPr>
          <w:p>
            <w:pPr>
              <w:pStyle w:val="1296"/>
              <w:pBdr/>
              <w:spacing/>
              <w:ind/>
              <w:rPr/>
            </w:pPr>
            <w:r>
              <w:t xml:space="preserve">Is Consciousness a Self?</w:t>
            </w:r>
            <w:r/>
          </w:p>
        </w:tc>
        <w:tc>
          <w:tcPr>
            <w:shd w:val="clear" w:color="auto" w:fill="f7f9fa"/>
            <w:tcBorders/>
            <w:tcMar>
              <w:left w:w="70" w:type="dxa"/>
              <w:top w:w="60" w:type="dxa"/>
              <w:right w:w="70" w:type="dxa"/>
              <w:bottom w:w="60" w:type="dxa"/>
            </w:tcMar>
            <w:tcW w:w="2030" w:type="dxa"/>
            <w:vAlign w:val="top"/>
          </w:tcPr>
          <w:p>
            <w:pPr>
              <w:pStyle w:val="1296"/>
              <w:pBdr/>
              <w:spacing/>
              <w:ind/>
              <w:rPr/>
            </w:pPr>
            <w:r>
              <w:t xml:space="preserve">HIGH</w:t>
            </w:r>
            <w:r/>
          </w:p>
        </w:tc>
        <w:tc>
          <w:tcPr>
            <w:shd w:val="clear" w:color="auto" w:fill="f7f9fa"/>
            <w:tcBorders/>
            <w:tcMar>
              <w:left w:w="70" w:type="dxa"/>
              <w:top w:w="60" w:type="dxa"/>
              <w:right w:w="70" w:type="dxa"/>
              <w:bottom w:w="60" w:type="dxa"/>
            </w:tcMar>
            <w:tcW w:w="2610" w:type="dxa"/>
            <w:vAlign w:val="top"/>
          </w:tcPr>
          <w:p>
            <w:pPr>
              <w:pStyle w:val="1296"/>
              <w:pBdr/>
              <w:spacing/>
              <w:ind/>
              <w:rPr/>
            </w:pPr>
            <w:r>
              <w:t xml:space="preserve">LOCAL</w:t>
            </w:r>
            <w:r/>
          </w:p>
        </w:tc>
      </w:tr>
      <w:tr>
        <w:trPr>
          <w:cantSplit/>
        </w:trPr>
        <w:tc>
          <w:tcPr>
            <w:tcBorders/>
            <w:tcMar>
              <w:left w:w="70" w:type="dxa"/>
              <w:top w:w="60" w:type="dxa"/>
              <w:right w:w="70" w:type="dxa"/>
              <w:bottom w:w="60" w:type="dxa"/>
            </w:tcMar>
            <w:tcW w:w="652" w:type="dxa"/>
            <w:vAlign w:val="top"/>
          </w:tcPr>
          <w:p>
            <w:pPr>
              <w:pStyle w:val="1296"/>
              <w:pBdr/>
              <w:spacing/>
              <w:ind/>
              <w:rPr/>
            </w:pPr>
            <w:r>
              <w:t xml:space="preserve">9</w:t>
            </w:r>
            <w:r/>
          </w:p>
        </w:tc>
        <w:tc>
          <w:tcPr>
            <w:tcBorders/>
            <w:tcMar>
              <w:left w:w="70" w:type="dxa"/>
              <w:top w:w="60" w:type="dxa"/>
              <w:right w:w="70" w:type="dxa"/>
              <w:bottom w:w="60" w:type="dxa"/>
            </w:tcMar>
            <w:tcW w:w="4712" w:type="dxa"/>
            <w:vAlign w:val="top"/>
          </w:tcPr>
          <w:p>
            <w:pPr>
              <w:pStyle w:val="1296"/>
              <w:pBdr/>
              <w:spacing/>
              <w:ind/>
              <w:rPr/>
            </w:pPr>
            <w:r>
              <w:t xml:space="preserve">What Makes a Person Persist?</w:t>
            </w:r>
            <w:r/>
          </w:p>
        </w:tc>
        <w:tc>
          <w:tcPr>
            <w:tcBorders/>
            <w:tcMar>
              <w:left w:w="70" w:type="dxa"/>
              <w:top w:w="60" w:type="dxa"/>
              <w:right w:w="70" w:type="dxa"/>
              <w:bottom w:w="60" w:type="dxa"/>
            </w:tcMar>
            <w:tcW w:w="2030" w:type="dxa"/>
            <w:vAlign w:val="top"/>
          </w:tcPr>
          <w:p>
            <w:pPr>
              <w:pStyle w:val="1296"/>
              <w:pBdr/>
              <w:spacing/>
              <w:ind/>
              <w:rPr/>
            </w:pPr>
            <w:r>
              <w:t xml:space="preserve">HIGH</w:t>
            </w:r>
            <w:r/>
          </w:p>
        </w:tc>
        <w:tc>
          <w:tcPr>
            <w:tcBorders/>
            <w:tcMar>
              <w:left w:w="70" w:type="dxa"/>
              <w:top w:w="60" w:type="dxa"/>
              <w:right w:w="70" w:type="dxa"/>
              <w:bottom w:w="60" w:type="dxa"/>
            </w:tcMar>
            <w:tcW w:w="2610" w:type="dxa"/>
            <w:vAlign w:val="top"/>
          </w:tcPr>
          <w:p>
            <w:pPr>
              <w:pStyle w:val="1296"/>
              <w:pBdr/>
              <w:spacing/>
              <w:ind/>
              <w:rPr/>
            </w:pPr>
            <w:r>
              <w:t xml:space="preserve">LOCAL</w:t>
            </w:r>
            <w:r/>
          </w:p>
        </w:tc>
      </w:tr>
      <w:tr>
        <w:trPr>
          <w:cantSplit/>
        </w:trPr>
        <w:tc>
          <w:tcPr>
            <w:shd w:val="clear" w:color="auto" w:fill="f7f9fa"/>
            <w:tcBorders/>
            <w:tcMar>
              <w:left w:w="70" w:type="dxa"/>
              <w:top w:w="60" w:type="dxa"/>
              <w:right w:w="70" w:type="dxa"/>
              <w:bottom w:w="60" w:type="dxa"/>
            </w:tcMar>
            <w:tcW w:w="652" w:type="dxa"/>
            <w:vAlign w:val="top"/>
          </w:tcPr>
          <w:p>
            <w:pPr>
              <w:pStyle w:val="1296"/>
              <w:pBdr/>
              <w:spacing/>
              <w:ind/>
              <w:rPr/>
            </w:pPr>
            <w:r>
              <w:t xml:space="preserve">10</w:t>
            </w:r>
            <w:r/>
          </w:p>
        </w:tc>
        <w:tc>
          <w:tcPr>
            <w:shd w:val="clear" w:color="auto" w:fill="f7f9fa"/>
            <w:tcBorders/>
            <w:tcMar>
              <w:left w:w="70" w:type="dxa"/>
              <w:top w:w="60" w:type="dxa"/>
              <w:right w:w="70" w:type="dxa"/>
              <w:bottom w:w="60" w:type="dxa"/>
            </w:tcMar>
            <w:tcW w:w="4712" w:type="dxa"/>
            <w:vAlign w:val="top"/>
          </w:tcPr>
          <w:p>
            <w:pPr>
              <w:pStyle w:val="1296"/>
              <w:pBdr/>
              <w:spacing/>
              <w:ind/>
              <w:rPr/>
            </w:pPr>
            <w:r>
              <w:t xml:space="preserve">Who or What Can Be a Subject?</w:t>
            </w:r>
            <w:r/>
          </w:p>
        </w:tc>
        <w:tc>
          <w:tcPr>
            <w:shd w:val="clear" w:color="auto" w:fill="f7f9fa"/>
            <w:tcBorders/>
            <w:tcMar>
              <w:left w:w="70" w:type="dxa"/>
              <w:top w:w="60" w:type="dxa"/>
              <w:right w:w="70" w:type="dxa"/>
              <w:bottom w:w="60" w:type="dxa"/>
            </w:tcMar>
            <w:tcW w:w="2030" w:type="dxa"/>
            <w:vAlign w:val="top"/>
          </w:tcPr>
          <w:p>
            <w:pPr>
              <w:pStyle w:val="1296"/>
              <w:pBdr/>
              <w:spacing/>
              <w:ind/>
              <w:rPr/>
            </w:pPr>
            <w:r>
              <w:t xml:space="preserve">PROVISIONAL</w:t>
            </w:r>
            <w:r/>
          </w:p>
        </w:tc>
        <w:tc>
          <w:tcPr>
            <w:shd w:val="clear" w:color="auto" w:fill="f7f9fa"/>
            <w:tcBorders/>
            <w:tcMar>
              <w:left w:w="70" w:type="dxa"/>
              <w:top w:w="60" w:type="dxa"/>
              <w:right w:w="70" w:type="dxa"/>
              <w:bottom w:w="60" w:type="dxa"/>
            </w:tcMar>
            <w:tcW w:w="2610" w:type="dxa"/>
            <w:vAlign w:val="top"/>
          </w:tcPr>
          <w:p>
            <w:pPr>
              <w:pStyle w:val="1296"/>
              <w:pBdr/>
              <w:spacing/>
              <w:ind/>
              <w:rPr/>
            </w:pPr>
            <w:r>
              <w:t xml:space="preserve">PROJECT-GATE DEPENDENT / COMMUNITY-GOVERNANCE DEPENDENT</w:t>
            </w:r>
            <w:r/>
          </w:p>
        </w:tc>
      </w:tr>
      <w:tr>
        <w:trPr>
          <w:cantSplit/>
        </w:trPr>
        <w:tc>
          <w:tcPr>
            <w:tcBorders/>
            <w:tcMar>
              <w:left w:w="70" w:type="dxa"/>
              <w:top w:w="60" w:type="dxa"/>
              <w:right w:w="70" w:type="dxa"/>
              <w:bottom w:w="60" w:type="dxa"/>
            </w:tcMar>
            <w:tcW w:w="652" w:type="dxa"/>
            <w:vAlign w:val="top"/>
          </w:tcPr>
          <w:p>
            <w:pPr>
              <w:pStyle w:val="1296"/>
              <w:pBdr/>
              <w:spacing/>
              <w:ind/>
              <w:rPr/>
            </w:pPr>
            <w:r>
              <w:t xml:space="preserve">11</w:t>
            </w:r>
            <w:r/>
          </w:p>
        </w:tc>
        <w:tc>
          <w:tcPr>
            <w:tcBorders/>
            <w:tcMar>
              <w:left w:w="70" w:type="dxa"/>
              <w:top w:w="60" w:type="dxa"/>
              <w:right w:w="70" w:type="dxa"/>
              <w:bottom w:w="60" w:type="dxa"/>
            </w:tcMar>
            <w:tcW w:w="4712" w:type="dxa"/>
            <w:vAlign w:val="top"/>
          </w:tcPr>
          <w:p>
            <w:pPr>
              <w:pStyle w:val="1296"/>
              <w:pBdr/>
              <w:spacing/>
              <w:ind/>
              <w:rPr/>
            </w:pPr>
            <w:r>
              <w:t xml:space="preserve">What Counts as Knowing?</w:t>
            </w:r>
            <w:r/>
          </w:p>
        </w:tc>
        <w:tc>
          <w:tcPr>
            <w:tcBorders/>
            <w:tcMar>
              <w:left w:w="70" w:type="dxa"/>
              <w:top w:w="60" w:type="dxa"/>
              <w:right w:w="70" w:type="dxa"/>
              <w:bottom w:w="60" w:type="dxa"/>
            </w:tcMar>
            <w:tcW w:w="2030" w:type="dxa"/>
            <w:vAlign w:val="top"/>
          </w:tcPr>
          <w:p>
            <w:pPr>
              <w:pStyle w:val="1296"/>
              <w:pBdr/>
              <w:spacing/>
              <w:ind/>
              <w:rPr/>
            </w:pPr>
            <w:r>
              <w:t xml:space="preserve">HIGH</w:t>
            </w:r>
            <w:r/>
          </w:p>
        </w:tc>
        <w:tc>
          <w:tcPr>
            <w:tcBorders/>
            <w:tcMar>
              <w:left w:w="70" w:type="dxa"/>
              <w:top w:w="60" w:type="dxa"/>
              <w:right w:w="70" w:type="dxa"/>
              <w:bottom w:w="60" w:type="dxa"/>
            </w:tcMar>
            <w:tcW w:w="2610" w:type="dxa"/>
            <w:vAlign w:val="top"/>
          </w:tcPr>
          <w:p>
            <w:pPr>
              <w:pStyle w:val="1296"/>
              <w:pBdr/>
              <w:spacing/>
              <w:ind/>
              <w:rPr/>
            </w:pPr>
            <w:r>
              <w:t xml:space="preserve">PROJECT-GATE DEPENDENT / COMMUNITY-GOVERNANCE DEPENDENT</w:t>
            </w:r>
            <w:r/>
          </w:p>
        </w:tc>
      </w:tr>
      <w:tr>
        <w:trPr>
          <w:cantSplit/>
        </w:trPr>
        <w:tc>
          <w:tcPr>
            <w:shd w:val="clear" w:color="auto" w:fill="f7f9fa"/>
            <w:tcBorders/>
            <w:tcMar>
              <w:left w:w="70" w:type="dxa"/>
              <w:top w:w="60" w:type="dxa"/>
              <w:right w:w="70" w:type="dxa"/>
              <w:bottom w:w="60" w:type="dxa"/>
            </w:tcMar>
            <w:tcW w:w="652" w:type="dxa"/>
            <w:vAlign w:val="top"/>
          </w:tcPr>
          <w:p>
            <w:pPr>
              <w:pStyle w:val="1296"/>
              <w:pBdr/>
              <w:spacing/>
              <w:ind/>
              <w:rPr/>
            </w:pPr>
            <w:r>
              <w:t xml:space="preserve">12</w:t>
            </w:r>
            <w:r/>
          </w:p>
        </w:tc>
        <w:tc>
          <w:tcPr>
            <w:shd w:val="clear" w:color="auto" w:fill="f7f9fa"/>
            <w:tcBorders/>
            <w:tcMar>
              <w:left w:w="70" w:type="dxa"/>
              <w:top w:w="60" w:type="dxa"/>
              <w:right w:w="70" w:type="dxa"/>
              <w:bottom w:w="60" w:type="dxa"/>
            </w:tcMar>
            <w:tcW w:w="4712" w:type="dxa"/>
            <w:vAlign w:val="top"/>
          </w:tcPr>
          <w:p>
            <w:pPr>
              <w:pStyle w:val="1296"/>
              <w:pBdr/>
              <w:spacing/>
              <w:ind/>
              <w:rPr/>
            </w:pPr>
            <w:r>
              <w:t xml:space="preserve">What Goes Wrong with Us?</w:t>
            </w:r>
            <w:r/>
          </w:p>
        </w:tc>
        <w:tc>
          <w:tcPr>
            <w:shd w:val="clear" w:color="auto" w:fill="f7f9fa"/>
            <w:tcBorders/>
            <w:tcMar>
              <w:left w:w="70" w:type="dxa"/>
              <w:top w:w="60" w:type="dxa"/>
              <w:right w:w="70" w:type="dxa"/>
              <w:bottom w:w="60" w:type="dxa"/>
            </w:tcMar>
            <w:tcW w:w="2030" w:type="dxa"/>
            <w:vAlign w:val="top"/>
          </w:tcPr>
          <w:p>
            <w:pPr>
              <w:pStyle w:val="1296"/>
              <w:pBdr/>
              <w:spacing/>
              <w:ind/>
              <w:rPr/>
            </w:pPr>
            <w:r>
              <w:t xml:space="preserve">HIGH</w:t>
            </w:r>
            <w:r/>
          </w:p>
        </w:tc>
        <w:tc>
          <w:tcPr>
            <w:shd w:val="clear" w:color="auto" w:fill="f7f9fa"/>
            <w:tcBorders/>
            <w:tcMar>
              <w:left w:w="70" w:type="dxa"/>
              <w:top w:w="60" w:type="dxa"/>
              <w:right w:w="70" w:type="dxa"/>
              <w:bottom w:w="60" w:type="dxa"/>
            </w:tcMar>
            <w:tcW w:w="2610" w:type="dxa"/>
            <w:vAlign w:val="top"/>
          </w:tcPr>
          <w:p>
            <w:pPr>
              <w:pStyle w:val="1296"/>
              <w:pBdr/>
              <w:spacing/>
              <w:ind/>
              <w:rPr/>
            </w:pPr>
            <w:r>
              <w:t xml:space="preserve">LOCAL</w:t>
            </w:r>
            <w:r/>
          </w:p>
        </w:tc>
      </w:tr>
      <w:tr>
        <w:trPr>
          <w:cantSplit/>
        </w:trPr>
        <w:tc>
          <w:tcPr>
            <w:tcBorders/>
            <w:tcMar>
              <w:left w:w="70" w:type="dxa"/>
              <w:top w:w="60" w:type="dxa"/>
              <w:right w:w="70" w:type="dxa"/>
              <w:bottom w:w="60" w:type="dxa"/>
            </w:tcMar>
            <w:tcW w:w="652" w:type="dxa"/>
            <w:vAlign w:val="top"/>
          </w:tcPr>
          <w:p>
            <w:pPr>
              <w:pStyle w:val="1296"/>
              <w:pBdr/>
              <w:spacing/>
              <w:ind/>
              <w:rPr/>
            </w:pPr>
            <w:r>
              <w:t xml:space="preserve">13</w:t>
            </w:r>
            <w:r/>
          </w:p>
        </w:tc>
        <w:tc>
          <w:tcPr>
            <w:tcBorders/>
            <w:tcMar>
              <w:left w:w="70" w:type="dxa"/>
              <w:top w:w="60" w:type="dxa"/>
              <w:right w:w="70" w:type="dxa"/>
              <w:bottom w:w="60" w:type="dxa"/>
            </w:tcMar>
            <w:tcW w:w="4712" w:type="dxa"/>
            <w:vAlign w:val="top"/>
          </w:tcPr>
          <w:p>
            <w:pPr>
              <w:pStyle w:val="1296"/>
              <w:pBdr/>
              <w:spacing/>
              <w:ind/>
              <w:rPr/>
            </w:pPr>
            <w:r>
              <w:t xml:space="preserve">Can Knowing Change Being?</w:t>
            </w:r>
            <w:r/>
          </w:p>
        </w:tc>
        <w:tc>
          <w:tcPr>
            <w:tcBorders/>
            <w:tcMar>
              <w:left w:w="70" w:type="dxa"/>
              <w:top w:w="60" w:type="dxa"/>
              <w:right w:w="70" w:type="dxa"/>
              <w:bottom w:w="60" w:type="dxa"/>
            </w:tcMar>
            <w:tcW w:w="2030" w:type="dxa"/>
            <w:vAlign w:val="top"/>
          </w:tcPr>
          <w:p>
            <w:pPr>
              <w:pStyle w:val="1296"/>
              <w:pBdr/>
              <w:spacing/>
              <w:ind/>
              <w:rPr/>
            </w:pPr>
            <w:r>
              <w:t xml:space="preserve">HIGH</w:t>
            </w:r>
            <w:r/>
          </w:p>
        </w:tc>
        <w:tc>
          <w:tcPr>
            <w:tcBorders/>
            <w:tcMar>
              <w:left w:w="70" w:type="dxa"/>
              <w:top w:w="60" w:type="dxa"/>
              <w:right w:w="70" w:type="dxa"/>
              <w:bottom w:w="60" w:type="dxa"/>
            </w:tcMar>
            <w:tcW w:w="2610" w:type="dxa"/>
            <w:vAlign w:val="top"/>
          </w:tcPr>
          <w:p>
            <w:pPr>
              <w:pStyle w:val="1296"/>
              <w:pBdr/>
              <w:spacing/>
              <w:ind/>
              <w:rPr/>
            </w:pPr>
            <w:r>
              <w:t xml:space="preserve">LOCAL / PROJECT-GATE DEPENDENT / COMMUNITY-GOVERNANCE DEPENDENT</w:t>
            </w:r>
            <w:r/>
          </w:p>
        </w:tc>
      </w:tr>
      <w:tr>
        <w:trPr>
          <w:cantSplit/>
        </w:trPr>
        <w:tc>
          <w:tcPr>
            <w:shd w:val="clear" w:color="auto" w:fill="f7f9fa"/>
            <w:tcBorders/>
            <w:tcMar>
              <w:left w:w="70" w:type="dxa"/>
              <w:top w:w="60" w:type="dxa"/>
              <w:right w:w="70" w:type="dxa"/>
              <w:bottom w:w="60" w:type="dxa"/>
            </w:tcMar>
            <w:tcW w:w="652" w:type="dxa"/>
            <w:vAlign w:val="top"/>
          </w:tcPr>
          <w:p>
            <w:pPr>
              <w:pStyle w:val="1296"/>
              <w:pBdr/>
              <w:spacing/>
              <w:ind/>
              <w:rPr/>
            </w:pPr>
            <w:r>
              <w:t xml:space="preserve">14</w:t>
            </w:r>
            <w:r/>
          </w:p>
        </w:tc>
        <w:tc>
          <w:tcPr>
            <w:shd w:val="clear" w:color="auto" w:fill="f7f9fa"/>
            <w:tcBorders/>
            <w:tcMar>
              <w:left w:w="70" w:type="dxa"/>
              <w:top w:w="60" w:type="dxa"/>
              <w:right w:w="70" w:type="dxa"/>
              <w:bottom w:w="60" w:type="dxa"/>
            </w:tcMar>
            <w:tcW w:w="4712" w:type="dxa"/>
            <w:vAlign w:val="top"/>
          </w:tcPr>
          <w:p>
            <w:pPr>
              <w:pStyle w:val="1296"/>
              <w:pBdr/>
              <w:spacing/>
              <w:ind/>
              <w:rPr/>
            </w:pPr>
            <w:r>
              <w:t xml:space="preserve">Is Everything Already Ordered?</w:t>
            </w:r>
            <w:r/>
          </w:p>
        </w:tc>
        <w:tc>
          <w:tcPr>
            <w:shd w:val="clear" w:color="auto" w:fill="f7f9fa"/>
            <w:tcBorders/>
            <w:tcMar>
              <w:left w:w="70" w:type="dxa"/>
              <w:top w:w="60" w:type="dxa"/>
              <w:right w:w="70" w:type="dxa"/>
              <w:bottom w:w="60" w:type="dxa"/>
            </w:tcMar>
            <w:tcW w:w="2030" w:type="dxa"/>
            <w:vAlign w:val="top"/>
          </w:tcPr>
          <w:p>
            <w:pPr>
              <w:pStyle w:val="1296"/>
              <w:pBdr/>
              <w:spacing/>
              <w:ind/>
              <w:rPr/>
            </w:pPr>
            <w:r>
              <w:t xml:space="preserve">HIGH</w:t>
            </w:r>
            <w:r/>
          </w:p>
        </w:tc>
        <w:tc>
          <w:tcPr>
            <w:shd w:val="clear" w:color="auto" w:fill="f7f9fa"/>
            <w:tcBorders/>
            <w:tcMar>
              <w:left w:w="70" w:type="dxa"/>
              <w:top w:w="60" w:type="dxa"/>
              <w:right w:w="70" w:type="dxa"/>
              <w:bottom w:w="60" w:type="dxa"/>
            </w:tcMar>
            <w:tcW w:w="2610" w:type="dxa"/>
            <w:vAlign w:val="top"/>
          </w:tcPr>
          <w:p>
            <w:pPr>
              <w:pStyle w:val="1296"/>
              <w:pBdr/>
              <w:spacing/>
              <w:ind/>
              <w:rPr/>
            </w:pPr>
            <w:r>
              <w:t xml:space="preserve">PROJECT-GATE DEPENDENT / COMMUNITY-GOVERNANCE DEPENDENT</w:t>
            </w:r>
            <w:r/>
          </w:p>
        </w:tc>
      </w:tr>
      <w:tr>
        <w:trPr>
          <w:cantSplit/>
        </w:trPr>
        <w:tc>
          <w:tcPr>
            <w:tcBorders/>
            <w:tcMar>
              <w:left w:w="70" w:type="dxa"/>
              <w:top w:w="60" w:type="dxa"/>
              <w:right w:w="70" w:type="dxa"/>
              <w:bottom w:w="60" w:type="dxa"/>
            </w:tcMar>
            <w:tcW w:w="652" w:type="dxa"/>
            <w:vAlign w:val="top"/>
          </w:tcPr>
          <w:p>
            <w:pPr>
              <w:pStyle w:val="1296"/>
              <w:pBdr/>
              <w:spacing/>
              <w:ind/>
              <w:rPr/>
            </w:pPr>
            <w:r>
              <w:t xml:space="preserve">15</w:t>
            </w:r>
            <w:r/>
          </w:p>
        </w:tc>
        <w:tc>
          <w:tcPr>
            <w:tcBorders/>
            <w:tcMar>
              <w:left w:w="70" w:type="dxa"/>
              <w:top w:w="60" w:type="dxa"/>
              <w:right w:w="70" w:type="dxa"/>
              <w:bottom w:w="60" w:type="dxa"/>
            </w:tcMar>
            <w:tcW w:w="4712" w:type="dxa"/>
            <w:vAlign w:val="top"/>
          </w:tcPr>
          <w:p>
            <w:pPr>
              <w:pStyle w:val="1296"/>
              <w:pBdr/>
              <w:spacing/>
              <w:ind/>
              <w:rPr/>
            </w:pPr>
            <w:r>
              <w:t xml:space="preserve">What Could Freedom Mean Inside an Order?</w:t>
            </w:r>
            <w:r/>
          </w:p>
        </w:tc>
        <w:tc>
          <w:tcPr>
            <w:tcBorders/>
            <w:tcMar>
              <w:left w:w="70" w:type="dxa"/>
              <w:top w:w="60" w:type="dxa"/>
              <w:right w:w="70" w:type="dxa"/>
              <w:bottom w:w="60" w:type="dxa"/>
            </w:tcMar>
            <w:tcW w:w="2030" w:type="dxa"/>
            <w:vAlign w:val="top"/>
          </w:tcPr>
          <w:p>
            <w:pPr>
              <w:pStyle w:val="1296"/>
              <w:pBdr/>
              <w:spacing/>
              <w:ind/>
              <w:rPr/>
            </w:pPr>
            <w:r>
              <w:t xml:space="preserve">HIGH</w:t>
            </w:r>
            <w:r/>
          </w:p>
        </w:tc>
        <w:tc>
          <w:tcPr>
            <w:tcBorders/>
            <w:tcMar>
              <w:left w:w="70" w:type="dxa"/>
              <w:top w:w="60" w:type="dxa"/>
              <w:right w:w="70" w:type="dxa"/>
              <w:bottom w:w="60" w:type="dxa"/>
            </w:tcMar>
            <w:tcW w:w="2610" w:type="dxa"/>
            <w:vAlign w:val="top"/>
          </w:tcPr>
          <w:p>
            <w:pPr>
              <w:pStyle w:val="1296"/>
              <w:pBdr/>
              <w:spacing/>
              <w:ind/>
              <w:rPr/>
            </w:pPr>
            <w:r>
              <w:t xml:space="preserve">PROJECT-GATE DEPENDENT / COMMUNITY-GOVERNANCE DEPENDENT</w:t>
            </w:r>
            <w:r/>
          </w:p>
        </w:tc>
      </w:tr>
      <w:tr>
        <w:trPr>
          <w:cantSplit/>
        </w:trPr>
        <w:tc>
          <w:tcPr>
            <w:shd w:val="clear" w:color="auto" w:fill="f7f9fa"/>
            <w:tcBorders/>
            <w:tcMar>
              <w:left w:w="70" w:type="dxa"/>
              <w:top w:w="60" w:type="dxa"/>
              <w:right w:w="70" w:type="dxa"/>
              <w:bottom w:w="60" w:type="dxa"/>
            </w:tcMar>
            <w:tcW w:w="652" w:type="dxa"/>
            <w:vAlign w:val="top"/>
          </w:tcPr>
          <w:p>
            <w:pPr>
              <w:pStyle w:val="1296"/>
              <w:pBdr/>
              <w:spacing/>
              <w:ind/>
              <w:rPr/>
            </w:pPr>
            <w:r>
              <w:t xml:space="preserve">16</w:t>
            </w:r>
            <w:r/>
          </w:p>
        </w:tc>
        <w:tc>
          <w:tcPr>
            <w:shd w:val="clear" w:color="auto" w:fill="f7f9fa"/>
            <w:tcBorders/>
            <w:tcMar>
              <w:left w:w="70" w:type="dxa"/>
              <w:top w:w="60" w:type="dxa"/>
              <w:right w:w="70" w:type="dxa"/>
              <w:bottom w:w="60" w:type="dxa"/>
            </w:tcMar>
            <w:tcW w:w="4712" w:type="dxa"/>
            <w:vAlign w:val="top"/>
          </w:tcPr>
          <w:p>
            <w:pPr>
              <w:pStyle w:val="1296"/>
              <w:pBdr/>
              <w:spacing/>
              <w:ind/>
              <w:rPr/>
            </w:pPr>
            <w:r>
              <w:t xml:space="preserve">Leave the World, Participate in It, or Transform It?</w:t>
            </w:r>
            <w:r/>
          </w:p>
        </w:tc>
        <w:tc>
          <w:tcPr>
            <w:shd w:val="clear" w:color="auto" w:fill="f7f9fa"/>
            <w:tcBorders/>
            <w:tcMar>
              <w:left w:w="70" w:type="dxa"/>
              <w:top w:w="60" w:type="dxa"/>
              <w:right w:w="70" w:type="dxa"/>
              <w:bottom w:w="60" w:type="dxa"/>
            </w:tcMar>
            <w:tcW w:w="2030" w:type="dxa"/>
            <w:vAlign w:val="top"/>
          </w:tcPr>
          <w:p>
            <w:pPr>
              <w:pStyle w:val="1296"/>
              <w:pBdr/>
              <w:spacing/>
              <w:ind/>
              <w:rPr/>
            </w:pPr>
            <w:r>
              <w:t xml:space="preserve">HIGH</w:t>
            </w:r>
            <w:r/>
          </w:p>
        </w:tc>
        <w:tc>
          <w:tcPr>
            <w:shd w:val="clear" w:color="auto" w:fill="f7f9fa"/>
            <w:tcBorders/>
            <w:tcMar>
              <w:left w:w="70" w:type="dxa"/>
              <w:top w:w="60" w:type="dxa"/>
              <w:right w:w="70" w:type="dxa"/>
              <w:bottom w:w="60" w:type="dxa"/>
            </w:tcMar>
            <w:tcW w:w="2610" w:type="dxa"/>
            <w:vAlign w:val="top"/>
          </w:tcPr>
          <w:p>
            <w:pPr>
              <w:pStyle w:val="1296"/>
              <w:pBdr/>
              <w:spacing/>
              <w:ind/>
              <w:rPr/>
            </w:pPr>
            <w:r>
              <w:t xml:space="preserve">LOCAL</w:t>
            </w:r>
            <w:r/>
          </w:p>
        </w:tc>
      </w:tr>
      <w:tr>
        <w:trPr>
          <w:cantSplit/>
        </w:trPr>
        <w:tc>
          <w:tcPr>
            <w:tcBorders/>
            <w:tcMar>
              <w:left w:w="70" w:type="dxa"/>
              <w:top w:w="60" w:type="dxa"/>
              <w:right w:w="70" w:type="dxa"/>
              <w:bottom w:w="60" w:type="dxa"/>
            </w:tcMar>
            <w:tcW w:w="652" w:type="dxa"/>
            <w:vAlign w:val="top"/>
          </w:tcPr>
          <w:p>
            <w:pPr>
              <w:pStyle w:val="1296"/>
              <w:pBdr/>
              <w:spacing/>
              <w:ind/>
              <w:rPr/>
            </w:pPr>
            <w:r>
              <w:t xml:space="preserve">17</w:t>
            </w:r>
            <w:r/>
          </w:p>
        </w:tc>
        <w:tc>
          <w:tcPr>
            <w:tcBorders/>
            <w:tcMar>
              <w:left w:w="70" w:type="dxa"/>
              <w:top w:w="60" w:type="dxa"/>
              <w:right w:w="70" w:type="dxa"/>
              <w:bottom w:w="60" w:type="dxa"/>
            </w:tcMar>
            <w:tcW w:w="4712" w:type="dxa"/>
            <w:vAlign w:val="top"/>
          </w:tcPr>
          <w:p>
            <w:pPr>
              <w:pStyle w:val="1296"/>
              <w:pBdr/>
              <w:spacing/>
              <w:ind/>
              <w:rPr/>
            </w:pPr>
            <w:r>
              <w:t xml:space="preserve">What, If Anything, Continues at Death?</w:t>
            </w:r>
            <w:r/>
          </w:p>
        </w:tc>
        <w:tc>
          <w:tcPr>
            <w:tcBorders/>
            <w:tcMar>
              <w:left w:w="70" w:type="dxa"/>
              <w:top w:w="60" w:type="dxa"/>
              <w:right w:w="70" w:type="dxa"/>
              <w:bottom w:w="60" w:type="dxa"/>
            </w:tcMar>
            <w:tcW w:w="2030" w:type="dxa"/>
            <w:vAlign w:val="top"/>
          </w:tcPr>
          <w:p>
            <w:pPr>
              <w:pStyle w:val="1296"/>
              <w:pBdr/>
              <w:spacing/>
              <w:ind/>
              <w:rPr/>
            </w:pPr>
            <w:r>
              <w:t xml:space="preserve">HIGH</w:t>
            </w:r>
            <w:r/>
          </w:p>
        </w:tc>
        <w:tc>
          <w:tcPr>
            <w:tcBorders/>
            <w:tcMar>
              <w:left w:w="70" w:type="dxa"/>
              <w:top w:w="60" w:type="dxa"/>
              <w:right w:w="70" w:type="dxa"/>
              <w:bottom w:w="60" w:type="dxa"/>
            </w:tcMar>
            <w:tcW w:w="2610" w:type="dxa"/>
            <w:vAlign w:val="top"/>
          </w:tcPr>
          <w:p>
            <w:pPr>
              <w:pStyle w:val="1296"/>
              <w:pBdr/>
              <w:spacing/>
              <w:ind/>
              <w:rPr/>
            </w:pPr>
            <w:r>
              <w:t xml:space="preserve">LOCAL</w:t>
            </w:r>
            <w:r/>
          </w:p>
        </w:tc>
      </w:tr>
      <w:tr>
        <w:trPr>
          <w:cantSplit/>
        </w:trPr>
        <w:tc>
          <w:tcPr>
            <w:shd w:val="clear" w:color="auto" w:fill="f7f9fa"/>
            <w:tcBorders/>
            <w:tcMar>
              <w:left w:w="70" w:type="dxa"/>
              <w:top w:w="60" w:type="dxa"/>
              <w:right w:w="70" w:type="dxa"/>
              <w:bottom w:w="60" w:type="dxa"/>
            </w:tcMar>
            <w:tcW w:w="652" w:type="dxa"/>
            <w:vAlign w:val="top"/>
          </w:tcPr>
          <w:p>
            <w:pPr>
              <w:pStyle w:val="1296"/>
              <w:pBdr/>
              <w:spacing/>
              <w:ind/>
              <w:rPr/>
            </w:pPr>
            <w:r>
              <w:t xml:space="preserve">18</w:t>
            </w:r>
            <w:r/>
          </w:p>
        </w:tc>
        <w:tc>
          <w:tcPr>
            <w:shd w:val="clear" w:color="auto" w:fill="f7f9fa"/>
            <w:tcBorders/>
            <w:tcMar>
              <w:left w:w="70" w:type="dxa"/>
              <w:top w:w="60" w:type="dxa"/>
              <w:right w:w="70" w:type="dxa"/>
              <w:bottom w:w="60" w:type="dxa"/>
            </w:tcMar>
            <w:tcW w:w="4712" w:type="dxa"/>
            <w:vAlign w:val="top"/>
          </w:tcPr>
          <w:p>
            <w:pPr>
              <w:pStyle w:val="1296"/>
              <w:pBdr/>
              <w:spacing/>
              <w:ind/>
              <w:rPr/>
            </w:pPr>
            <w:r>
              <w:t xml:space="preserve">Does a Life Have a Final Condition?</w:t>
            </w:r>
            <w:r/>
          </w:p>
        </w:tc>
        <w:tc>
          <w:tcPr>
            <w:shd w:val="clear" w:color="auto" w:fill="f7f9fa"/>
            <w:tcBorders/>
            <w:tcMar>
              <w:left w:w="70" w:type="dxa"/>
              <w:top w:w="60" w:type="dxa"/>
              <w:right w:w="70" w:type="dxa"/>
              <w:bottom w:w="60" w:type="dxa"/>
            </w:tcMar>
            <w:tcW w:w="2030" w:type="dxa"/>
            <w:vAlign w:val="top"/>
          </w:tcPr>
          <w:p>
            <w:pPr>
              <w:pStyle w:val="1296"/>
              <w:pBdr/>
              <w:spacing/>
              <w:ind/>
              <w:rPr/>
            </w:pPr>
            <w:r>
              <w:t xml:space="preserve">HIGH</w:t>
            </w:r>
            <w:r/>
          </w:p>
        </w:tc>
        <w:tc>
          <w:tcPr>
            <w:shd w:val="clear" w:color="auto" w:fill="f7f9fa"/>
            <w:tcBorders/>
            <w:tcMar>
              <w:left w:w="70" w:type="dxa"/>
              <w:top w:w="60" w:type="dxa"/>
              <w:right w:w="70" w:type="dxa"/>
              <w:bottom w:w="60" w:type="dxa"/>
            </w:tcMar>
            <w:tcW w:w="2610" w:type="dxa"/>
            <w:vAlign w:val="top"/>
          </w:tcPr>
          <w:p>
            <w:pPr>
              <w:pStyle w:val="1296"/>
              <w:pBdr/>
              <w:spacing/>
              <w:ind/>
              <w:rPr/>
            </w:pPr>
            <w:r>
              <w:t xml:space="preserve">LOCAL</w:t>
            </w:r>
            <w:r/>
          </w:p>
        </w:tc>
      </w:tr>
      <w:tr>
        <w:trPr>
          <w:cantSplit/>
        </w:trPr>
        <w:tc>
          <w:tcPr>
            <w:tcBorders/>
            <w:tcMar>
              <w:left w:w="70" w:type="dxa"/>
              <w:top w:w="60" w:type="dxa"/>
              <w:right w:w="70" w:type="dxa"/>
              <w:bottom w:w="60" w:type="dxa"/>
            </w:tcMar>
            <w:tcW w:w="652" w:type="dxa"/>
            <w:vAlign w:val="top"/>
          </w:tcPr>
          <w:p>
            <w:pPr>
              <w:pStyle w:val="1296"/>
              <w:pBdr/>
              <w:spacing/>
              <w:ind/>
              <w:rPr/>
            </w:pPr>
            <w:r>
              <w:t xml:space="preserve">19</w:t>
            </w:r>
            <w:r/>
          </w:p>
        </w:tc>
        <w:tc>
          <w:tcPr>
            <w:tcBorders/>
            <w:tcMar>
              <w:left w:w="70" w:type="dxa"/>
              <w:top w:w="60" w:type="dxa"/>
              <w:right w:w="70" w:type="dxa"/>
              <w:bottom w:w="60" w:type="dxa"/>
            </w:tcMar>
            <w:tcW w:w="4712" w:type="dxa"/>
            <w:vAlign w:val="top"/>
          </w:tcPr>
          <w:p>
            <w:pPr>
              <w:pStyle w:val="1296"/>
              <w:pBdr/>
              <w:spacing/>
              <w:ind/>
              <w:rPr/>
            </w:pPr>
            <w:r>
              <w:t xml:space="preserve">The Recurrent Shapes—and the Counterexamples</w:t>
            </w:r>
            <w:r/>
          </w:p>
        </w:tc>
        <w:tc>
          <w:tcPr>
            <w:tcBorders/>
            <w:tcMar>
              <w:left w:w="70" w:type="dxa"/>
              <w:top w:w="60" w:type="dxa"/>
              <w:right w:w="70" w:type="dxa"/>
              <w:bottom w:w="60" w:type="dxa"/>
            </w:tcMar>
            <w:tcW w:w="2030" w:type="dxa"/>
            <w:vAlign w:val="top"/>
          </w:tcPr>
          <w:p>
            <w:pPr>
              <w:pStyle w:val="1296"/>
              <w:pBdr/>
              <w:spacing/>
              <w:ind/>
              <w:rPr/>
            </w:pPr>
            <w:r>
              <w:t xml:space="preserve">PROVISIONAL</w:t>
            </w:r>
            <w:r/>
          </w:p>
        </w:tc>
        <w:tc>
          <w:tcPr>
            <w:tcBorders/>
            <w:tcMar>
              <w:left w:w="70" w:type="dxa"/>
              <w:top w:w="60" w:type="dxa"/>
              <w:right w:w="70" w:type="dxa"/>
              <w:bottom w:w="60" w:type="dxa"/>
            </w:tcMar>
            <w:tcW w:w="2610" w:type="dxa"/>
            <w:vAlign w:val="top"/>
          </w:tcPr>
          <w:p>
            <w:pPr>
              <w:pStyle w:val="1296"/>
              <w:pBdr/>
              <w:spacing/>
              <w:ind/>
              <w:rPr/>
            </w:pPr>
            <w:r>
              <w:t xml:space="preserve">PROJECT-GATE DEPENDENT</w:t>
            </w:r>
            <w:r/>
          </w:p>
        </w:tc>
      </w:tr>
      <w:tr>
        <w:trPr>
          <w:cantSplit/>
        </w:trPr>
        <w:tc>
          <w:tcPr>
            <w:shd w:val="clear" w:color="auto" w:fill="f7f9fa"/>
            <w:tcBorders/>
            <w:tcMar>
              <w:left w:w="70" w:type="dxa"/>
              <w:top w:w="60" w:type="dxa"/>
              <w:right w:w="70" w:type="dxa"/>
              <w:bottom w:w="60" w:type="dxa"/>
            </w:tcMar>
            <w:tcW w:w="652" w:type="dxa"/>
            <w:vAlign w:val="top"/>
          </w:tcPr>
          <w:p>
            <w:pPr>
              <w:pStyle w:val="1296"/>
              <w:pBdr/>
              <w:spacing/>
              <w:ind/>
              <w:rPr/>
            </w:pPr>
            <w:r>
              <w:t xml:space="preserve">20</w:t>
            </w:r>
            <w:r/>
          </w:p>
        </w:tc>
        <w:tc>
          <w:tcPr>
            <w:shd w:val="clear" w:color="auto" w:fill="f7f9fa"/>
            <w:tcBorders/>
            <w:tcMar>
              <w:left w:w="70" w:type="dxa"/>
              <w:top w:w="60" w:type="dxa"/>
              <w:right w:w="70" w:type="dxa"/>
              <w:bottom w:w="60" w:type="dxa"/>
            </w:tcMar>
            <w:tcW w:w="4712" w:type="dxa"/>
            <w:vAlign w:val="top"/>
          </w:tcPr>
          <w:p>
            <w:pPr>
              <w:pStyle w:val="1296"/>
              <w:pBdr/>
              <w:spacing/>
              <w:ind/>
              <w:rPr/>
            </w:pPr>
            <w:r>
              <w:t xml:space="preserve">What Comparison Establishes—and Where It Must Stop</w:t>
            </w:r>
            <w:r/>
          </w:p>
        </w:tc>
        <w:tc>
          <w:tcPr>
            <w:shd w:val="clear" w:color="auto" w:fill="f7f9fa"/>
            <w:tcBorders/>
            <w:tcMar>
              <w:left w:w="70" w:type="dxa"/>
              <w:top w:w="60" w:type="dxa"/>
              <w:right w:w="70" w:type="dxa"/>
              <w:bottom w:w="60" w:type="dxa"/>
            </w:tcMar>
            <w:tcW w:w="2030" w:type="dxa"/>
            <w:vAlign w:val="top"/>
          </w:tcPr>
          <w:p>
            <w:pPr>
              <w:pStyle w:val="1296"/>
              <w:pBdr/>
              <w:spacing/>
              <w:ind/>
              <w:rPr/>
            </w:pPr>
            <w:r>
              <w:t xml:space="preserve">VERY HIGH</w:t>
            </w:r>
            <w:r/>
          </w:p>
        </w:tc>
        <w:tc>
          <w:tcPr>
            <w:shd w:val="clear" w:color="auto" w:fill="f7f9fa"/>
            <w:tcBorders/>
            <w:tcMar>
              <w:left w:w="70" w:type="dxa"/>
              <w:top w:w="60" w:type="dxa"/>
              <w:right w:w="70" w:type="dxa"/>
              <w:bottom w:w="60" w:type="dxa"/>
            </w:tcMar>
            <w:tcW w:w="2610" w:type="dxa"/>
            <w:vAlign w:val="top"/>
          </w:tcPr>
          <w:p>
            <w:pPr>
              <w:pStyle w:val="1296"/>
              <w:pBdr/>
              <w:spacing/>
              <w:ind/>
              <w:rPr/>
            </w:pPr>
            <w:r>
              <w:t xml:space="preserve">PROJECT-GATE DEPENDENT</w:t>
            </w:r>
            <w:r/>
          </w:p>
        </w:tc>
      </w:tr>
    </w:tbl>
    <w:p>
      <w:pPr>
        <w:pStyle w:val="1300"/>
        <w:pBdr/>
        <w:spacing/>
        <w:ind/>
        <w:rPr/>
      </w:pPr>
      <w:r/>
      <w:r/>
    </w:p>
    <w:p>
      <w:pPr>
        <w:pStyle w:val="1136"/>
        <w:keepNext w:val="true"/>
        <w:keepLines w:val="true"/>
        <w:pBdr/>
        <w:spacing/>
        <w:ind/>
        <w:rPr/>
      </w:pPr>
      <w:r/>
      <w:bookmarkStart w:id="214" w:name="S2"/>
      <w:r>
        <w:t xml:space="preserve">S2. Comparative hypothesis maturity</w:t>
      </w:r>
      <w:bookmarkEnd w:id="214"/>
      <w:r/>
      <w:r/>
    </w:p>
    <w:p>
      <w:pPr>
        <w:pStyle w:val="1184"/>
        <w:keepNext w:val="true"/>
        <w:keepLines w:val="true"/>
        <w:pBdr/>
        <w:spacing/>
        <w:ind/>
        <w:rPr/>
      </w:pPr>
      <w:r/>
      <w:bookmarkStart w:id="215" w:name="T_PATTERN_STATUS"/>
      <w:r>
        <w:t xml:space="preserve">Historical snapshot — Pattern and fault-line maturity as of 28 July 2026</w:t>
      </w:r>
      <w:bookmarkEnd w:id="215"/>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798"/>
        <w:gridCol w:w="7104"/>
        <w:gridCol w:w="1015"/>
        <w:gridCol w:w="1087"/>
      </w:tblGrid>
      <w:tr>
        <w:trPr>
          <w:cantSplit/>
          <w:tblHeader/>
        </w:trPr>
        <w:tc>
          <w:tcPr>
            <w:shd w:val="clear" w:color="auto" w:fill="1f5a73"/>
            <w:tcBorders/>
            <w:tcMar>
              <w:left w:w="70" w:type="dxa"/>
              <w:top w:w="60" w:type="dxa"/>
              <w:right w:w="70" w:type="dxa"/>
              <w:bottom w:w="60" w:type="dxa"/>
            </w:tcMar>
            <w:tcW w:w="798" w:type="dxa"/>
            <w:vAlign w:val="top"/>
          </w:tcPr>
          <w:p>
            <w:pPr>
              <w:pStyle w:val="1298"/>
              <w:pBdr/>
              <w:spacing/>
              <w:ind/>
              <w:rPr/>
            </w:pPr>
            <w:r>
              <w:t xml:space="preserve">ID</w:t>
            </w:r>
            <w:r/>
          </w:p>
        </w:tc>
        <w:tc>
          <w:tcPr>
            <w:shd w:val="clear" w:color="auto" w:fill="1f5a73"/>
            <w:tcBorders/>
            <w:tcMar>
              <w:left w:w="70" w:type="dxa"/>
              <w:top w:w="60" w:type="dxa"/>
              <w:right w:w="70" w:type="dxa"/>
              <w:bottom w:w="60" w:type="dxa"/>
            </w:tcMar>
            <w:tcW w:w="7104" w:type="dxa"/>
            <w:vAlign w:val="top"/>
          </w:tcPr>
          <w:p>
            <w:pPr>
              <w:pStyle w:val="1298"/>
              <w:pBdr/>
              <w:spacing/>
              <w:ind/>
              <w:rPr/>
            </w:pPr>
            <w:r>
              <w:t xml:space="preserve">Motif or fault line</w:t>
            </w:r>
            <w:r/>
          </w:p>
        </w:tc>
        <w:tc>
          <w:tcPr>
            <w:shd w:val="clear" w:color="auto" w:fill="1f5a73"/>
            <w:tcBorders/>
            <w:tcMar>
              <w:left w:w="70" w:type="dxa"/>
              <w:top w:w="60" w:type="dxa"/>
              <w:right w:w="70" w:type="dxa"/>
              <w:bottom w:w="60" w:type="dxa"/>
            </w:tcMar>
            <w:tcW w:w="1015" w:type="dxa"/>
            <w:vAlign w:val="top"/>
          </w:tcPr>
          <w:p>
            <w:pPr>
              <w:pStyle w:val="1298"/>
              <w:pBdr/>
              <w:spacing/>
              <w:ind/>
              <w:rPr/>
            </w:pPr>
            <w:r>
              <w:t xml:space="preserve">Level</w:t>
            </w:r>
            <w:r/>
          </w:p>
        </w:tc>
        <w:tc>
          <w:tcPr>
            <w:shd w:val="clear" w:color="auto" w:fill="1f5a73"/>
            <w:tcBorders/>
            <w:tcMar>
              <w:left w:w="70" w:type="dxa"/>
              <w:top w:w="60" w:type="dxa"/>
              <w:right w:w="70" w:type="dxa"/>
              <w:bottom w:w="60" w:type="dxa"/>
            </w:tcMar>
            <w:tcW w:w="1087" w:type="dxa"/>
            <w:vAlign w:val="top"/>
          </w:tcPr>
          <w:p>
            <w:pPr>
              <w:pStyle w:val="1298"/>
              <w:pBdr/>
              <w:spacing/>
              <w:ind/>
              <w:rPr/>
            </w:pPr>
            <w:r>
              <w:t xml:space="preserve">Maturity</w:t>
            </w:r>
            <w:r/>
          </w:p>
        </w:tc>
      </w:tr>
      <w:tr>
        <w:trPr>
          <w:cantSplit/>
        </w:trPr>
        <w:tc>
          <w:tcPr>
            <w:tcBorders/>
            <w:tcMar>
              <w:left w:w="70" w:type="dxa"/>
              <w:top w:w="60" w:type="dxa"/>
              <w:right w:w="70" w:type="dxa"/>
              <w:bottom w:w="60" w:type="dxa"/>
            </w:tcMar>
            <w:tcW w:w="798" w:type="dxa"/>
            <w:vAlign w:val="top"/>
          </w:tcPr>
          <w:p>
            <w:pPr>
              <w:pStyle w:val="1296"/>
              <w:pBdr/>
              <w:spacing/>
              <w:ind/>
              <w:rPr/>
            </w:pPr>
            <w:r>
              <w:t xml:space="preserve">P1</w:t>
            </w:r>
            <w:r/>
          </w:p>
        </w:tc>
        <w:tc>
          <w:tcPr>
            <w:tcBorders/>
            <w:tcMar>
              <w:left w:w="70" w:type="dxa"/>
              <w:top w:w="60" w:type="dxa"/>
              <w:right w:w="70" w:type="dxa"/>
              <w:bottom w:w="60" w:type="dxa"/>
            </w:tcMar>
            <w:tcW w:w="7104" w:type="dxa"/>
            <w:vAlign w:val="top"/>
          </w:tcPr>
          <w:p>
            <w:pPr>
              <w:pStyle w:val="1296"/>
              <w:pBdr/>
              <w:spacing/>
              <w:ind/>
              <w:rPr/>
            </w:pPr>
            <w:r>
              <w:t xml:space="preserve">Misidentification / epistemic distortion</w:t>
            </w:r>
            <w:r/>
          </w:p>
        </w:tc>
        <w:tc>
          <w:tcPr>
            <w:tcBorders/>
            <w:tcMar>
              <w:left w:w="70" w:type="dxa"/>
              <w:top w:w="60" w:type="dxa"/>
              <w:right w:w="70" w:type="dxa"/>
              <w:bottom w:w="60" w:type="dxa"/>
            </w:tcMar>
            <w:tcW w:w="1015" w:type="dxa"/>
            <w:vAlign w:val="top"/>
          </w:tcPr>
          <w:p>
            <w:pPr>
              <w:pStyle w:val="1296"/>
              <w:pBdr/>
              <w:spacing/>
              <w:ind/>
              <w:rPr/>
            </w:pPr>
            <w:r>
              <w:t xml:space="preserve">L2</w:t>
            </w:r>
            <w:r/>
          </w:p>
        </w:tc>
        <w:tc>
          <w:tcPr>
            <w:tcBorders/>
            <w:tcMar>
              <w:left w:w="70" w:type="dxa"/>
              <w:top w:w="60" w:type="dxa"/>
              <w:right w:w="70" w:type="dxa"/>
              <w:bottom w:w="60" w:type="dxa"/>
            </w:tcMar>
            <w:tcW w:w="1087" w:type="dxa"/>
            <w:vAlign w:val="top"/>
          </w:tcPr>
          <w:p>
            <w:pPr>
              <w:pStyle w:val="1296"/>
              <w:pBdr/>
              <w:spacing/>
              <w:ind/>
              <w:rPr/>
            </w:pPr>
            <w:r>
              <w:t xml:space="preserve">PROPOSED</w:t>
            </w:r>
            <w:r/>
          </w:p>
        </w:tc>
      </w:tr>
      <w:tr>
        <w:trPr>
          <w:cantSplit/>
        </w:trPr>
        <w:tc>
          <w:tcPr>
            <w:shd w:val="clear" w:color="auto" w:fill="f7f9fa"/>
            <w:tcBorders/>
            <w:tcMar>
              <w:left w:w="70" w:type="dxa"/>
              <w:top w:w="60" w:type="dxa"/>
              <w:right w:w="70" w:type="dxa"/>
              <w:bottom w:w="60" w:type="dxa"/>
            </w:tcMar>
            <w:tcW w:w="798" w:type="dxa"/>
            <w:vAlign w:val="top"/>
          </w:tcPr>
          <w:p>
            <w:pPr>
              <w:pStyle w:val="1296"/>
              <w:pBdr/>
              <w:spacing/>
              <w:ind/>
              <w:rPr/>
            </w:pPr>
            <w:r>
              <w:t xml:space="preserve">P2</w:t>
            </w:r>
            <w:r/>
          </w:p>
        </w:tc>
        <w:tc>
          <w:tcPr>
            <w:shd w:val="clear" w:color="auto" w:fill="f7f9fa"/>
            <w:tcBorders/>
            <w:tcMar>
              <w:left w:w="70" w:type="dxa"/>
              <w:top w:w="60" w:type="dxa"/>
              <w:right w:w="70" w:type="dxa"/>
              <w:bottom w:w="60" w:type="dxa"/>
            </w:tcMar>
            <w:tcW w:w="7104" w:type="dxa"/>
            <w:vAlign w:val="top"/>
          </w:tcPr>
          <w:p>
            <w:pPr>
              <w:pStyle w:val="1296"/>
              <w:pBdr/>
              <w:spacing/>
              <w:ind/>
              <w:rPr/>
            </w:pPr>
            <w:r>
              <w:t xml:space="preserve">World as disclosure / participation / patterned immanence</w:t>
            </w:r>
            <w:r/>
          </w:p>
        </w:tc>
        <w:tc>
          <w:tcPr>
            <w:shd w:val="clear" w:color="auto" w:fill="f7f9fa"/>
            <w:tcBorders/>
            <w:tcMar>
              <w:left w:w="70" w:type="dxa"/>
              <w:top w:w="60" w:type="dxa"/>
              <w:right w:w="70" w:type="dxa"/>
              <w:bottom w:w="60" w:type="dxa"/>
            </w:tcMar>
            <w:tcW w:w="1015" w:type="dxa"/>
            <w:vAlign w:val="top"/>
          </w:tcPr>
          <w:p>
            <w:pPr>
              <w:pStyle w:val="1296"/>
              <w:pBdr/>
              <w:spacing/>
              <w:ind/>
              <w:rPr/>
            </w:pPr>
            <w:r>
              <w:t xml:space="preserve">L2</w:t>
            </w:r>
            <w:r/>
          </w:p>
        </w:tc>
        <w:tc>
          <w:tcPr>
            <w:shd w:val="clear" w:color="auto" w:fill="f7f9fa"/>
            <w:tcBorders/>
            <w:tcMar>
              <w:left w:w="70" w:type="dxa"/>
              <w:top w:w="60" w:type="dxa"/>
              <w:right w:w="70" w:type="dxa"/>
              <w:bottom w:w="60" w:type="dxa"/>
            </w:tcMar>
            <w:tcW w:w="1087" w:type="dxa"/>
            <w:vAlign w:val="top"/>
          </w:tcPr>
          <w:p>
            <w:pPr>
              <w:pStyle w:val="1296"/>
              <w:pBdr/>
              <w:spacing/>
              <w:ind/>
              <w:rPr/>
            </w:pPr>
            <w:r>
              <w:t xml:space="preserve">PROPOSED</w:t>
            </w:r>
            <w:r/>
          </w:p>
        </w:tc>
      </w:tr>
      <w:tr>
        <w:trPr>
          <w:cantSplit/>
        </w:trPr>
        <w:tc>
          <w:tcPr>
            <w:tcBorders/>
            <w:tcMar>
              <w:left w:w="70" w:type="dxa"/>
              <w:top w:w="60" w:type="dxa"/>
              <w:right w:w="70" w:type="dxa"/>
              <w:bottom w:w="60" w:type="dxa"/>
            </w:tcMar>
            <w:tcW w:w="798" w:type="dxa"/>
            <w:vAlign w:val="top"/>
          </w:tcPr>
          <w:p>
            <w:pPr>
              <w:pStyle w:val="1296"/>
              <w:pBdr/>
              <w:spacing/>
              <w:ind/>
              <w:rPr/>
            </w:pPr>
            <w:r>
              <w:t xml:space="preserve">P3</w:t>
            </w:r>
            <w:r/>
          </w:p>
        </w:tc>
        <w:tc>
          <w:tcPr>
            <w:tcBorders/>
            <w:tcMar>
              <w:left w:w="70" w:type="dxa"/>
              <w:top w:w="60" w:type="dxa"/>
              <w:right w:w="70" w:type="dxa"/>
              <w:bottom w:w="60" w:type="dxa"/>
            </w:tcMar>
            <w:tcW w:w="7104" w:type="dxa"/>
            <w:vAlign w:val="top"/>
          </w:tcPr>
          <w:p>
            <w:pPr>
              <w:pStyle w:val="1296"/>
              <w:pBdr/>
              <w:spacing/>
              <w:ind/>
              <w:rPr/>
            </w:pPr>
            <w:r>
              <w:t xml:space="preserve">World as constraint / exit orientation</w:t>
            </w:r>
            <w:r/>
          </w:p>
        </w:tc>
        <w:tc>
          <w:tcPr>
            <w:tcBorders/>
            <w:tcMar>
              <w:left w:w="70" w:type="dxa"/>
              <w:top w:w="60" w:type="dxa"/>
              <w:right w:w="70" w:type="dxa"/>
              <w:bottom w:w="60" w:type="dxa"/>
            </w:tcMar>
            <w:tcW w:w="1015" w:type="dxa"/>
            <w:vAlign w:val="top"/>
          </w:tcPr>
          <w:p>
            <w:pPr>
              <w:pStyle w:val="1296"/>
              <w:pBdr/>
              <w:spacing/>
              <w:ind/>
              <w:rPr/>
            </w:pPr>
            <w:r>
              <w:t xml:space="preserve">L2</w:t>
            </w:r>
            <w:r/>
          </w:p>
        </w:tc>
        <w:tc>
          <w:tcPr>
            <w:tcBorders/>
            <w:tcMar>
              <w:left w:w="70" w:type="dxa"/>
              <w:top w:w="60" w:type="dxa"/>
              <w:right w:w="70" w:type="dxa"/>
              <w:bottom w:w="60" w:type="dxa"/>
            </w:tcMar>
            <w:tcW w:w="1087" w:type="dxa"/>
            <w:vAlign w:val="top"/>
          </w:tcPr>
          <w:p>
            <w:pPr>
              <w:pStyle w:val="1296"/>
              <w:pBdr/>
              <w:spacing/>
              <w:ind/>
              <w:rPr/>
            </w:pPr>
            <w:r>
              <w:t xml:space="preserve">PROPOSED</w:t>
            </w:r>
            <w:r/>
          </w:p>
        </w:tc>
      </w:tr>
      <w:tr>
        <w:trPr>
          <w:cantSplit/>
        </w:trPr>
        <w:tc>
          <w:tcPr>
            <w:shd w:val="clear" w:color="auto" w:fill="f7f9fa"/>
            <w:tcBorders/>
            <w:tcMar>
              <w:left w:w="70" w:type="dxa"/>
              <w:top w:w="60" w:type="dxa"/>
              <w:right w:w="70" w:type="dxa"/>
              <w:bottom w:w="60" w:type="dxa"/>
            </w:tcMar>
            <w:tcW w:w="798" w:type="dxa"/>
            <w:vAlign w:val="top"/>
          </w:tcPr>
          <w:p>
            <w:pPr>
              <w:pStyle w:val="1296"/>
              <w:pBdr/>
              <w:spacing/>
              <w:ind/>
              <w:rPr/>
            </w:pPr>
            <w:r>
              <w:t xml:space="preserve">P4</w:t>
            </w:r>
            <w:r/>
          </w:p>
        </w:tc>
        <w:tc>
          <w:tcPr>
            <w:shd w:val="clear" w:color="auto" w:fill="f7f9fa"/>
            <w:tcBorders/>
            <w:tcMar>
              <w:left w:w="70" w:type="dxa"/>
              <w:top w:w="60" w:type="dxa"/>
              <w:right w:w="70" w:type="dxa"/>
              <w:bottom w:w="60" w:type="dxa"/>
            </w:tcMar>
            <w:tcW w:w="7104" w:type="dxa"/>
            <w:vAlign w:val="top"/>
          </w:tcPr>
          <w:p>
            <w:pPr>
              <w:pStyle w:val="1296"/>
              <w:pBdr/>
              <w:spacing/>
              <w:ind/>
              <w:rPr/>
            </w:pPr>
            <w:r>
              <w:t xml:space="preserve">No fixed substantial self</w:t>
            </w:r>
            <w:r/>
          </w:p>
        </w:tc>
        <w:tc>
          <w:tcPr>
            <w:shd w:val="clear" w:color="auto" w:fill="f7f9fa"/>
            <w:tcBorders/>
            <w:tcMar>
              <w:left w:w="70" w:type="dxa"/>
              <w:top w:w="60" w:type="dxa"/>
              <w:right w:w="70" w:type="dxa"/>
              <w:bottom w:w="60" w:type="dxa"/>
            </w:tcMar>
            <w:tcW w:w="1015" w:type="dxa"/>
            <w:vAlign w:val="top"/>
          </w:tcPr>
          <w:p>
            <w:pPr>
              <w:pStyle w:val="1296"/>
              <w:pBdr/>
              <w:spacing/>
              <w:ind/>
              <w:rPr/>
            </w:pPr>
            <w:r>
              <w:t xml:space="preserve">L2</w:t>
            </w:r>
            <w:r/>
          </w:p>
        </w:tc>
        <w:tc>
          <w:tcPr>
            <w:shd w:val="clear" w:color="auto" w:fill="f7f9fa"/>
            <w:tcBorders/>
            <w:tcMar>
              <w:left w:w="70" w:type="dxa"/>
              <w:top w:w="60" w:type="dxa"/>
              <w:right w:w="70" w:type="dxa"/>
              <w:bottom w:w="60" w:type="dxa"/>
            </w:tcMar>
            <w:tcW w:w="1087" w:type="dxa"/>
            <w:vAlign w:val="top"/>
          </w:tcPr>
          <w:p>
            <w:pPr>
              <w:pStyle w:val="1296"/>
              <w:pBdr/>
              <w:spacing/>
              <w:ind/>
              <w:rPr/>
            </w:pPr>
            <w:r>
              <w:t xml:space="preserve">PROPOSED</w:t>
            </w:r>
            <w:r/>
          </w:p>
        </w:tc>
      </w:tr>
      <w:tr>
        <w:trPr>
          <w:cantSplit/>
        </w:trPr>
        <w:tc>
          <w:tcPr>
            <w:tcBorders/>
            <w:tcMar>
              <w:left w:w="70" w:type="dxa"/>
              <w:top w:w="60" w:type="dxa"/>
              <w:right w:w="70" w:type="dxa"/>
              <w:bottom w:w="60" w:type="dxa"/>
            </w:tcMar>
            <w:tcW w:w="798" w:type="dxa"/>
            <w:vAlign w:val="top"/>
          </w:tcPr>
          <w:p>
            <w:pPr>
              <w:pStyle w:val="1296"/>
              <w:pBdr/>
              <w:spacing/>
              <w:ind/>
              <w:rPr/>
            </w:pPr>
            <w:r>
              <w:t xml:space="preserve">P5</w:t>
            </w:r>
            <w:r/>
          </w:p>
        </w:tc>
        <w:tc>
          <w:tcPr>
            <w:tcBorders/>
            <w:tcMar>
              <w:left w:w="70" w:type="dxa"/>
              <w:top w:w="60" w:type="dxa"/>
              <w:right w:w="70" w:type="dxa"/>
              <w:bottom w:w="60" w:type="dxa"/>
            </w:tcMar>
            <w:tcW w:w="7104" w:type="dxa"/>
            <w:vAlign w:val="top"/>
          </w:tcPr>
          <w:p>
            <w:pPr>
              <w:pStyle w:val="1296"/>
              <w:pBdr/>
              <w:spacing/>
              <w:ind/>
              <w:rPr/>
            </w:pPr>
            <w:r>
              <w:t xml:space="preserve">Consciousness as fundamental</w:t>
            </w:r>
            <w:r/>
          </w:p>
        </w:tc>
        <w:tc>
          <w:tcPr>
            <w:tcBorders/>
            <w:tcMar>
              <w:left w:w="70" w:type="dxa"/>
              <w:top w:w="60" w:type="dxa"/>
              <w:right w:w="70" w:type="dxa"/>
              <w:bottom w:w="60" w:type="dxa"/>
            </w:tcMar>
            <w:tcW w:w="1015" w:type="dxa"/>
            <w:vAlign w:val="top"/>
          </w:tcPr>
          <w:p>
            <w:pPr>
              <w:pStyle w:val="1296"/>
              <w:pBdr/>
              <w:spacing/>
              <w:ind/>
              <w:rPr/>
            </w:pPr>
            <w:r>
              <w:t xml:space="preserve">L2</w:t>
            </w:r>
            <w:r/>
          </w:p>
        </w:tc>
        <w:tc>
          <w:tcPr>
            <w:tcBorders/>
            <w:tcMar>
              <w:left w:w="70" w:type="dxa"/>
              <w:top w:w="60" w:type="dxa"/>
              <w:right w:w="70" w:type="dxa"/>
              <w:bottom w:w="60" w:type="dxa"/>
            </w:tcMar>
            <w:tcW w:w="1087" w:type="dxa"/>
            <w:vAlign w:val="top"/>
          </w:tcPr>
          <w:p>
            <w:pPr>
              <w:pStyle w:val="1296"/>
              <w:pBdr/>
              <w:spacing/>
              <w:ind/>
              <w:rPr/>
            </w:pPr>
            <w:r>
              <w:t xml:space="preserve">PROPOSED</w:t>
            </w:r>
            <w:r/>
          </w:p>
        </w:tc>
      </w:tr>
      <w:tr>
        <w:trPr>
          <w:cantSplit/>
        </w:trPr>
        <w:tc>
          <w:tcPr>
            <w:shd w:val="clear" w:color="auto" w:fill="f7f9fa"/>
            <w:tcBorders/>
            <w:tcMar>
              <w:left w:w="70" w:type="dxa"/>
              <w:top w:w="60" w:type="dxa"/>
              <w:right w:w="70" w:type="dxa"/>
              <w:bottom w:w="60" w:type="dxa"/>
            </w:tcMar>
            <w:tcW w:w="798" w:type="dxa"/>
            <w:vAlign w:val="top"/>
          </w:tcPr>
          <w:p>
            <w:pPr>
              <w:pStyle w:val="1296"/>
              <w:pBdr/>
              <w:spacing/>
              <w:ind/>
              <w:rPr/>
            </w:pPr>
            <w:r>
              <w:t xml:space="preserve">P6</w:t>
            </w:r>
            <w:r/>
          </w:p>
        </w:tc>
        <w:tc>
          <w:tcPr>
            <w:shd w:val="clear" w:color="auto" w:fill="f7f9fa"/>
            <w:tcBorders/>
            <w:tcMar>
              <w:left w:w="70" w:type="dxa"/>
              <w:top w:w="60" w:type="dxa"/>
              <w:right w:w="70" w:type="dxa"/>
              <w:bottom w:w="60" w:type="dxa"/>
            </w:tcMar>
            <w:tcW w:w="7104" w:type="dxa"/>
            <w:vAlign w:val="top"/>
          </w:tcPr>
          <w:p>
            <w:pPr>
              <w:pStyle w:val="1296"/>
              <w:pBdr/>
              <w:spacing/>
              <w:ind/>
              <w:rPr/>
            </w:pPr>
            <w:r>
              <w:t xml:space="preserve">Causal order and agency are analytically separable</w:t>
            </w:r>
            <w:r/>
          </w:p>
        </w:tc>
        <w:tc>
          <w:tcPr>
            <w:shd w:val="clear" w:color="auto" w:fill="f7f9fa"/>
            <w:tcBorders/>
            <w:tcMar>
              <w:left w:w="70" w:type="dxa"/>
              <w:top w:w="60" w:type="dxa"/>
              <w:right w:w="70" w:type="dxa"/>
              <w:bottom w:w="60" w:type="dxa"/>
            </w:tcMar>
            <w:tcW w:w="1015" w:type="dxa"/>
            <w:vAlign w:val="top"/>
          </w:tcPr>
          <w:p>
            <w:pPr>
              <w:pStyle w:val="1296"/>
              <w:pBdr/>
              <w:spacing/>
              <w:ind/>
              <w:rPr/>
            </w:pPr>
            <w:r>
              <w:t xml:space="preserve">L2</w:t>
            </w:r>
            <w:r/>
          </w:p>
        </w:tc>
        <w:tc>
          <w:tcPr>
            <w:shd w:val="clear" w:color="auto" w:fill="f7f9fa"/>
            <w:tcBorders/>
            <w:tcMar>
              <w:left w:w="70" w:type="dxa"/>
              <w:top w:w="60" w:type="dxa"/>
              <w:right w:w="70" w:type="dxa"/>
              <w:bottom w:w="60" w:type="dxa"/>
            </w:tcMar>
            <w:tcW w:w="1087" w:type="dxa"/>
            <w:vAlign w:val="top"/>
          </w:tcPr>
          <w:p>
            <w:pPr>
              <w:pStyle w:val="1296"/>
              <w:pBdr/>
              <w:spacing/>
              <w:ind/>
              <w:rPr/>
            </w:pPr>
            <w:r>
              <w:t xml:space="preserve">PROPOSED</w:t>
            </w:r>
            <w:r/>
          </w:p>
        </w:tc>
      </w:tr>
      <w:tr>
        <w:trPr>
          <w:cantSplit/>
        </w:trPr>
        <w:tc>
          <w:tcPr>
            <w:tcBorders/>
            <w:tcMar>
              <w:left w:w="70" w:type="dxa"/>
              <w:top w:w="60" w:type="dxa"/>
              <w:right w:w="70" w:type="dxa"/>
              <w:bottom w:w="60" w:type="dxa"/>
            </w:tcMar>
            <w:tcW w:w="798" w:type="dxa"/>
            <w:vAlign w:val="top"/>
          </w:tcPr>
          <w:p>
            <w:pPr>
              <w:pStyle w:val="1296"/>
              <w:pBdr/>
              <w:spacing/>
              <w:ind/>
              <w:rPr/>
            </w:pPr>
            <w:r>
              <w:t xml:space="preserve">P7</w:t>
            </w:r>
            <w:r/>
          </w:p>
        </w:tc>
        <w:tc>
          <w:tcPr>
            <w:tcBorders/>
            <w:tcMar>
              <w:left w:w="70" w:type="dxa"/>
              <w:top w:w="60" w:type="dxa"/>
              <w:right w:w="70" w:type="dxa"/>
              <w:bottom w:w="60" w:type="dxa"/>
            </w:tcMar>
            <w:tcW w:w="7104" w:type="dxa"/>
            <w:vAlign w:val="top"/>
          </w:tcPr>
          <w:p>
            <w:pPr>
              <w:pStyle w:val="1296"/>
              <w:pBdr/>
              <w:spacing/>
              <w:ind/>
              <w:rPr/>
            </w:pPr>
            <w:r>
              <w:t xml:space="preserve">Terminal versus open-ended transformation</w:t>
            </w:r>
            <w:r/>
          </w:p>
        </w:tc>
        <w:tc>
          <w:tcPr>
            <w:tcBorders/>
            <w:tcMar>
              <w:left w:w="70" w:type="dxa"/>
              <w:top w:w="60" w:type="dxa"/>
              <w:right w:w="70" w:type="dxa"/>
              <w:bottom w:w="60" w:type="dxa"/>
            </w:tcMar>
            <w:tcW w:w="1015" w:type="dxa"/>
            <w:vAlign w:val="top"/>
          </w:tcPr>
          <w:p>
            <w:pPr>
              <w:pStyle w:val="1296"/>
              <w:pBdr/>
              <w:spacing/>
              <w:ind/>
              <w:rPr/>
            </w:pPr>
            <w:r>
              <w:t xml:space="preserve">L2</w:t>
            </w:r>
            <w:r/>
          </w:p>
        </w:tc>
        <w:tc>
          <w:tcPr>
            <w:tcBorders/>
            <w:tcMar>
              <w:left w:w="70" w:type="dxa"/>
              <w:top w:w="60" w:type="dxa"/>
              <w:right w:w="70" w:type="dxa"/>
              <w:bottom w:w="60" w:type="dxa"/>
            </w:tcMar>
            <w:tcW w:w="1087" w:type="dxa"/>
            <w:vAlign w:val="top"/>
          </w:tcPr>
          <w:p>
            <w:pPr>
              <w:pStyle w:val="1296"/>
              <w:pBdr/>
              <w:spacing/>
              <w:ind/>
              <w:rPr/>
            </w:pPr>
            <w:r>
              <w:t xml:space="preserve">PROPOSED</w:t>
            </w:r>
            <w:r/>
          </w:p>
        </w:tc>
      </w:tr>
      <w:tr>
        <w:trPr>
          <w:cantSplit/>
        </w:trPr>
        <w:tc>
          <w:tcPr>
            <w:shd w:val="clear" w:color="auto" w:fill="f7f9fa"/>
            <w:tcBorders/>
            <w:tcMar>
              <w:left w:w="70" w:type="dxa"/>
              <w:top w:w="60" w:type="dxa"/>
              <w:right w:w="70" w:type="dxa"/>
              <w:bottom w:w="60" w:type="dxa"/>
            </w:tcMar>
            <w:tcW w:w="798" w:type="dxa"/>
            <w:vAlign w:val="top"/>
          </w:tcPr>
          <w:p>
            <w:pPr>
              <w:pStyle w:val="1296"/>
              <w:pBdr/>
              <w:spacing/>
              <w:ind/>
              <w:rPr/>
            </w:pPr>
            <w:r>
              <w:t xml:space="preserve">F1</w:t>
            </w:r>
            <w:r/>
          </w:p>
        </w:tc>
        <w:tc>
          <w:tcPr>
            <w:shd w:val="clear" w:color="auto" w:fill="f7f9fa"/>
            <w:tcBorders/>
            <w:tcMar>
              <w:left w:w="70" w:type="dxa"/>
              <w:top w:w="60" w:type="dxa"/>
              <w:right w:w="70" w:type="dxa"/>
              <w:bottom w:w="60" w:type="dxa"/>
            </w:tcMar>
            <w:tcW w:w="7104" w:type="dxa"/>
            <w:vAlign w:val="top"/>
          </w:tcPr>
          <w:p>
            <w:pPr>
              <w:pStyle w:val="1296"/>
              <w:pBdr/>
              <w:spacing/>
              <w:ind/>
              <w:rPr/>
            </w:pPr>
            <w:r>
              <w:t xml:space="preserve">Ultimate Self versus no-self / emptiness</w:t>
            </w:r>
            <w:r/>
          </w:p>
        </w:tc>
        <w:tc>
          <w:tcPr>
            <w:shd w:val="clear" w:color="auto" w:fill="f7f9fa"/>
            <w:tcBorders/>
            <w:tcMar>
              <w:left w:w="70" w:type="dxa"/>
              <w:top w:w="60" w:type="dxa"/>
              <w:right w:w="70" w:type="dxa"/>
              <w:bottom w:w="60" w:type="dxa"/>
            </w:tcMar>
            <w:tcW w:w="1015" w:type="dxa"/>
            <w:vAlign w:val="top"/>
          </w:tcPr>
          <w:p>
            <w:pPr>
              <w:pStyle w:val="1296"/>
              <w:pBdr/>
              <w:spacing/>
              <w:ind/>
              <w:rPr/>
            </w:pPr>
            <w:r>
              <w:t xml:space="preserve">L1</w:t>
            </w:r>
            <w:r/>
          </w:p>
        </w:tc>
        <w:tc>
          <w:tcPr>
            <w:shd w:val="clear" w:color="auto" w:fill="f7f9fa"/>
            <w:tcBorders/>
            <w:tcMar>
              <w:left w:w="70" w:type="dxa"/>
              <w:top w:w="60" w:type="dxa"/>
              <w:right w:w="70" w:type="dxa"/>
              <w:bottom w:w="60" w:type="dxa"/>
            </w:tcMar>
            <w:tcW w:w="1087" w:type="dxa"/>
            <w:vAlign w:val="top"/>
          </w:tcPr>
          <w:p>
            <w:pPr>
              <w:pStyle w:val="1296"/>
              <w:pBdr/>
              <w:spacing/>
              <w:ind/>
              <w:rPr/>
            </w:pPr>
            <w:r>
              <w:t xml:space="preserve">PROPOSED</w:t>
            </w:r>
            <w:r/>
          </w:p>
        </w:tc>
      </w:tr>
      <w:tr>
        <w:trPr>
          <w:cantSplit/>
        </w:trPr>
        <w:tc>
          <w:tcPr>
            <w:tcBorders/>
            <w:tcMar>
              <w:left w:w="70" w:type="dxa"/>
              <w:top w:w="60" w:type="dxa"/>
              <w:right w:w="70" w:type="dxa"/>
              <w:bottom w:w="60" w:type="dxa"/>
            </w:tcMar>
            <w:tcW w:w="798" w:type="dxa"/>
            <w:vAlign w:val="top"/>
          </w:tcPr>
          <w:p>
            <w:pPr>
              <w:pStyle w:val="1296"/>
              <w:pBdr/>
              <w:spacing/>
              <w:ind/>
              <w:rPr/>
            </w:pPr>
            <w:r>
              <w:t xml:space="preserve">F2</w:t>
            </w:r>
            <w:r/>
          </w:p>
        </w:tc>
        <w:tc>
          <w:tcPr>
            <w:tcBorders/>
            <w:tcMar>
              <w:left w:w="70" w:type="dxa"/>
              <w:top w:w="60" w:type="dxa"/>
              <w:right w:w="70" w:type="dxa"/>
              <w:bottom w:w="60" w:type="dxa"/>
            </w:tcMar>
            <w:tcW w:w="7104" w:type="dxa"/>
            <w:vAlign w:val="top"/>
          </w:tcPr>
          <w:p>
            <w:pPr>
              <w:pStyle w:val="1296"/>
              <w:pBdr/>
              <w:spacing/>
              <w:ind/>
              <w:rPr/>
            </w:pPr>
            <w:r>
              <w:t xml:space="preserve">Created-good world versus defective lower cosmos</w:t>
            </w:r>
            <w:r/>
          </w:p>
        </w:tc>
        <w:tc>
          <w:tcPr>
            <w:tcBorders/>
            <w:tcMar>
              <w:left w:w="70" w:type="dxa"/>
              <w:top w:w="60" w:type="dxa"/>
              <w:right w:w="70" w:type="dxa"/>
              <w:bottom w:w="60" w:type="dxa"/>
            </w:tcMar>
            <w:tcW w:w="1015" w:type="dxa"/>
            <w:vAlign w:val="top"/>
          </w:tcPr>
          <w:p>
            <w:pPr>
              <w:pStyle w:val="1296"/>
              <w:pBdr/>
              <w:spacing/>
              <w:ind/>
              <w:rPr/>
            </w:pPr>
            <w:r>
              <w:t xml:space="preserve">L1</w:t>
            </w:r>
            <w:r/>
          </w:p>
        </w:tc>
        <w:tc>
          <w:tcPr>
            <w:tcBorders/>
            <w:tcMar>
              <w:left w:w="70" w:type="dxa"/>
              <w:top w:w="60" w:type="dxa"/>
              <w:right w:w="70" w:type="dxa"/>
              <w:bottom w:w="60" w:type="dxa"/>
            </w:tcMar>
            <w:tcW w:w="1087" w:type="dxa"/>
            <w:vAlign w:val="top"/>
          </w:tcPr>
          <w:p>
            <w:pPr>
              <w:pStyle w:val="1296"/>
              <w:pBdr/>
              <w:spacing/>
              <w:ind/>
              <w:rPr/>
            </w:pPr>
            <w:r>
              <w:t xml:space="preserve">PROPOSED</w:t>
            </w:r>
            <w:r/>
          </w:p>
        </w:tc>
      </w:tr>
      <w:tr>
        <w:trPr>
          <w:cantSplit/>
        </w:trPr>
        <w:tc>
          <w:tcPr>
            <w:shd w:val="clear" w:color="auto" w:fill="f7f9fa"/>
            <w:tcBorders/>
            <w:tcMar>
              <w:left w:w="70" w:type="dxa"/>
              <w:top w:w="60" w:type="dxa"/>
              <w:right w:w="70" w:type="dxa"/>
              <w:bottom w:w="60" w:type="dxa"/>
            </w:tcMar>
            <w:tcW w:w="798" w:type="dxa"/>
            <w:vAlign w:val="top"/>
          </w:tcPr>
          <w:p>
            <w:pPr>
              <w:pStyle w:val="1296"/>
              <w:pBdr/>
              <w:spacing/>
              <w:ind/>
              <w:rPr/>
            </w:pPr>
            <w:r>
              <w:t xml:space="preserve">F3</w:t>
            </w:r>
            <w:r/>
          </w:p>
        </w:tc>
        <w:tc>
          <w:tcPr>
            <w:shd w:val="clear" w:color="auto" w:fill="f7f9fa"/>
            <w:tcBorders/>
            <w:tcMar>
              <w:left w:w="70" w:type="dxa"/>
              <w:top w:w="60" w:type="dxa"/>
              <w:right w:w="70" w:type="dxa"/>
              <w:bottom w:w="60" w:type="dxa"/>
            </w:tcMar>
            <w:tcW w:w="7104" w:type="dxa"/>
            <w:vAlign w:val="top"/>
          </w:tcPr>
          <w:p>
            <w:pPr>
              <w:pStyle w:val="1296"/>
              <w:pBdr/>
              <w:spacing/>
              <w:ind/>
              <w:rPr/>
            </w:pPr>
            <w:r>
              <w:t xml:space="preserve">Physical/emergent consciousness versus fundamental phenomenal base</w:t>
            </w:r>
            <w:r/>
          </w:p>
        </w:tc>
        <w:tc>
          <w:tcPr>
            <w:shd w:val="clear" w:color="auto" w:fill="f7f9fa"/>
            <w:tcBorders/>
            <w:tcMar>
              <w:left w:w="70" w:type="dxa"/>
              <w:top w:w="60" w:type="dxa"/>
              <w:right w:w="70" w:type="dxa"/>
              <w:bottom w:w="60" w:type="dxa"/>
            </w:tcMar>
            <w:tcW w:w="1015" w:type="dxa"/>
            <w:vAlign w:val="top"/>
          </w:tcPr>
          <w:p>
            <w:pPr>
              <w:pStyle w:val="1296"/>
              <w:pBdr/>
              <w:spacing/>
              <w:ind/>
              <w:rPr/>
            </w:pPr>
            <w:r>
              <w:t xml:space="preserve">L1</w:t>
            </w:r>
            <w:r/>
          </w:p>
        </w:tc>
        <w:tc>
          <w:tcPr>
            <w:shd w:val="clear" w:color="auto" w:fill="f7f9fa"/>
            <w:tcBorders/>
            <w:tcMar>
              <w:left w:w="70" w:type="dxa"/>
              <w:top w:w="60" w:type="dxa"/>
              <w:right w:w="70" w:type="dxa"/>
              <w:bottom w:w="60" w:type="dxa"/>
            </w:tcMar>
            <w:tcW w:w="1087" w:type="dxa"/>
            <w:vAlign w:val="top"/>
          </w:tcPr>
          <w:p>
            <w:pPr>
              <w:pStyle w:val="1296"/>
              <w:pBdr/>
              <w:spacing/>
              <w:ind/>
              <w:rPr/>
            </w:pPr>
            <w:r>
              <w:t xml:space="preserve">PROPOSED</w:t>
            </w:r>
            <w:r/>
          </w:p>
        </w:tc>
      </w:tr>
      <w:tr>
        <w:trPr>
          <w:cantSplit/>
        </w:trPr>
        <w:tc>
          <w:tcPr>
            <w:tcBorders/>
            <w:tcMar>
              <w:left w:w="70" w:type="dxa"/>
              <w:top w:w="60" w:type="dxa"/>
              <w:right w:w="70" w:type="dxa"/>
              <w:bottom w:w="60" w:type="dxa"/>
            </w:tcMar>
            <w:tcW w:w="798" w:type="dxa"/>
            <w:vAlign w:val="top"/>
          </w:tcPr>
          <w:p>
            <w:pPr>
              <w:pStyle w:val="1296"/>
              <w:pBdr/>
              <w:spacing/>
              <w:ind/>
              <w:rPr/>
            </w:pPr>
            <w:r>
              <w:t xml:space="preserve">F4</w:t>
            </w:r>
            <w:r/>
          </w:p>
        </w:tc>
        <w:tc>
          <w:tcPr>
            <w:tcBorders/>
            <w:tcMar>
              <w:left w:w="70" w:type="dxa"/>
              <w:top w:w="60" w:type="dxa"/>
              <w:right w:w="70" w:type="dxa"/>
              <w:bottom w:w="60" w:type="dxa"/>
            </w:tcMar>
            <w:tcW w:w="7104" w:type="dxa"/>
            <w:vAlign w:val="top"/>
          </w:tcPr>
          <w:p>
            <w:pPr>
              <w:pStyle w:val="1296"/>
              <w:pBdr/>
              <w:spacing/>
              <w:ind/>
              <w:rPr/>
            </w:pPr>
            <w:r>
              <w:t xml:space="preserve">Human-exclusive versus distributed interiority/personhood</w:t>
            </w:r>
            <w:r/>
          </w:p>
        </w:tc>
        <w:tc>
          <w:tcPr>
            <w:tcBorders/>
            <w:tcMar>
              <w:left w:w="70" w:type="dxa"/>
              <w:top w:w="60" w:type="dxa"/>
              <w:right w:w="70" w:type="dxa"/>
              <w:bottom w:w="60" w:type="dxa"/>
            </w:tcMar>
            <w:tcW w:w="1015" w:type="dxa"/>
            <w:vAlign w:val="top"/>
          </w:tcPr>
          <w:p>
            <w:pPr>
              <w:pStyle w:val="1296"/>
              <w:pBdr/>
              <w:spacing/>
              <w:ind/>
              <w:rPr/>
            </w:pPr>
            <w:r>
              <w:t xml:space="preserve">L1</w:t>
            </w:r>
            <w:r/>
          </w:p>
        </w:tc>
        <w:tc>
          <w:tcPr>
            <w:tcBorders/>
            <w:tcMar>
              <w:left w:w="70" w:type="dxa"/>
              <w:top w:w="60" w:type="dxa"/>
              <w:right w:w="70" w:type="dxa"/>
              <w:bottom w:w="60" w:type="dxa"/>
            </w:tcMar>
            <w:tcW w:w="1087" w:type="dxa"/>
            <w:vAlign w:val="top"/>
          </w:tcPr>
          <w:p>
            <w:pPr>
              <w:pStyle w:val="1296"/>
              <w:pBdr/>
              <w:spacing/>
              <w:ind/>
              <w:rPr/>
            </w:pPr>
            <w:r>
              <w:t xml:space="preserve">PROPOSED</w:t>
            </w:r>
            <w:r/>
          </w:p>
        </w:tc>
      </w:tr>
    </w:tbl>
    <w:p>
      <w:pPr>
        <w:pStyle w:val="1300"/>
        <w:pBdr/>
        <w:spacing/>
        <w:ind/>
        <w:rPr/>
      </w:pPr>
      <w:r/>
      <w:r/>
    </w:p>
    <w:p>
      <w:pPr>
        <w:pBdr/>
        <w:spacing/>
        <w:ind/>
        <w:rPr/>
        <w:sectPr>
          <w:headerReference w:type="default" r:id="rId18"/>
          <w:footerReference w:type="default" r:id="rId29"/>
          <w:footnotePr/>
          <w:endnotePr/>
          <w:type w:val="nextPage"/>
          <w:pgSz w:h="16838" w:orient="portrait" w:w="11906"/>
          <w:pgMar w:top="979" w:right="950" w:bottom="893" w:left="950" w:header="403" w:footer="403" w:gutter="0"/>
          <w:cols w:num="1" w:sep="0" w:space="720" w:equalWidth="1"/>
        </w:sectPr>
      </w:pPr>
      <w:r/>
      <w:r/>
    </w:p>
    <w:p>
      <w:pPr>
        <w:pStyle w:val="1136"/>
        <w:keepNext w:val="true"/>
        <w:keepLines w:val="true"/>
        <w:pBdr/>
        <w:spacing/>
        <w:ind/>
        <w:rPr/>
      </w:pPr>
      <w:r/>
      <w:bookmarkStart w:id="216" w:name="S3"/>
      <w:r>
        <w:t xml:space="preserve">S3. Dependency control register</w:t>
      </w:r>
      <w:bookmarkEnd w:id="216"/>
      <w:r/>
      <w:r/>
    </w:p>
    <w:p>
      <w:pPr>
        <w:pBdr/>
        <w:spacing/>
        <w:ind/>
        <w:rPr/>
      </w:pPr>
      <w:r>
        <w:t xml:space="preserve">The register below preserves the complete blocking question, affected location, owner/dependency and observable unblock criterion. Evidence/action and unresolved impact are separated into workstream views in S4.</w:t>
      </w:r>
      <w:r/>
    </w:p>
    <w:p>
      <w:pPr>
        <w:pStyle w:val="1300"/>
        <w:pBdr/>
        <w:spacing/>
        <w:ind/>
        <w:rPr/>
      </w:pPr>
      <w:r>
        <w:t xml:space="preserve">Scope and c</w:t>
      </w:r>
      <w:r>
        <w:t xml:space="preserve">learance authority, 16 September 2026. RG-35’s location is Part III §13 and Chapter 20 §20.6. The dated workstream entries retain their planning status; current capability/unit-clearance, editorial-role and evidence-versus-disposition rules are governed by</w:t>
      </w:r>
      <w:hyperlink w:tooltip="#SEC_12" w:anchor="SEC_12" w:history="1">
        <w:r>
          <w:t xml:space="preserve">§12, Dependency control and gate exposure</w:t>
        </w:r>
      </w:hyperlink>
      <w:r>
        <w:t xml:space="preserve">. A historical instruction to hold or narrow treatment is not evidence that its research requirement was satisfied.</w:t>
      </w:r>
      <w:r/>
    </w:p>
    <w:p>
      <w:pPr>
        <w:pStyle w:val="1184"/>
        <w:keepNext w:val="true"/>
        <w:keepLines w:val="true"/>
        <w:pBdr/>
        <w:spacing/>
        <w:ind/>
        <w:rPr/>
      </w:pPr>
      <w:r/>
      <w:bookmarkStart w:id="217" w:name="T_DEP_REGISTER"/>
      <w:r>
        <w:t xml:space="preserve">Historical snapshot — Publication dependency control register as of 28 July 2026</w:t>
      </w:r>
      <w:bookmarkEnd w:id="217"/>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815"/>
        <w:gridCol w:w="2148"/>
        <w:gridCol w:w="4739"/>
        <w:gridCol w:w="3110"/>
        <w:gridCol w:w="4443"/>
      </w:tblGrid>
      <w:tr>
        <w:trPr>
          <w:cantSplit/>
          <w:tblHeader/>
        </w:trPr>
        <w:tc>
          <w:tcPr>
            <w:shd w:val="clear" w:color="auto" w:fill="1f5a73"/>
            <w:tcBorders/>
            <w:tcMar>
              <w:left w:w="70" w:type="dxa"/>
              <w:top w:w="60" w:type="dxa"/>
              <w:right w:w="70" w:type="dxa"/>
              <w:bottom w:w="60" w:type="dxa"/>
            </w:tcMar>
            <w:tcW w:w="815" w:type="dxa"/>
            <w:vAlign w:val="top"/>
          </w:tcPr>
          <w:p>
            <w:pPr>
              <w:pStyle w:val="1299"/>
              <w:pBdr/>
              <w:spacing/>
              <w:ind/>
              <w:rPr/>
            </w:pPr>
            <w:r>
              <w:t xml:space="preserve">ID</w:t>
            </w:r>
            <w:r/>
          </w:p>
        </w:tc>
        <w:tc>
          <w:tcPr>
            <w:shd w:val="clear" w:color="auto" w:fill="1f5a73"/>
            <w:tcBorders/>
            <w:tcMar>
              <w:left w:w="70" w:type="dxa"/>
              <w:top w:w="60" w:type="dxa"/>
              <w:right w:w="70" w:type="dxa"/>
              <w:bottom w:w="60" w:type="dxa"/>
            </w:tcMar>
            <w:tcW w:w="2148" w:type="dxa"/>
            <w:vAlign w:val="top"/>
          </w:tcPr>
          <w:p>
            <w:pPr>
              <w:pStyle w:val="1299"/>
              <w:pBdr/>
              <w:spacing/>
              <w:ind/>
              <w:rPr/>
            </w:pPr>
            <w:r>
              <w:t xml:space="preserve">Affected location</w:t>
            </w:r>
            <w:r/>
          </w:p>
        </w:tc>
        <w:tc>
          <w:tcPr>
            <w:shd w:val="clear" w:color="auto" w:fill="1f5a73"/>
            <w:tcBorders/>
            <w:tcMar>
              <w:left w:w="70" w:type="dxa"/>
              <w:top w:w="60" w:type="dxa"/>
              <w:right w:w="70" w:type="dxa"/>
              <w:bottom w:w="60" w:type="dxa"/>
            </w:tcMar>
            <w:tcW w:w="4739" w:type="dxa"/>
            <w:vAlign w:val="top"/>
          </w:tcPr>
          <w:p>
            <w:pPr>
              <w:pStyle w:val="1299"/>
              <w:pBdr/>
              <w:spacing/>
              <w:ind/>
              <w:rPr/>
            </w:pPr>
            <w:r>
              <w:t xml:space="preserve">Blocking question</w:t>
            </w:r>
            <w:r/>
          </w:p>
        </w:tc>
        <w:tc>
          <w:tcPr>
            <w:shd w:val="clear" w:color="auto" w:fill="1f5a73"/>
            <w:tcBorders/>
            <w:tcMar>
              <w:left w:w="70" w:type="dxa"/>
              <w:top w:w="60" w:type="dxa"/>
              <w:right w:w="70" w:type="dxa"/>
              <w:bottom w:w="60" w:type="dxa"/>
            </w:tcMar>
            <w:tcW w:w="3110" w:type="dxa"/>
            <w:vAlign w:val="top"/>
          </w:tcPr>
          <w:p>
            <w:pPr>
              <w:pStyle w:val="1299"/>
              <w:pBdr/>
              <w:spacing/>
              <w:ind/>
              <w:rPr/>
            </w:pPr>
            <w:r>
              <w:t xml:space="preserve">Owner and dependency</w:t>
            </w:r>
            <w:r/>
          </w:p>
        </w:tc>
        <w:tc>
          <w:tcPr>
            <w:shd w:val="clear" w:color="auto" w:fill="1f5a73"/>
            <w:tcBorders/>
            <w:tcMar>
              <w:left w:w="70" w:type="dxa"/>
              <w:top w:w="60" w:type="dxa"/>
              <w:right w:w="70" w:type="dxa"/>
              <w:bottom w:w="60" w:type="dxa"/>
            </w:tcMar>
            <w:tcW w:w="4443" w:type="dxa"/>
            <w:vAlign w:val="top"/>
          </w:tcPr>
          <w:p>
            <w:pPr>
              <w:pStyle w:val="1299"/>
              <w:pBdr/>
              <w:spacing/>
              <w:ind/>
              <w:rPr/>
            </w:pPr>
            <w:r>
              <w:t xml:space="preserve">Observable unblock criterion</w:t>
            </w:r>
            <w:r/>
          </w:p>
        </w:tc>
      </w:tr>
      <w:tr>
        <w:trPr>
          <w:cantSplit/>
        </w:trPr>
        <w:tc>
          <w:tcPr>
            <w:tcBorders/>
            <w:tcMar>
              <w:left w:w="70" w:type="dxa"/>
              <w:top w:w="60" w:type="dxa"/>
              <w:right w:w="70" w:type="dxa"/>
              <w:bottom w:w="60" w:type="dxa"/>
            </w:tcMar>
            <w:tcW w:w="815" w:type="dxa"/>
            <w:vAlign w:val="top"/>
          </w:tcPr>
          <w:p>
            <w:pPr>
              <w:pStyle w:val="1297"/>
              <w:pBdr/>
              <w:spacing/>
              <w:ind/>
              <w:rPr/>
            </w:pPr>
            <w:r>
              <w:t xml:space="preserve">RG-01</w:t>
            </w:r>
            <w:r/>
          </w:p>
        </w:tc>
        <w:tc>
          <w:tcPr>
            <w:tcBorders/>
            <w:tcMar>
              <w:left w:w="70" w:type="dxa"/>
              <w:top w:w="60" w:type="dxa"/>
              <w:right w:w="70" w:type="dxa"/>
              <w:bottom w:w="60" w:type="dxa"/>
            </w:tcMar>
            <w:tcW w:w="2148" w:type="dxa"/>
            <w:vAlign w:val="top"/>
          </w:tcPr>
          <w:p>
            <w:pPr>
              <w:pStyle w:val="1297"/>
              <w:pBdr/>
              <w:spacing/>
              <w:ind/>
              <w:rPr/>
            </w:pPr>
            <w:r>
              <w:t xml:space="preserve">1.2.2 / 6.5 / 10.5 / 11.6 / 13.7 / 14.8 / 15.8</w:t>
            </w:r>
            <w:r/>
          </w:p>
        </w:tc>
        <w:tc>
          <w:tcPr>
            <w:tcBorders/>
            <w:tcMar>
              <w:left w:w="70" w:type="dxa"/>
              <w:top w:w="60" w:type="dxa"/>
              <w:right w:w="70" w:type="dxa"/>
              <w:bottom w:w="60" w:type="dxa"/>
            </w:tcMar>
            <w:tcW w:w="4739" w:type="dxa"/>
            <w:vAlign w:val="top"/>
          </w:tcPr>
          <w:p>
            <w:pPr>
              <w:pStyle w:val="1297"/>
              <w:pBdr/>
              <w:spacing/>
              <w:ind/>
              <w:rPr/>
            </w:pPr>
            <w:r>
              <w:t xml:space="preserve">Can the source-bounded Ifá position support release-grade oral/performance claims used in print?</w:t>
            </w:r>
            <w:r/>
          </w:p>
        </w:tc>
        <w:tc>
          <w:tcPr>
            <w:tcBorders/>
            <w:tcMar>
              <w:left w:w="70" w:type="dxa"/>
              <w:top w:w="60" w:type="dxa"/>
              <w:right w:w="70" w:type="dxa"/>
              <w:bottom w:w="60" w:type="dxa"/>
            </w:tcMar>
            <w:tcW w:w="3110" w:type="dxa"/>
            <w:vAlign w:val="top"/>
          </w:tcPr>
          <w:p>
            <w:pPr>
              <w:pStyle w:val="1297"/>
              <w:pBdr/>
              <w:spacing/>
              <w:ind/>
              <w:rPr/>
            </w:pPr>
            <w:r>
              <w:rPr>
                <w:b/>
              </w:rPr>
              <w:t xml:space="preserve">Provenance/governance lead + relevant source-community/specialist reviewer source-community; rights/access; external-review; severity:</w:t>
            </w:r>
            <w:r>
              <w:t xml:space="preserve"> BLOCKING manuscript claim</w:t>
            </w:r>
            <w:r/>
          </w:p>
        </w:tc>
        <w:tc>
          <w:tcPr>
            <w:tcBorders/>
            <w:tcMar>
              <w:left w:w="70" w:type="dxa"/>
              <w:top w:w="60" w:type="dxa"/>
              <w:right w:w="70" w:type="dxa"/>
              <w:bottom w:w="60" w:type="dxa"/>
            </w:tcMar>
            <w:tcW w:w="4443" w:type="dxa"/>
            <w:vAlign w:val="top"/>
          </w:tcPr>
          <w:p>
            <w:pPr>
              <w:pStyle w:val="1297"/>
              <w:pBdr/>
              <w:spacing/>
              <w:ind/>
              <w:rPr/>
            </w:pPr>
            <w:r>
              <w:t xml:space="preserve">At least one release-candidate oral/performed claim has an auditable event/artifact chain and authorization satisfying Research Specification Annex C §C3.4.</w:t>
            </w:r>
            <w:r/>
          </w:p>
        </w:tc>
      </w:tr>
      <w:tr>
        <w:trPr>
          <w:cantSplit/>
        </w:trPr>
        <w:tc>
          <w:tcPr>
            <w:shd w:val="clear" w:color="auto" w:fill="f7f9fa"/>
            <w:tcBorders/>
            <w:tcMar>
              <w:left w:w="70" w:type="dxa"/>
              <w:top w:w="60" w:type="dxa"/>
              <w:right w:w="70" w:type="dxa"/>
              <w:bottom w:w="60" w:type="dxa"/>
            </w:tcMar>
            <w:tcW w:w="815" w:type="dxa"/>
            <w:vAlign w:val="top"/>
          </w:tcPr>
          <w:p>
            <w:pPr>
              <w:pStyle w:val="1297"/>
              <w:pBdr/>
              <w:spacing/>
              <w:ind/>
              <w:rPr/>
            </w:pPr>
            <w:r>
              <w:t xml:space="preserve">RG-02</w:t>
            </w:r>
            <w:r/>
          </w:p>
        </w:tc>
        <w:tc>
          <w:tcPr>
            <w:shd w:val="clear" w:color="auto" w:fill="f7f9fa"/>
            <w:tcBorders/>
            <w:tcMar>
              <w:left w:w="70" w:type="dxa"/>
              <w:top w:w="60" w:type="dxa"/>
              <w:right w:w="70" w:type="dxa"/>
              <w:bottom w:w="60" w:type="dxa"/>
            </w:tcMar>
            <w:tcW w:w="2148" w:type="dxa"/>
            <w:vAlign w:val="top"/>
          </w:tcPr>
          <w:p>
            <w:pPr>
              <w:pStyle w:val="1297"/>
              <w:pBdr/>
              <w:spacing/>
              <w:ind/>
              <w:rPr/>
            </w:pPr>
            <w:r>
              <w:t xml:space="preserve">1.2.2 / 6.5 / 10.5 / 11.6 / 13.7 / 14.8 / 15.8</w:t>
            </w:r>
            <w:r/>
          </w:p>
        </w:tc>
        <w:tc>
          <w:tcPr>
            <w:shd w:val="clear" w:color="auto" w:fill="f7f9fa"/>
            <w:tcBorders/>
            <w:tcMar>
              <w:left w:w="70" w:type="dxa"/>
              <w:top w:w="60" w:type="dxa"/>
              <w:right w:w="70" w:type="dxa"/>
              <w:bottom w:w="60" w:type="dxa"/>
            </w:tcMar>
            <w:tcW w:w="4739" w:type="dxa"/>
            <w:vAlign w:val="top"/>
          </w:tcPr>
          <w:p>
            <w:pPr>
              <w:pStyle w:val="1297"/>
              <w:pBdr/>
              <w:spacing/>
              <w:ind/>
              <w:rPr/>
            </w:pPr>
            <w:r>
              <w:t xml:space="preserve">Is source-community coverage adequate for the specific Ifá claims selected?</w:t>
            </w:r>
            <w:r/>
          </w:p>
        </w:tc>
        <w:tc>
          <w:tcPr>
            <w:shd w:val="clear" w:color="auto" w:fill="f7f9fa"/>
            <w:tcBorders/>
            <w:tcMar>
              <w:left w:w="70" w:type="dxa"/>
              <w:top w:w="60" w:type="dxa"/>
              <w:right w:w="70" w:type="dxa"/>
              <w:bottom w:w="60" w:type="dxa"/>
            </w:tcMar>
            <w:tcW w:w="3110" w:type="dxa"/>
            <w:vAlign w:val="top"/>
          </w:tcPr>
          <w:p>
            <w:pPr>
              <w:pStyle w:val="1297"/>
              <w:pBdr/>
              <w:spacing/>
              <w:ind/>
              <w:rPr/>
            </w:pPr>
            <w:r>
              <w:rPr>
                <w:b/>
              </w:rPr>
              <w:t xml:space="preserve">Provenance/governance lead + relevant source-community/specialist reviewer source-community; external-review; severity:</w:t>
            </w:r>
            <w:r>
              <w:t xml:space="preserve"> BLOCKING manuscript claim</w:t>
            </w:r>
            <w:r/>
          </w:p>
        </w:tc>
        <w:tc>
          <w:tcPr>
            <w:shd w:val="clear" w:color="auto" w:fill="f7f9fa"/>
            <w:tcBorders/>
            <w:tcMar>
              <w:left w:w="70" w:type="dxa"/>
              <w:top w:w="60" w:type="dxa"/>
              <w:right w:w="70" w:type="dxa"/>
              <w:bottom w:w="60" w:type="dxa"/>
            </w:tcMar>
            <w:tcW w:w="4443" w:type="dxa"/>
            <w:vAlign w:val="top"/>
          </w:tcPr>
          <w:p>
            <w:pPr>
              <w:pStyle w:val="1297"/>
              <w:pBdr/>
              <w:spacing/>
              <w:ind/>
              <w:rPr/>
            </w:pPr>
            <w:r>
              <w:t xml:space="preserve">Applicable source-community coverage, authority scope, rights/protocols, limitations, feedback and release basis are documented and reviewed under Research Specification Annex C §C3.5.</w:t>
            </w:r>
            <w:r/>
          </w:p>
        </w:tc>
      </w:tr>
      <w:tr>
        <w:trPr>
          <w:cantSplit/>
        </w:trPr>
        <w:tc>
          <w:tcPr>
            <w:tcBorders/>
            <w:tcMar>
              <w:left w:w="70" w:type="dxa"/>
              <w:top w:w="60" w:type="dxa"/>
              <w:right w:w="70" w:type="dxa"/>
              <w:bottom w:w="60" w:type="dxa"/>
            </w:tcMar>
            <w:tcW w:w="815" w:type="dxa"/>
            <w:vAlign w:val="top"/>
          </w:tcPr>
          <w:p>
            <w:pPr>
              <w:pStyle w:val="1297"/>
              <w:pBdr/>
              <w:spacing/>
              <w:ind/>
              <w:rPr/>
            </w:pPr>
            <w:r>
              <w:t xml:space="preserve">RG-03</w:t>
            </w:r>
            <w:r/>
          </w:p>
        </w:tc>
        <w:tc>
          <w:tcPr>
            <w:tcBorders/>
            <w:tcMar>
              <w:left w:w="70" w:type="dxa"/>
              <w:top w:w="60" w:type="dxa"/>
              <w:right w:w="70" w:type="dxa"/>
              <w:bottom w:w="60" w:type="dxa"/>
            </w:tcMar>
            <w:tcW w:w="2148" w:type="dxa"/>
            <w:vAlign w:val="top"/>
          </w:tcPr>
          <w:p>
            <w:pPr>
              <w:pStyle w:val="1297"/>
              <w:pBdr/>
              <w:spacing/>
              <w:ind/>
              <w:rPr/>
            </w:pPr>
            <w:r>
              <w:t xml:space="preserve">1.2.2 / 6.6 / 10.6</w:t>
            </w:r>
            <w:r/>
          </w:p>
        </w:tc>
        <w:tc>
          <w:tcPr>
            <w:tcBorders/>
            <w:tcMar>
              <w:left w:w="70" w:type="dxa"/>
              <w:top w:w="60" w:type="dxa"/>
              <w:right w:w="70" w:type="dxa"/>
              <w:bottom w:w="60" w:type="dxa"/>
            </w:tcMar>
            <w:tcW w:w="4739" w:type="dxa"/>
            <w:vAlign w:val="top"/>
          </w:tcPr>
          <w:p>
            <w:pPr>
              <w:pStyle w:val="1297"/>
              <w:pBdr/>
              <w:spacing/>
              <w:ind/>
              <w:rPr/>
            </w:pPr>
            <w:r>
              <w:t xml:space="preserve">Can Achuar material be represented beyond Descola’s mediated reconstruction?</w:t>
            </w:r>
            <w:r/>
          </w:p>
        </w:tc>
        <w:tc>
          <w:tcPr>
            <w:tcBorders/>
            <w:tcMar>
              <w:left w:w="70" w:type="dxa"/>
              <w:top w:w="60" w:type="dxa"/>
              <w:right w:w="70" w:type="dxa"/>
              <w:bottom w:w="60" w:type="dxa"/>
            </w:tcMar>
            <w:tcW w:w="3110" w:type="dxa"/>
            <w:vAlign w:val="top"/>
          </w:tcPr>
          <w:p>
            <w:pPr>
              <w:pStyle w:val="1297"/>
              <w:pBdr/>
              <w:spacing/>
              <w:ind/>
              <w:rPr/>
            </w:pPr>
            <w:r>
              <w:rPr>
                <w:b/>
              </w:rPr>
              <w:t xml:space="preserve">Provenance/governance lead + relevant source-community/specialist reviewer source-community; conceptual; rights/access; severity:</w:t>
            </w:r>
            <w:r>
              <w:t xml:space="preserve"> IMPORTANT</w:t>
            </w:r>
            <w:r/>
          </w:p>
        </w:tc>
        <w:tc>
          <w:tcPr>
            <w:tcBorders/>
            <w:tcMar>
              <w:left w:w="70" w:type="dxa"/>
              <w:top w:w="60" w:type="dxa"/>
              <w:right w:w="70" w:type="dxa"/>
              <w:bottom w:w="60" w:type="dxa"/>
            </w:tcMar>
            <w:tcW w:w="4443" w:type="dxa"/>
            <w:vAlign w:val="top"/>
          </w:tcPr>
          <w:p>
            <w:pPr>
              <w:pStyle w:val="1297"/>
              <w:pBdr/>
              <w:spacing/>
              <w:ind/>
              <w:rPr/>
            </w:pPr>
            <w:r>
              <w:t xml:space="preserve">The named missing evidence/review exists, affected canonical records are updated and reviewed, and the chapter blocker is formally cleared or bounded as held material.</w:t>
            </w:r>
            <w:r/>
          </w:p>
        </w:tc>
      </w:tr>
      <w:tr>
        <w:trPr>
          <w:cantSplit/>
        </w:trPr>
        <w:tc>
          <w:tcPr>
            <w:shd w:val="clear" w:color="auto" w:fill="f7f9fa"/>
            <w:tcBorders/>
            <w:tcMar>
              <w:left w:w="70" w:type="dxa"/>
              <w:top w:w="60" w:type="dxa"/>
              <w:right w:w="70" w:type="dxa"/>
              <w:bottom w:w="60" w:type="dxa"/>
            </w:tcMar>
            <w:tcW w:w="815" w:type="dxa"/>
            <w:vAlign w:val="top"/>
          </w:tcPr>
          <w:p>
            <w:pPr>
              <w:pStyle w:val="1297"/>
              <w:pBdr/>
              <w:spacing/>
              <w:ind/>
              <w:rPr/>
            </w:pPr>
            <w:r>
              <w:t xml:space="preserve">RG-04</w:t>
            </w:r>
            <w:r/>
          </w:p>
        </w:tc>
        <w:tc>
          <w:tcPr>
            <w:shd w:val="clear" w:color="auto" w:fill="f7f9fa"/>
            <w:tcBorders/>
            <w:tcMar>
              <w:left w:w="70" w:type="dxa"/>
              <w:top w:w="60" w:type="dxa"/>
              <w:right w:w="70" w:type="dxa"/>
              <w:bottom w:w="60" w:type="dxa"/>
            </w:tcMar>
            <w:tcW w:w="2148" w:type="dxa"/>
            <w:vAlign w:val="top"/>
          </w:tcPr>
          <w:p>
            <w:pPr>
              <w:pStyle w:val="1297"/>
              <w:pBdr/>
              <w:spacing/>
              <w:ind/>
              <w:rPr/>
            </w:pPr>
            <w:r>
              <w:t xml:space="preserve">10.6</w:t>
            </w:r>
            <w:r/>
          </w:p>
        </w:tc>
        <w:tc>
          <w:tcPr>
            <w:shd w:val="clear" w:color="auto" w:fill="f7f9fa"/>
            <w:tcBorders/>
            <w:tcMar>
              <w:left w:w="70" w:type="dxa"/>
              <w:top w:w="60" w:type="dxa"/>
              <w:right w:w="70" w:type="dxa"/>
              <w:bottom w:w="60" w:type="dxa"/>
            </w:tcMar>
            <w:tcW w:w="4739" w:type="dxa"/>
            <w:vAlign w:val="top"/>
          </w:tcPr>
          <w:p>
            <w:pPr>
              <w:pStyle w:val="1297"/>
              <w:pBdr/>
              <w:spacing/>
              <w:ind/>
              <w:rPr/>
            </w:pPr>
            <w:r>
              <w:t xml:space="preserve">Can a bounded Māori whakapapa-centered position be defined without treating Māori knowledge as a single worldview?</w:t>
            </w:r>
            <w:r/>
          </w:p>
        </w:tc>
        <w:tc>
          <w:tcPr>
            <w:shd w:val="clear" w:color="auto" w:fill="f7f9fa"/>
            <w:tcBorders/>
            <w:tcMar>
              <w:left w:w="70" w:type="dxa"/>
              <w:top w:w="60" w:type="dxa"/>
              <w:right w:w="70" w:type="dxa"/>
              <w:bottom w:w="60" w:type="dxa"/>
            </w:tcMar>
            <w:tcW w:w="3110" w:type="dxa"/>
            <w:vAlign w:val="top"/>
          </w:tcPr>
          <w:p>
            <w:pPr>
              <w:pStyle w:val="1297"/>
              <w:pBdr/>
              <w:spacing/>
              <w:ind/>
              <w:rPr/>
            </w:pPr>
            <w:r>
              <w:rPr>
                <w:b/>
              </w:rPr>
              <w:t xml:space="preserve">Provenance/governance lead + relevant source-community/specialist reviewer source-community; conceptual; philological; severity:</w:t>
            </w:r>
            <w:r>
              <w:t xml:space="preserve"> IMPORTANT</w:t>
            </w:r>
            <w:r/>
          </w:p>
        </w:tc>
        <w:tc>
          <w:tcPr>
            <w:shd w:val="clear" w:color="auto" w:fill="f7f9fa"/>
            <w:tcBorders/>
            <w:tcMar>
              <w:left w:w="70" w:type="dxa"/>
              <w:top w:w="60" w:type="dxa"/>
              <w:right w:w="70" w:type="dxa"/>
              <w:bottom w:w="60" w:type="dxa"/>
            </w:tcMar>
            <w:tcW w:w="4443" w:type="dxa"/>
            <w:vAlign w:val="top"/>
          </w:tcPr>
          <w:p>
            <w:pPr>
              <w:pStyle w:val="1297"/>
              <w:pBdr/>
              <w:spacing/>
              <w:ind/>
              <w:rPr/>
            </w:pPr>
            <w:r>
              <w:t xml:space="preserve">The named missing evidence/review exists, affected canonical records are updated and reviewed, and the chapter blocker is formally cleared or bounded as held material.</w:t>
            </w:r>
            <w:r/>
          </w:p>
        </w:tc>
      </w:tr>
      <w:tr>
        <w:trPr>
          <w:cantSplit/>
        </w:trPr>
        <w:tc>
          <w:tcPr>
            <w:tcBorders/>
            <w:tcMar>
              <w:left w:w="70" w:type="dxa"/>
              <w:top w:w="60" w:type="dxa"/>
              <w:right w:w="70" w:type="dxa"/>
              <w:bottom w:w="60" w:type="dxa"/>
            </w:tcMar>
            <w:tcW w:w="815" w:type="dxa"/>
            <w:vAlign w:val="top"/>
          </w:tcPr>
          <w:p>
            <w:pPr>
              <w:pStyle w:val="1297"/>
              <w:pBdr/>
              <w:spacing/>
              <w:ind/>
              <w:rPr/>
            </w:pPr>
            <w:r>
              <w:t xml:space="preserve">RG-05</w:t>
            </w:r>
            <w:r/>
          </w:p>
        </w:tc>
        <w:tc>
          <w:tcPr>
            <w:tcBorders/>
            <w:tcMar>
              <w:left w:w="70" w:type="dxa"/>
              <w:top w:w="60" w:type="dxa"/>
              <w:right w:w="70" w:type="dxa"/>
              <w:bottom w:w="60" w:type="dxa"/>
            </w:tcMar>
            <w:tcW w:w="2148" w:type="dxa"/>
            <w:vAlign w:val="top"/>
          </w:tcPr>
          <w:p>
            <w:pPr>
              <w:pStyle w:val="1297"/>
              <w:pBdr/>
              <w:spacing/>
              <w:ind/>
              <w:rPr/>
            </w:pPr>
            <w:r>
              <w:t xml:space="preserve">Candidate universe / future digital</w:t>
            </w:r>
            <w:r/>
          </w:p>
        </w:tc>
        <w:tc>
          <w:tcPr>
            <w:tcBorders/>
            <w:tcMar>
              <w:left w:w="70" w:type="dxa"/>
              <w:top w:w="60" w:type="dxa"/>
              <w:right w:w="70" w:type="dxa"/>
              <w:bottom w:w="60" w:type="dxa"/>
            </w:tcMar>
            <w:tcW w:w="4739" w:type="dxa"/>
            <w:vAlign w:val="top"/>
          </w:tcPr>
          <w:p>
            <w:pPr>
              <w:pStyle w:val="1297"/>
              <w:pBdr/>
              <w:spacing/>
              <w:ind/>
              <w:rPr/>
            </w:pPr>
            <w:r>
              <w:t xml:space="preserve">Is a source-bounded Nahua teotl reconstruction sufficiently stable for comparative ontology?</w:t>
            </w:r>
            <w:r/>
          </w:p>
        </w:tc>
        <w:tc>
          <w:tcPr>
            <w:tcBorders/>
            <w:tcMar>
              <w:left w:w="70" w:type="dxa"/>
              <w:top w:w="60" w:type="dxa"/>
              <w:right w:w="70" w:type="dxa"/>
              <w:bottom w:w="60" w:type="dxa"/>
            </w:tcMar>
            <w:tcW w:w="3110" w:type="dxa"/>
            <w:vAlign w:val="top"/>
          </w:tcPr>
          <w:p>
            <w:pPr>
              <w:pStyle w:val="1297"/>
              <w:pBdr/>
              <w:spacing/>
              <w:ind/>
              <w:rPr/>
            </w:pPr>
            <w:r>
              <w:rPr>
                <w:b/>
              </w:rPr>
              <w:t xml:space="preserve">Research lead + relevant language/philology specialist philological; conceptual; severity:</w:t>
            </w:r>
            <w:r>
              <w:t xml:space="preserve"> IMPORTANT</w:t>
            </w:r>
            <w:r/>
          </w:p>
        </w:tc>
        <w:tc>
          <w:tcPr>
            <w:tcBorders/>
            <w:tcMar>
              <w:left w:w="70" w:type="dxa"/>
              <w:top w:w="60" w:type="dxa"/>
              <w:right w:w="70" w:type="dxa"/>
              <w:bottom w:w="60" w:type="dxa"/>
            </w:tcMar>
            <w:tcW w:w="4443" w:type="dxa"/>
            <w:vAlign w:val="top"/>
          </w:tcPr>
          <w:p>
            <w:pPr>
              <w:pStyle w:val="1297"/>
              <w:pBdr/>
              <w:spacing/>
              <w:ind/>
              <w:rPr/>
            </w:pPr>
            <w:r>
              <w:t xml:space="preserve">The named missing evidence/review exists, affected canonical records are updated and reviewed, and the chapter blocker is formally cleared or bounded as held material.</w:t>
            </w:r>
            <w:r/>
          </w:p>
        </w:tc>
      </w:tr>
      <w:tr>
        <w:trPr>
          <w:cantSplit/>
        </w:trPr>
        <w:tc>
          <w:tcPr>
            <w:shd w:val="clear" w:color="auto" w:fill="f7f9fa"/>
            <w:tcBorders/>
            <w:tcMar>
              <w:left w:w="70" w:type="dxa"/>
              <w:top w:w="60" w:type="dxa"/>
              <w:right w:w="70" w:type="dxa"/>
              <w:bottom w:w="60" w:type="dxa"/>
            </w:tcMar>
            <w:tcW w:w="815" w:type="dxa"/>
            <w:vAlign w:val="top"/>
          </w:tcPr>
          <w:p>
            <w:pPr>
              <w:pStyle w:val="1297"/>
              <w:pBdr/>
              <w:spacing/>
              <w:ind/>
              <w:rPr/>
            </w:pPr>
            <w:r>
              <w:t xml:space="preserve">RG-06</w:t>
            </w:r>
            <w:r/>
          </w:p>
        </w:tc>
        <w:tc>
          <w:tcPr>
            <w:shd w:val="clear" w:color="auto" w:fill="f7f9fa"/>
            <w:tcBorders/>
            <w:tcMar>
              <w:left w:w="70" w:type="dxa"/>
              <w:top w:w="60" w:type="dxa"/>
              <w:right w:w="70" w:type="dxa"/>
              <w:bottom w:w="60" w:type="dxa"/>
            </w:tcMar>
            <w:tcW w:w="2148" w:type="dxa"/>
            <w:vAlign w:val="top"/>
          </w:tcPr>
          <w:p>
            <w:pPr>
              <w:pStyle w:val="1297"/>
              <w:pBdr/>
              <w:spacing/>
              <w:ind/>
              <w:rPr/>
            </w:pPr>
            <w:r>
              <w:t xml:space="preserve">7.7</w:t>
            </w:r>
            <w:r/>
          </w:p>
        </w:tc>
        <w:tc>
          <w:tcPr>
            <w:shd w:val="clear" w:color="auto" w:fill="f7f9fa"/>
            <w:tcBorders/>
            <w:tcMar>
              <w:left w:w="70" w:type="dxa"/>
              <w:top w:w="60" w:type="dxa"/>
              <w:right w:w="70" w:type="dxa"/>
              <w:bottom w:w="60" w:type="dxa"/>
            </w:tcMar>
            <w:tcW w:w="4739" w:type="dxa"/>
            <w:vAlign w:val="top"/>
          </w:tcPr>
          <w:p>
            <w:pPr>
              <w:pStyle w:val="1297"/>
              <w:pBdr/>
              <w:spacing/>
              <w:ind/>
              <w:rPr/>
            </w:pPr>
            <w:r>
              <w:t xml:space="preserve">What bounded Pratyabhijñā claims about universal consciousness and agency can be securely attached to Utpaladeva?</w:t>
            </w:r>
            <w:r/>
          </w:p>
        </w:tc>
        <w:tc>
          <w:tcPr>
            <w:shd w:val="clear" w:color="auto" w:fill="f7f9fa"/>
            <w:tcBorders/>
            <w:tcMar>
              <w:left w:w="70" w:type="dxa"/>
              <w:top w:w="60" w:type="dxa"/>
              <w:right w:w="70" w:type="dxa"/>
              <w:bottom w:w="60" w:type="dxa"/>
            </w:tcMar>
            <w:tcW w:w="3110" w:type="dxa"/>
            <w:vAlign w:val="top"/>
          </w:tcPr>
          <w:p>
            <w:pPr>
              <w:pStyle w:val="1297"/>
              <w:pBdr/>
              <w:spacing/>
              <w:ind/>
              <w:rPr/>
            </w:pPr>
            <w:r>
              <w:rPr>
                <w:b/>
              </w:rPr>
              <w:t xml:space="preserve">Research lead + relevant language/philology specialist philological; conceptual; severity:</w:t>
            </w:r>
            <w:r>
              <w:t xml:space="preserve"> IMPORTANT</w:t>
            </w:r>
            <w:r/>
          </w:p>
        </w:tc>
        <w:tc>
          <w:tcPr>
            <w:shd w:val="clear" w:color="auto" w:fill="f7f9fa"/>
            <w:tcBorders/>
            <w:tcMar>
              <w:left w:w="70" w:type="dxa"/>
              <w:top w:w="60" w:type="dxa"/>
              <w:right w:w="70" w:type="dxa"/>
              <w:bottom w:w="60" w:type="dxa"/>
            </w:tcMar>
            <w:tcW w:w="4443" w:type="dxa"/>
            <w:vAlign w:val="top"/>
          </w:tcPr>
          <w:p>
            <w:pPr>
              <w:pStyle w:val="1297"/>
              <w:pBdr/>
              <w:spacing/>
              <w:ind/>
              <w:rPr/>
            </w:pPr>
            <w:r>
              <w:t xml:space="preserve">The named missing evidence/review exists, affected canonical records are updated and reviewed, and the chapter blocker is formally cleared or bounded as held material.</w:t>
            </w:r>
            <w:r/>
          </w:p>
        </w:tc>
      </w:tr>
      <w:tr>
        <w:trPr>
          <w:cantSplit/>
        </w:trPr>
        <w:tc>
          <w:tcPr>
            <w:tcBorders/>
            <w:tcMar>
              <w:left w:w="70" w:type="dxa"/>
              <w:top w:w="60" w:type="dxa"/>
              <w:right w:w="70" w:type="dxa"/>
              <w:bottom w:w="60" w:type="dxa"/>
            </w:tcMar>
            <w:tcW w:w="815" w:type="dxa"/>
            <w:vAlign w:val="top"/>
          </w:tcPr>
          <w:p>
            <w:pPr>
              <w:pStyle w:val="1297"/>
              <w:pBdr/>
              <w:spacing/>
              <w:ind/>
              <w:rPr/>
            </w:pPr>
            <w:r>
              <w:t xml:space="preserve">RG-07</w:t>
            </w:r>
            <w:r/>
          </w:p>
        </w:tc>
        <w:tc>
          <w:tcPr>
            <w:tcBorders/>
            <w:tcMar>
              <w:left w:w="70" w:type="dxa"/>
              <w:top w:w="60" w:type="dxa"/>
              <w:right w:w="70" w:type="dxa"/>
              <w:bottom w:w="60" w:type="dxa"/>
            </w:tcMar>
            <w:tcW w:w="2148" w:type="dxa"/>
            <w:vAlign w:val="top"/>
          </w:tcPr>
          <w:p>
            <w:pPr>
              <w:pStyle w:val="1297"/>
              <w:pBdr/>
              <w:spacing/>
              <w:ind/>
              <w:rPr/>
            </w:pPr>
            <w:r>
              <w:t xml:space="preserve">3.3 / 8.2 / 12.2 / 13.2</w:t>
            </w:r>
            <w:r/>
          </w:p>
        </w:tc>
        <w:tc>
          <w:tcPr>
            <w:tcBorders/>
            <w:tcMar>
              <w:left w:w="70" w:type="dxa"/>
              <w:top w:w="60" w:type="dxa"/>
              <w:right w:w="70" w:type="dxa"/>
              <w:bottom w:w="60" w:type="dxa"/>
            </w:tcMar>
            <w:tcW w:w="4739" w:type="dxa"/>
            <w:vAlign w:val="top"/>
          </w:tcPr>
          <w:p>
            <w:pPr>
              <w:pStyle w:val="1297"/>
              <w:pBdr/>
              <w:spacing/>
              <w:ind/>
              <w:rPr/>
            </w:pPr>
            <w:r>
              <w:t xml:space="preserve">Which Advaita formulations are securely Śaṅkara’s rather than later Advaita developments?</w:t>
            </w:r>
            <w:r/>
          </w:p>
        </w:tc>
        <w:tc>
          <w:tcPr>
            <w:tcBorders/>
            <w:tcMar>
              <w:left w:w="70" w:type="dxa"/>
              <w:top w:w="60" w:type="dxa"/>
              <w:right w:w="70" w:type="dxa"/>
              <w:bottom w:w="60" w:type="dxa"/>
            </w:tcMar>
            <w:tcW w:w="3110" w:type="dxa"/>
            <w:vAlign w:val="top"/>
          </w:tcPr>
          <w:p>
            <w:pPr>
              <w:pStyle w:val="1297"/>
              <w:pBdr/>
              <w:spacing/>
              <w:ind/>
              <w:rPr/>
            </w:pPr>
            <w:r>
              <w:rPr>
                <w:b/>
              </w:rPr>
              <w:t xml:space="preserve">Research lead + relevant language/philology specialist philological; factual; severity:</w:t>
            </w:r>
            <w:r>
              <w:t xml:space="preserve"> BLOCKING manuscript claim</w:t>
            </w:r>
            <w:r/>
          </w:p>
        </w:tc>
        <w:tc>
          <w:tcPr>
            <w:tcBorders/>
            <w:tcMar>
              <w:left w:w="70" w:type="dxa"/>
              <w:top w:w="60" w:type="dxa"/>
              <w:right w:w="70" w:type="dxa"/>
              <w:bottom w:w="60" w:type="dxa"/>
            </w:tcMar>
            <w:tcW w:w="4443" w:type="dxa"/>
            <w:vAlign w:val="top"/>
          </w:tcPr>
          <w:p>
            <w:pPr>
              <w:pStyle w:val="1297"/>
              <w:pBdr/>
              <w:spacing/>
              <w:ind/>
              <w:rPr/>
            </w:pPr>
            <w:r>
              <w:t xml:space="preserve">The named missing evidence/review exists, affected canonical records are updated and reviewed, and the chapter blocker is formally cleared or bounded as held material.</w:t>
            </w:r>
            <w:r/>
          </w:p>
        </w:tc>
      </w:tr>
      <w:tr>
        <w:trPr>
          <w:cantSplit/>
        </w:trPr>
        <w:tc>
          <w:tcPr>
            <w:shd w:val="clear" w:color="auto" w:fill="f7f9fa"/>
            <w:tcBorders/>
            <w:tcMar>
              <w:left w:w="70" w:type="dxa"/>
              <w:top w:w="60" w:type="dxa"/>
              <w:right w:w="70" w:type="dxa"/>
              <w:bottom w:w="60" w:type="dxa"/>
            </w:tcMar>
            <w:tcW w:w="815" w:type="dxa"/>
            <w:vAlign w:val="top"/>
          </w:tcPr>
          <w:p>
            <w:pPr>
              <w:pStyle w:val="1297"/>
              <w:pBdr/>
              <w:spacing/>
              <w:ind/>
              <w:rPr/>
            </w:pPr>
            <w:r>
              <w:t xml:space="preserve">RG-08</w:t>
            </w:r>
            <w:r/>
          </w:p>
        </w:tc>
        <w:tc>
          <w:tcPr>
            <w:shd w:val="clear" w:color="auto" w:fill="f7f9fa"/>
            <w:tcBorders/>
            <w:tcMar>
              <w:left w:w="70" w:type="dxa"/>
              <w:top w:w="60" w:type="dxa"/>
              <w:right w:w="70" w:type="dxa"/>
              <w:bottom w:w="60" w:type="dxa"/>
            </w:tcMar>
            <w:tcW w:w="2148" w:type="dxa"/>
            <w:vAlign w:val="top"/>
          </w:tcPr>
          <w:p>
            <w:pPr>
              <w:pStyle w:val="1297"/>
              <w:pBdr/>
              <w:spacing/>
              <w:ind/>
              <w:rPr/>
            </w:pPr>
            <w:r>
              <w:t xml:space="preserve">3.2 / 8.3 / 12.3 / 18.3</w:t>
            </w:r>
            <w:r/>
          </w:p>
        </w:tc>
        <w:tc>
          <w:tcPr>
            <w:shd w:val="clear" w:color="auto" w:fill="f7f9fa"/>
            <w:tcBorders/>
            <w:tcMar>
              <w:left w:w="70" w:type="dxa"/>
              <w:top w:w="60" w:type="dxa"/>
              <w:right w:w="70" w:type="dxa"/>
              <w:bottom w:w="60" w:type="dxa"/>
            </w:tcMar>
            <w:tcW w:w="4739" w:type="dxa"/>
            <w:vAlign w:val="top"/>
          </w:tcPr>
          <w:p>
            <w:pPr>
              <w:pStyle w:val="1297"/>
              <w:pBdr/>
              <w:spacing/>
              <w:ind/>
              <w:rPr/>
            </w:pPr>
            <w:r>
              <w:t xml:space="preserve">How far may MMK alone support claims about nirvāṇa, rebirth, and practice?</w:t>
            </w:r>
            <w:r/>
          </w:p>
        </w:tc>
        <w:tc>
          <w:tcPr>
            <w:shd w:val="clear" w:color="auto" w:fill="f7f9fa"/>
            <w:tcBorders/>
            <w:tcMar>
              <w:left w:w="70" w:type="dxa"/>
              <w:top w:w="60" w:type="dxa"/>
              <w:right w:w="70" w:type="dxa"/>
              <w:bottom w:w="60" w:type="dxa"/>
            </w:tcMar>
            <w:tcW w:w="3110" w:type="dxa"/>
            <w:vAlign w:val="top"/>
          </w:tcPr>
          <w:p>
            <w:pPr>
              <w:pStyle w:val="1297"/>
              <w:pBdr/>
              <w:spacing/>
              <w:ind/>
              <w:rPr/>
            </w:pPr>
            <w:r>
              <w:rPr>
                <w:b/>
              </w:rPr>
              <w:t xml:space="preserve">Research lead + relevant language/philology specialist conceptual; factual; severity:</w:t>
            </w:r>
            <w:r>
              <w:t xml:space="preserve"> BLOCKING manuscript claim</w:t>
            </w:r>
            <w:r/>
          </w:p>
        </w:tc>
        <w:tc>
          <w:tcPr>
            <w:shd w:val="clear" w:color="auto" w:fill="f7f9fa"/>
            <w:tcBorders/>
            <w:tcMar>
              <w:left w:w="70" w:type="dxa"/>
              <w:top w:w="60" w:type="dxa"/>
              <w:right w:w="70" w:type="dxa"/>
              <w:bottom w:w="60" w:type="dxa"/>
            </w:tcMar>
            <w:tcW w:w="4443" w:type="dxa"/>
            <w:vAlign w:val="top"/>
          </w:tcPr>
          <w:p>
            <w:pPr>
              <w:pStyle w:val="1297"/>
              <w:pBdr/>
              <w:spacing/>
              <w:ind/>
              <w:rPr/>
            </w:pPr>
            <w:r>
              <w:t xml:space="preserve">The named missing evidence/review exists, affected canonical records are updated and reviewed, and the chapter blocker is formally cleared or bounded as held material.</w:t>
            </w:r>
            <w:r/>
          </w:p>
        </w:tc>
      </w:tr>
      <w:tr>
        <w:trPr>
          <w:cantSplit/>
        </w:trPr>
        <w:tc>
          <w:tcPr>
            <w:tcBorders/>
            <w:tcMar>
              <w:left w:w="70" w:type="dxa"/>
              <w:top w:w="60" w:type="dxa"/>
              <w:right w:w="70" w:type="dxa"/>
              <w:bottom w:w="60" w:type="dxa"/>
            </w:tcMar>
            <w:tcW w:w="815" w:type="dxa"/>
            <w:vAlign w:val="top"/>
          </w:tcPr>
          <w:p>
            <w:pPr>
              <w:pStyle w:val="1297"/>
              <w:pBdr/>
              <w:spacing/>
              <w:ind/>
              <w:rPr/>
            </w:pPr>
            <w:r>
              <w:t xml:space="preserve">RG-09</w:t>
            </w:r>
            <w:r/>
          </w:p>
        </w:tc>
        <w:tc>
          <w:tcPr>
            <w:tcBorders/>
            <w:tcMar>
              <w:left w:w="70" w:type="dxa"/>
              <w:top w:w="60" w:type="dxa"/>
              <w:right w:w="70" w:type="dxa"/>
              <w:bottom w:w="60" w:type="dxa"/>
            </w:tcMar>
            <w:tcW w:w="2148" w:type="dxa"/>
            <w:vAlign w:val="top"/>
          </w:tcPr>
          <w:p>
            <w:pPr>
              <w:pStyle w:val="1297"/>
              <w:pBdr/>
              <w:spacing/>
              <w:ind/>
              <w:rPr/>
            </w:pPr>
            <w:r>
              <w:t xml:space="preserve">4.4 / 5.4</w:t>
            </w:r>
            <w:r/>
          </w:p>
        </w:tc>
        <w:tc>
          <w:tcPr>
            <w:tcBorders/>
            <w:tcMar>
              <w:left w:w="70" w:type="dxa"/>
              <w:top w:w="60" w:type="dxa"/>
              <w:right w:w="70" w:type="dxa"/>
              <w:bottom w:w="60" w:type="dxa"/>
            </w:tcMar>
            <w:tcW w:w="4739" w:type="dxa"/>
            <w:vAlign w:val="top"/>
          </w:tcPr>
          <w:p>
            <w:pPr>
              <w:pStyle w:val="1297"/>
              <w:pBdr/>
              <w:spacing/>
              <w:ind/>
              <w:rPr/>
            </w:pPr>
            <w:r>
              <w:t xml:space="preserve">What exact historical/genealogical claims are defensible between Plotinian and Avicennan emanative structures?</w:t>
            </w:r>
            <w:r/>
          </w:p>
        </w:tc>
        <w:tc>
          <w:tcPr>
            <w:tcBorders/>
            <w:tcMar>
              <w:left w:w="70" w:type="dxa"/>
              <w:top w:w="60" w:type="dxa"/>
              <w:right w:w="70" w:type="dxa"/>
              <w:bottom w:w="60" w:type="dxa"/>
            </w:tcMar>
            <w:tcW w:w="3110" w:type="dxa"/>
            <w:vAlign w:val="top"/>
          </w:tcPr>
          <w:p>
            <w:pPr>
              <w:pStyle w:val="1297"/>
              <w:pBdr/>
              <w:spacing/>
              <w:ind/>
              <w:rPr/>
            </w:pPr>
            <w:r>
              <w:rPr>
                <w:b/>
              </w:rPr>
              <w:t xml:space="preserve">Research lead + relevant chapter specialist genealogical; severity:</w:t>
            </w:r>
            <w:r>
              <w:t xml:space="preserve"> IMPORTANT</w:t>
            </w:r>
            <w:r/>
          </w:p>
        </w:tc>
        <w:tc>
          <w:tcPr>
            <w:tcBorders/>
            <w:tcMar>
              <w:left w:w="70" w:type="dxa"/>
              <w:top w:w="60" w:type="dxa"/>
              <w:right w:w="70" w:type="dxa"/>
              <w:bottom w:w="60" w:type="dxa"/>
            </w:tcMar>
            <w:tcW w:w="4443" w:type="dxa"/>
            <w:vAlign w:val="top"/>
          </w:tcPr>
          <w:p>
            <w:pPr>
              <w:pStyle w:val="1297"/>
              <w:pBdr/>
              <w:spacing/>
              <w:ind/>
              <w:rPr/>
            </w:pPr>
            <w:r>
              <w:t xml:space="preserve">The named missing evidence/review exists, affected canonical records are updated and reviewed, and the chapter blocker is formally cleared or bounded as held material.</w:t>
            </w:r>
            <w:r/>
          </w:p>
        </w:tc>
      </w:tr>
      <w:tr>
        <w:trPr>
          <w:cantSplit/>
        </w:trPr>
        <w:tc>
          <w:tcPr>
            <w:shd w:val="clear" w:color="auto" w:fill="f7f9fa"/>
            <w:tcBorders/>
            <w:tcMar>
              <w:left w:w="70" w:type="dxa"/>
              <w:top w:w="60" w:type="dxa"/>
              <w:right w:w="70" w:type="dxa"/>
              <w:bottom w:w="60" w:type="dxa"/>
            </w:tcMar>
            <w:tcW w:w="815" w:type="dxa"/>
            <w:vAlign w:val="top"/>
          </w:tcPr>
          <w:p>
            <w:pPr>
              <w:pStyle w:val="1297"/>
              <w:pBdr/>
              <w:spacing/>
              <w:ind/>
              <w:rPr/>
            </w:pPr>
            <w:r>
              <w:t xml:space="preserve">RG-10</w:t>
            </w:r>
            <w:r/>
          </w:p>
        </w:tc>
        <w:tc>
          <w:tcPr>
            <w:shd w:val="clear" w:color="auto" w:fill="f7f9fa"/>
            <w:tcBorders/>
            <w:tcMar>
              <w:left w:w="70" w:type="dxa"/>
              <w:top w:w="60" w:type="dxa"/>
              <w:right w:w="70" w:type="dxa"/>
              <w:bottom w:w="60" w:type="dxa"/>
            </w:tcMar>
            <w:tcW w:w="2148" w:type="dxa"/>
            <w:vAlign w:val="top"/>
          </w:tcPr>
          <w:p>
            <w:pPr>
              <w:pStyle w:val="1297"/>
              <w:pBdr/>
              <w:spacing/>
              <w:ind/>
              <w:rPr/>
            </w:pPr>
            <w:r>
              <w:t xml:space="preserve">4.5</w:t>
            </w:r>
            <w:r/>
          </w:p>
        </w:tc>
        <w:tc>
          <w:tcPr>
            <w:shd w:val="clear" w:color="auto" w:fill="f7f9fa"/>
            <w:tcBorders/>
            <w:tcMar>
              <w:left w:w="70" w:type="dxa"/>
              <w:top w:w="60" w:type="dxa"/>
              <w:right w:w="70" w:type="dxa"/>
              <w:bottom w:w="60" w:type="dxa"/>
            </w:tcMar>
            <w:tcW w:w="4739" w:type="dxa"/>
            <w:vAlign w:val="top"/>
          </w:tcPr>
          <w:p>
            <w:pPr>
              <w:pStyle w:val="1297"/>
              <w:pBdr/>
              <w:spacing/>
              <w:ind/>
              <w:rPr/>
            </w:pPr>
            <w:r>
              <w:t xml:space="preserve">How should Ibn ʿArabī’s unity/self-disclosure vocabulary be translated without projecting later 'monism' formulas?</w:t>
            </w:r>
            <w:r/>
          </w:p>
        </w:tc>
        <w:tc>
          <w:tcPr>
            <w:shd w:val="clear" w:color="auto" w:fill="f7f9fa"/>
            <w:tcBorders/>
            <w:tcMar>
              <w:left w:w="70" w:type="dxa"/>
              <w:top w:w="60" w:type="dxa"/>
              <w:right w:w="70" w:type="dxa"/>
              <w:bottom w:w="60" w:type="dxa"/>
            </w:tcMar>
            <w:tcW w:w="3110" w:type="dxa"/>
            <w:vAlign w:val="top"/>
          </w:tcPr>
          <w:p>
            <w:pPr>
              <w:pStyle w:val="1297"/>
              <w:pBdr/>
              <w:spacing/>
              <w:ind/>
              <w:rPr/>
            </w:pPr>
            <w:r>
              <w:rPr>
                <w:b/>
              </w:rPr>
              <w:t xml:space="preserve">Research lead + relevant language/philology specialist philological; conceptual; severity:</w:t>
            </w:r>
            <w:r>
              <w:t xml:space="preserve"> BLOCKING manuscript claim</w:t>
            </w:r>
            <w:r/>
          </w:p>
        </w:tc>
        <w:tc>
          <w:tcPr>
            <w:shd w:val="clear" w:color="auto" w:fill="f7f9fa"/>
            <w:tcBorders/>
            <w:tcMar>
              <w:left w:w="70" w:type="dxa"/>
              <w:top w:w="60" w:type="dxa"/>
              <w:right w:w="70" w:type="dxa"/>
              <w:bottom w:w="60" w:type="dxa"/>
            </w:tcMar>
            <w:tcW w:w="4443" w:type="dxa"/>
            <w:vAlign w:val="top"/>
          </w:tcPr>
          <w:p>
            <w:pPr>
              <w:pStyle w:val="1297"/>
              <w:pBdr/>
              <w:spacing/>
              <w:ind/>
              <w:rPr/>
            </w:pPr>
            <w:r>
              <w:t xml:space="preserve">The named missing evidence/review exists, affected canonical records are updated and reviewed, and the chapter blocker is formally cleared or bounded as held material.</w:t>
            </w:r>
            <w:r/>
          </w:p>
        </w:tc>
      </w:tr>
      <w:tr>
        <w:trPr>
          <w:cantSplit/>
        </w:trPr>
        <w:tc>
          <w:tcPr>
            <w:tcBorders/>
            <w:tcMar>
              <w:left w:w="70" w:type="dxa"/>
              <w:top w:w="60" w:type="dxa"/>
              <w:right w:w="70" w:type="dxa"/>
              <w:bottom w:w="60" w:type="dxa"/>
            </w:tcMar>
            <w:tcW w:w="815" w:type="dxa"/>
            <w:vAlign w:val="top"/>
          </w:tcPr>
          <w:p>
            <w:pPr>
              <w:pStyle w:val="1297"/>
              <w:pBdr/>
              <w:spacing/>
              <w:ind/>
              <w:rPr/>
            </w:pPr>
            <w:r>
              <w:t xml:space="preserve">RG-11</w:t>
            </w:r>
            <w:r/>
          </w:p>
        </w:tc>
        <w:tc>
          <w:tcPr>
            <w:tcBorders/>
            <w:tcMar>
              <w:left w:w="70" w:type="dxa"/>
              <w:top w:w="60" w:type="dxa"/>
              <w:right w:w="70" w:type="dxa"/>
              <w:bottom w:w="60" w:type="dxa"/>
            </w:tcMar>
            <w:tcW w:w="2148" w:type="dxa"/>
            <w:vAlign w:val="top"/>
          </w:tcPr>
          <w:p>
            <w:pPr>
              <w:pStyle w:val="1297"/>
              <w:pBdr/>
              <w:spacing/>
              <w:ind/>
              <w:rPr/>
            </w:pPr>
            <w:r>
              <w:t xml:space="preserve">4.3 / 9.3 / 14.4 / 17.3 / 18.2</w:t>
            </w:r>
            <w:r/>
          </w:p>
        </w:tc>
        <w:tc>
          <w:tcPr>
            <w:tcBorders/>
            <w:tcMar>
              <w:left w:w="70" w:type="dxa"/>
              <w:top w:w="60" w:type="dxa"/>
              <w:right w:w="70" w:type="dxa"/>
              <w:bottom w:w="60" w:type="dxa"/>
            </w:tcMar>
            <w:tcW w:w="4739" w:type="dxa"/>
            <w:vAlign w:val="top"/>
          </w:tcPr>
          <w:p>
            <w:pPr>
              <w:pStyle w:val="1297"/>
              <w:pBdr/>
              <w:spacing/>
              <w:ind/>
              <w:rPr/>
            </w:pPr>
            <w:r>
              <w:t xml:space="preserve">Which Tattvārthasūtra claims are shared across Śvetāmbara/Digambara reception and which are school-contested?</w:t>
            </w:r>
            <w:r/>
          </w:p>
        </w:tc>
        <w:tc>
          <w:tcPr>
            <w:tcBorders/>
            <w:tcMar>
              <w:left w:w="70" w:type="dxa"/>
              <w:top w:w="60" w:type="dxa"/>
              <w:right w:w="70" w:type="dxa"/>
              <w:bottom w:w="60" w:type="dxa"/>
            </w:tcMar>
            <w:tcW w:w="3110" w:type="dxa"/>
            <w:vAlign w:val="top"/>
          </w:tcPr>
          <w:p>
            <w:pPr>
              <w:pStyle w:val="1297"/>
              <w:pBdr/>
              <w:spacing/>
              <w:ind/>
              <w:rPr/>
            </w:pPr>
            <w:r>
              <w:rPr>
                <w:b/>
              </w:rPr>
              <w:t xml:space="preserve">Research lead + relevant language/philology specialist factual; philological; severity:</w:t>
            </w:r>
            <w:r>
              <w:t xml:space="preserve"> IMPORTANT</w:t>
            </w:r>
            <w:r/>
          </w:p>
        </w:tc>
        <w:tc>
          <w:tcPr>
            <w:tcBorders/>
            <w:tcMar>
              <w:left w:w="70" w:type="dxa"/>
              <w:top w:w="60" w:type="dxa"/>
              <w:right w:w="70" w:type="dxa"/>
              <w:bottom w:w="60" w:type="dxa"/>
            </w:tcMar>
            <w:tcW w:w="4443" w:type="dxa"/>
            <w:vAlign w:val="top"/>
          </w:tcPr>
          <w:p>
            <w:pPr>
              <w:pStyle w:val="1297"/>
              <w:pBdr/>
              <w:spacing/>
              <w:ind/>
              <w:rPr/>
            </w:pPr>
            <w:r>
              <w:t xml:space="preserve">The named missing evidence/review exists, affected canonical records are updated and reviewed, and the chapter blocker is formally cleared or bounded as held material.</w:t>
            </w:r>
            <w:r/>
          </w:p>
        </w:tc>
      </w:tr>
      <w:tr>
        <w:trPr>
          <w:cantSplit/>
        </w:trPr>
        <w:tc>
          <w:tcPr>
            <w:shd w:val="clear" w:color="auto" w:fill="f7f9fa"/>
            <w:tcBorders/>
            <w:tcMar>
              <w:left w:w="70" w:type="dxa"/>
              <w:top w:w="60" w:type="dxa"/>
              <w:right w:w="70" w:type="dxa"/>
              <w:bottom w:w="60" w:type="dxa"/>
            </w:tcMar>
            <w:tcW w:w="815" w:type="dxa"/>
            <w:vAlign w:val="top"/>
          </w:tcPr>
          <w:p>
            <w:pPr>
              <w:pStyle w:val="1297"/>
              <w:pBdr/>
              <w:spacing/>
              <w:ind/>
              <w:rPr/>
            </w:pPr>
            <w:r>
              <w:t xml:space="preserve">RG-12</w:t>
            </w:r>
            <w:r/>
          </w:p>
        </w:tc>
        <w:tc>
          <w:tcPr>
            <w:shd w:val="clear" w:color="auto" w:fill="f7f9fa"/>
            <w:tcBorders/>
            <w:tcMar>
              <w:left w:w="70" w:type="dxa"/>
              <w:top w:w="60" w:type="dxa"/>
              <w:right w:w="70" w:type="dxa"/>
              <w:bottom w:w="60" w:type="dxa"/>
            </w:tcMar>
            <w:tcW w:w="2148" w:type="dxa"/>
            <w:vAlign w:val="top"/>
          </w:tcPr>
          <w:p>
            <w:pPr>
              <w:pStyle w:val="1297"/>
              <w:pBdr/>
              <w:spacing/>
              <w:ind/>
              <w:rPr/>
            </w:pPr>
            <w:r>
              <w:t xml:space="preserve">7.2</w:t>
            </w:r>
            <w:r/>
          </w:p>
        </w:tc>
        <w:tc>
          <w:tcPr>
            <w:shd w:val="clear" w:color="auto" w:fill="f7f9fa"/>
            <w:tcBorders/>
            <w:tcMar>
              <w:left w:w="70" w:type="dxa"/>
              <w:top w:w="60" w:type="dxa"/>
              <w:right w:w="70" w:type="dxa"/>
              <w:bottom w:w="60" w:type="dxa"/>
            </w:tcMar>
            <w:tcW w:w="4739" w:type="dxa"/>
            <w:vAlign w:val="top"/>
          </w:tcPr>
          <w:p>
            <w:pPr>
              <w:pStyle w:val="1297"/>
              <w:pBdr/>
              <w:spacing/>
              <w:ind/>
              <w:rPr/>
            </w:pPr>
            <w:r>
              <w:t xml:space="preserve">What is the strongest current empirical case Papineau invokes for causal closure, and how should Atlas separate data from metaphysical interpretation?</w:t>
            </w:r>
            <w:r/>
          </w:p>
        </w:tc>
        <w:tc>
          <w:tcPr>
            <w:shd w:val="clear" w:color="auto" w:fill="f7f9fa"/>
            <w:tcBorders/>
            <w:tcMar>
              <w:left w:w="70" w:type="dxa"/>
              <w:top w:w="60" w:type="dxa"/>
              <w:right w:w="70" w:type="dxa"/>
              <w:bottom w:w="60" w:type="dxa"/>
            </w:tcMar>
            <w:tcW w:w="3110" w:type="dxa"/>
            <w:vAlign w:val="top"/>
          </w:tcPr>
          <w:p>
            <w:pPr>
              <w:pStyle w:val="1297"/>
              <w:pBdr/>
              <w:spacing/>
              <w:ind/>
              <w:rPr/>
            </w:pPr>
            <w:r>
              <w:rPr>
                <w:b/>
              </w:rPr>
              <w:t xml:space="preserve">Comparative research lead + relevant subject specialist current-literature; conceptual; severity:</w:t>
            </w:r>
            <w:r>
              <w:t xml:space="preserve"> IMPORTANT</w:t>
            </w:r>
            <w:r/>
          </w:p>
        </w:tc>
        <w:tc>
          <w:tcPr>
            <w:shd w:val="clear" w:color="auto" w:fill="f7f9fa"/>
            <w:tcBorders/>
            <w:tcMar>
              <w:left w:w="70" w:type="dxa"/>
              <w:top w:w="60" w:type="dxa"/>
              <w:right w:w="70" w:type="dxa"/>
              <w:bottom w:w="60" w:type="dxa"/>
            </w:tcMar>
            <w:tcW w:w="4443" w:type="dxa"/>
            <w:vAlign w:val="top"/>
          </w:tcPr>
          <w:p>
            <w:pPr>
              <w:pStyle w:val="1297"/>
              <w:pBdr/>
              <w:spacing/>
              <w:ind/>
              <w:rPr/>
            </w:pPr>
            <w:r>
              <w:t xml:space="preserve">The named missing evidence/review exists, affected canonical records are updated and reviewed, and the chapter blocker is formally cleared or bounded as held material.</w:t>
            </w:r>
            <w:r/>
          </w:p>
        </w:tc>
      </w:tr>
      <w:tr>
        <w:trPr>
          <w:cantSplit/>
        </w:trPr>
        <w:tc>
          <w:tcPr>
            <w:tcBorders/>
            <w:tcMar>
              <w:left w:w="70" w:type="dxa"/>
              <w:top w:w="60" w:type="dxa"/>
              <w:right w:w="70" w:type="dxa"/>
              <w:bottom w:w="60" w:type="dxa"/>
            </w:tcMar>
            <w:tcW w:w="815" w:type="dxa"/>
            <w:vAlign w:val="top"/>
          </w:tcPr>
          <w:p>
            <w:pPr>
              <w:pStyle w:val="1297"/>
              <w:pBdr/>
              <w:spacing/>
              <w:ind/>
              <w:rPr/>
            </w:pPr>
            <w:r>
              <w:t xml:space="preserve">RG-13</w:t>
            </w:r>
            <w:r/>
          </w:p>
        </w:tc>
        <w:tc>
          <w:tcPr>
            <w:tcBorders/>
            <w:tcMar>
              <w:left w:w="70" w:type="dxa"/>
              <w:top w:w="60" w:type="dxa"/>
              <w:right w:w="70" w:type="dxa"/>
              <w:bottom w:w="60" w:type="dxa"/>
            </w:tcMar>
            <w:tcW w:w="2148" w:type="dxa"/>
            <w:vAlign w:val="top"/>
          </w:tcPr>
          <w:p>
            <w:pPr>
              <w:pStyle w:val="1297"/>
              <w:pBdr/>
              <w:spacing/>
              <w:ind/>
              <w:rPr/>
            </w:pPr>
            <w:r>
              <w:t xml:space="preserve">7.3</w:t>
            </w:r>
            <w:r/>
          </w:p>
        </w:tc>
        <w:tc>
          <w:tcPr>
            <w:tcBorders/>
            <w:tcMar>
              <w:left w:w="70" w:type="dxa"/>
              <w:top w:w="60" w:type="dxa"/>
              <w:right w:w="70" w:type="dxa"/>
              <w:bottom w:w="60" w:type="dxa"/>
            </w:tcMar>
            <w:tcW w:w="4739" w:type="dxa"/>
            <w:vAlign w:val="top"/>
          </w:tcPr>
          <w:p>
            <w:pPr>
              <w:pStyle w:val="1297"/>
              <w:pBdr/>
              <w:spacing/>
              <w:ind/>
              <w:rPr/>
            </w:pPr>
            <w:r>
              <w:t xml:space="preserve">Which constitutive micropsychist variant should anchor the core record?</w:t>
            </w:r>
            <w:r/>
          </w:p>
        </w:tc>
        <w:tc>
          <w:tcPr>
            <w:tcBorders/>
            <w:tcMar>
              <w:left w:w="70" w:type="dxa"/>
              <w:top w:w="60" w:type="dxa"/>
              <w:right w:w="70" w:type="dxa"/>
              <w:bottom w:w="60" w:type="dxa"/>
            </w:tcMar>
            <w:tcW w:w="3110" w:type="dxa"/>
            <w:vAlign w:val="top"/>
          </w:tcPr>
          <w:p>
            <w:pPr>
              <w:pStyle w:val="1297"/>
              <w:pBdr/>
              <w:spacing/>
              <w:ind/>
              <w:rPr/>
            </w:pPr>
            <w:r>
              <w:rPr>
                <w:b/>
              </w:rPr>
              <w:t xml:space="preserve">Comparative research lead + relevant subject specialist conceptual; current-literature; severity:</w:t>
            </w:r>
            <w:r>
              <w:t xml:space="preserve"> IMPORTANT</w:t>
            </w:r>
            <w:r/>
          </w:p>
        </w:tc>
        <w:tc>
          <w:tcPr>
            <w:tcBorders/>
            <w:tcMar>
              <w:left w:w="70" w:type="dxa"/>
              <w:top w:w="60" w:type="dxa"/>
              <w:right w:w="70" w:type="dxa"/>
              <w:bottom w:w="60" w:type="dxa"/>
            </w:tcMar>
            <w:tcW w:w="4443" w:type="dxa"/>
            <w:vAlign w:val="top"/>
          </w:tcPr>
          <w:p>
            <w:pPr>
              <w:pStyle w:val="1297"/>
              <w:pBdr/>
              <w:spacing/>
              <w:ind/>
              <w:rPr/>
            </w:pPr>
            <w:r>
              <w:t xml:space="preserve">The named missing evidence/review exists, affected canonical records are updated and reviewed, and the chapter blocker is formally cleared or bounded as held material.</w:t>
            </w:r>
            <w:r/>
          </w:p>
        </w:tc>
      </w:tr>
      <w:tr>
        <w:trPr>
          <w:cantSplit/>
        </w:trPr>
        <w:tc>
          <w:tcPr>
            <w:shd w:val="clear" w:color="auto" w:fill="f7f9fa"/>
            <w:tcBorders/>
            <w:tcMar>
              <w:left w:w="70" w:type="dxa"/>
              <w:top w:w="60" w:type="dxa"/>
              <w:right w:w="70" w:type="dxa"/>
              <w:bottom w:w="60" w:type="dxa"/>
            </w:tcMar>
            <w:tcW w:w="815" w:type="dxa"/>
            <w:vAlign w:val="top"/>
          </w:tcPr>
          <w:p>
            <w:pPr>
              <w:pStyle w:val="1297"/>
              <w:pBdr/>
              <w:spacing/>
              <w:ind/>
              <w:rPr/>
            </w:pPr>
            <w:r>
              <w:t xml:space="preserve">RG-14</w:t>
            </w:r>
            <w:r/>
          </w:p>
        </w:tc>
        <w:tc>
          <w:tcPr>
            <w:shd w:val="clear" w:color="auto" w:fill="f7f9fa"/>
            <w:tcBorders/>
            <w:tcMar>
              <w:left w:w="70" w:type="dxa"/>
              <w:top w:w="60" w:type="dxa"/>
              <w:right w:w="70" w:type="dxa"/>
              <w:bottom w:w="60" w:type="dxa"/>
            </w:tcMar>
            <w:tcW w:w="2148" w:type="dxa"/>
            <w:vAlign w:val="top"/>
          </w:tcPr>
          <w:p>
            <w:pPr>
              <w:pStyle w:val="1297"/>
              <w:pBdr/>
              <w:spacing/>
              <w:ind/>
              <w:rPr/>
            </w:pPr>
            <w:r>
              <w:t xml:space="preserve">7.5</w:t>
            </w:r>
            <w:r/>
          </w:p>
        </w:tc>
        <w:tc>
          <w:tcPr>
            <w:shd w:val="clear" w:color="auto" w:fill="f7f9fa"/>
            <w:tcBorders/>
            <w:tcMar>
              <w:left w:w="70" w:type="dxa"/>
              <w:top w:w="60" w:type="dxa"/>
              <w:right w:w="70" w:type="dxa"/>
              <w:bottom w:w="60" w:type="dxa"/>
            </w:tcMar>
            <w:tcW w:w="4739" w:type="dxa"/>
            <w:vAlign w:val="top"/>
          </w:tcPr>
          <w:p>
            <w:pPr>
              <w:pStyle w:val="1297"/>
              <w:pBdr/>
              <w:spacing/>
              <w:ind/>
              <w:rPr/>
            </w:pPr>
            <w:r>
              <w:t xml:space="preserve">Does Frankish-style illusionism deny phenomenal consciousness or reframe its properties in the version selected?</w:t>
            </w:r>
            <w:r/>
          </w:p>
        </w:tc>
        <w:tc>
          <w:tcPr>
            <w:shd w:val="clear" w:color="auto" w:fill="f7f9fa"/>
            <w:tcBorders/>
            <w:tcMar>
              <w:left w:w="70" w:type="dxa"/>
              <w:top w:w="60" w:type="dxa"/>
              <w:right w:w="70" w:type="dxa"/>
              <w:bottom w:w="60" w:type="dxa"/>
            </w:tcMar>
            <w:tcW w:w="3110" w:type="dxa"/>
            <w:vAlign w:val="top"/>
          </w:tcPr>
          <w:p>
            <w:pPr>
              <w:pStyle w:val="1297"/>
              <w:pBdr/>
              <w:spacing/>
              <w:ind/>
              <w:rPr/>
            </w:pPr>
            <w:r>
              <w:rPr>
                <w:b/>
              </w:rPr>
              <w:t xml:space="preserve">Comparative research lead + relevant subject specialist conceptual; severity:</w:t>
            </w:r>
            <w:r>
              <w:t xml:space="preserve"> DESIRABLE</w:t>
            </w:r>
            <w:r/>
          </w:p>
        </w:tc>
        <w:tc>
          <w:tcPr>
            <w:shd w:val="clear" w:color="auto" w:fill="f7f9fa"/>
            <w:tcBorders/>
            <w:tcMar>
              <w:left w:w="70" w:type="dxa"/>
              <w:top w:w="60" w:type="dxa"/>
              <w:right w:w="70" w:type="dxa"/>
              <w:bottom w:w="60" w:type="dxa"/>
            </w:tcMar>
            <w:tcW w:w="4443" w:type="dxa"/>
            <w:vAlign w:val="top"/>
          </w:tcPr>
          <w:p>
            <w:pPr>
              <w:pStyle w:val="1297"/>
              <w:pBdr/>
              <w:spacing/>
              <w:ind/>
              <w:rPr/>
            </w:pPr>
            <w:r>
              <w:t xml:space="preserve">The named missing evidence/review exists, affected canonical records are updated and reviewed, and the chapter blocker is formally cleared or bounded as held material.</w:t>
            </w:r>
            <w:r/>
          </w:p>
        </w:tc>
      </w:tr>
      <w:tr>
        <w:trPr>
          <w:cantSplit/>
        </w:trPr>
        <w:tc>
          <w:tcPr>
            <w:tcBorders/>
            <w:tcMar>
              <w:left w:w="70" w:type="dxa"/>
              <w:top w:w="60" w:type="dxa"/>
              <w:right w:w="70" w:type="dxa"/>
              <w:bottom w:w="60" w:type="dxa"/>
            </w:tcMar>
            <w:tcW w:w="815" w:type="dxa"/>
            <w:vAlign w:val="top"/>
          </w:tcPr>
          <w:p>
            <w:pPr>
              <w:pStyle w:val="1297"/>
              <w:pBdr/>
              <w:spacing/>
              <w:ind/>
              <w:rPr/>
            </w:pPr>
            <w:r>
              <w:t xml:space="preserve">RG-15</w:t>
            </w:r>
            <w:r/>
          </w:p>
        </w:tc>
        <w:tc>
          <w:tcPr>
            <w:tcBorders/>
            <w:tcMar>
              <w:left w:w="70" w:type="dxa"/>
              <w:top w:w="60" w:type="dxa"/>
              <w:right w:w="70" w:type="dxa"/>
              <w:bottom w:w="60" w:type="dxa"/>
            </w:tcMar>
            <w:tcW w:w="2148" w:type="dxa"/>
            <w:vAlign w:val="top"/>
          </w:tcPr>
          <w:p>
            <w:pPr>
              <w:pStyle w:val="1297"/>
              <w:pBdr/>
              <w:spacing/>
              <w:ind/>
              <w:rPr/>
            </w:pPr>
            <w:r>
              <w:t xml:space="preserve">8.4 / 9.4 / 17.5</w:t>
            </w:r>
            <w:r/>
          </w:p>
        </w:tc>
        <w:tc>
          <w:tcPr>
            <w:tcBorders/>
            <w:tcMar>
              <w:left w:w="70" w:type="dxa"/>
              <w:top w:w="60" w:type="dxa"/>
              <w:right w:w="70" w:type="dxa"/>
              <w:bottom w:w="60" w:type="dxa"/>
            </w:tcMar>
            <w:tcW w:w="4739" w:type="dxa"/>
            <w:vAlign w:val="top"/>
          </w:tcPr>
          <w:p>
            <w:pPr>
              <w:pStyle w:val="1297"/>
              <w:pBdr/>
              <w:spacing/>
              <w:ind/>
              <w:rPr/>
            </w:pPr>
            <w:r>
              <w:t xml:space="preserve">How should Vasubandhu’s Viṃśikā/Triṃśikā corpus be bounded amid Yogācāra interpretive disputes?</w:t>
            </w:r>
            <w:r/>
          </w:p>
        </w:tc>
        <w:tc>
          <w:tcPr>
            <w:tcBorders/>
            <w:tcMar>
              <w:left w:w="70" w:type="dxa"/>
              <w:top w:w="60" w:type="dxa"/>
              <w:right w:w="70" w:type="dxa"/>
              <w:bottom w:w="60" w:type="dxa"/>
            </w:tcMar>
            <w:tcW w:w="3110" w:type="dxa"/>
            <w:vAlign w:val="top"/>
          </w:tcPr>
          <w:p>
            <w:pPr>
              <w:pStyle w:val="1297"/>
              <w:pBdr/>
              <w:spacing/>
              <w:ind/>
              <w:rPr/>
            </w:pPr>
            <w:r>
              <w:rPr>
                <w:b/>
              </w:rPr>
              <w:t xml:space="preserve">Research lead + relevant language/philology specialist philological; conceptual; severity:</w:t>
            </w:r>
            <w:r>
              <w:t xml:space="preserve"> IMPORTANT</w:t>
            </w:r>
            <w:r/>
          </w:p>
        </w:tc>
        <w:tc>
          <w:tcPr>
            <w:tcBorders/>
            <w:tcMar>
              <w:left w:w="70" w:type="dxa"/>
              <w:top w:w="60" w:type="dxa"/>
              <w:right w:w="70" w:type="dxa"/>
              <w:bottom w:w="60" w:type="dxa"/>
            </w:tcMar>
            <w:tcW w:w="4443" w:type="dxa"/>
            <w:vAlign w:val="top"/>
          </w:tcPr>
          <w:p>
            <w:pPr>
              <w:pStyle w:val="1297"/>
              <w:pBdr/>
              <w:spacing/>
              <w:ind/>
              <w:rPr/>
            </w:pPr>
            <w:r>
              <w:t xml:space="preserve">The named missing evidence/review exists, affected canonical records are updated and reviewed, and the chapter blocker is formally cleared or bounded as held material.</w:t>
            </w:r>
            <w:r/>
          </w:p>
        </w:tc>
      </w:tr>
      <w:tr>
        <w:trPr>
          <w:cantSplit/>
        </w:trPr>
        <w:tc>
          <w:tcPr>
            <w:shd w:val="clear" w:color="auto" w:fill="f7f9fa"/>
            <w:tcBorders/>
            <w:tcMar>
              <w:left w:w="70" w:type="dxa"/>
              <w:top w:w="60" w:type="dxa"/>
              <w:right w:w="70" w:type="dxa"/>
              <w:bottom w:w="60" w:type="dxa"/>
            </w:tcMar>
            <w:tcW w:w="815" w:type="dxa"/>
            <w:vAlign w:val="top"/>
          </w:tcPr>
          <w:p>
            <w:pPr>
              <w:pStyle w:val="1297"/>
              <w:pBdr/>
              <w:spacing/>
              <w:ind/>
              <w:rPr/>
            </w:pPr>
            <w:r>
              <w:t xml:space="preserve">RG-16</w:t>
            </w:r>
            <w:r/>
          </w:p>
        </w:tc>
        <w:tc>
          <w:tcPr>
            <w:shd w:val="clear" w:color="auto" w:fill="f7f9fa"/>
            <w:tcBorders/>
            <w:tcMar>
              <w:left w:w="70" w:type="dxa"/>
              <w:top w:w="60" w:type="dxa"/>
              <w:right w:w="70" w:type="dxa"/>
              <w:bottom w:w="60" w:type="dxa"/>
            </w:tcMar>
            <w:tcW w:w="2148" w:type="dxa"/>
            <w:vAlign w:val="top"/>
          </w:tcPr>
          <w:p>
            <w:pPr>
              <w:pStyle w:val="1297"/>
              <w:pBdr/>
              <w:spacing/>
              <w:ind/>
              <w:rPr/>
            </w:pPr>
            <w:r>
              <w:t xml:space="preserve">10.2</w:t>
            </w:r>
            <w:r/>
          </w:p>
        </w:tc>
        <w:tc>
          <w:tcPr>
            <w:shd w:val="clear" w:color="auto" w:fill="f7f9fa"/>
            <w:tcBorders/>
            <w:tcMar>
              <w:left w:w="70" w:type="dxa"/>
              <w:top w:w="60" w:type="dxa"/>
              <w:right w:w="70" w:type="dxa"/>
              <w:bottom w:w="60" w:type="dxa"/>
            </w:tcMar>
            <w:tcW w:w="4739" w:type="dxa"/>
            <w:vAlign w:val="top"/>
          </w:tcPr>
          <w:p>
            <w:pPr>
              <w:pStyle w:val="1297"/>
              <w:pBdr/>
              <w:spacing/>
              <w:ind/>
              <w:rPr/>
            </w:pPr>
            <w:r>
              <w:t xml:space="preserve">How should Wiredu/Gyekye and related Akan personhood accounts be represented as a dispute rather than 'Akan belief'?</w:t>
            </w:r>
            <w:r/>
          </w:p>
        </w:tc>
        <w:tc>
          <w:tcPr>
            <w:shd w:val="clear" w:color="auto" w:fill="f7f9fa"/>
            <w:tcBorders/>
            <w:tcMar>
              <w:left w:w="70" w:type="dxa"/>
              <w:top w:w="60" w:type="dxa"/>
              <w:right w:w="70" w:type="dxa"/>
              <w:bottom w:w="60" w:type="dxa"/>
            </w:tcMar>
            <w:tcW w:w="3110" w:type="dxa"/>
            <w:vAlign w:val="top"/>
          </w:tcPr>
          <w:p>
            <w:pPr>
              <w:pStyle w:val="1297"/>
              <w:pBdr/>
              <w:spacing/>
              <w:ind/>
              <w:rPr/>
            </w:pPr>
            <w:r>
              <w:rPr>
                <w:b/>
              </w:rPr>
              <w:t xml:space="preserve">Research lead + relevant language/philology specialist conceptual; external-review; severity:</w:t>
            </w:r>
            <w:r>
              <w:t xml:space="preserve"> IMPORTANT</w:t>
            </w:r>
            <w:r/>
          </w:p>
        </w:tc>
        <w:tc>
          <w:tcPr>
            <w:shd w:val="clear" w:color="auto" w:fill="f7f9fa"/>
            <w:tcBorders/>
            <w:tcMar>
              <w:left w:w="70" w:type="dxa"/>
              <w:top w:w="60" w:type="dxa"/>
              <w:right w:w="70" w:type="dxa"/>
              <w:bottom w:w="60" w:type="dxa"/>
            </w:tcMar>
            <w:tcW w:w="4443" w:type="dxa"/>
            <w:vAlign w:val="top"/>
          </w:tcPr>
          <w:p>
            <w:pPr>
              <w:pStyle w:val="1297"/>
              <w:pBdr/>
              <w:spacing/>
              <w:ind/>
              <w:rPr/>
            </w:pPr>
            <w:r>
              <w:t xml:space="preserve">The named missing evidence/review exists, affected canonical records are updated and reviewed, and the chapter blocker is formally cleared or bounded as held material.</w:t>
            </w:r>
            <w:r/>
          </w:p>
        </w:tc>
      </w:tr>
      <w:tr>
        <w:trPr>
          <w:cantSplit/>
        </w:trPr>
        <w:tc>
          <w:tcPr>
            <w:tcBorders/>
            <w:tcMar>
              <w:left w:w="70" w:type="dxa"/>
              <w:top w:w="60" w:type="dxa"/>
              <w:right w:w="70" w:type="dxa"/>
              <w:bottom w:w="60" w:type="dxa"/>
            </w:tcMar>
            <w:tcW w:w="815" w:type="dxa"/>
            <w:vAlign w:val="top"/>
          </w:tcPr>
          <w:p>
            <w:pPr>
              <w:pStyle w:val="1297"/>
              <w:pBdr/>
              <w:spacing/>
              <w:ind/>
              <w:rPr/>
            </w:pPr>
            <w:r>
              <w:t xml:space="preserve">RG-17</w:t>
            </w:r>
            <w:r/>
          </w:p>
        </w:tc>
        <w:tc>
          <w:tcPr>
            <w:tcBorders/>
            <w:tcMar>
              <w:left w:w="70" w:type="dxa"/>
              <w:top w:w="60" w:type="dxa"/>
              <w:right w:w="70" w:type="dxa"/>
              <w:bottom w:w="60" w:type="dxa"/>
            </w:tcMar>
            <w:tcW w:w="2148" w:type="dxa"/>
            <w:vAlign w:val="top"/>
          </w:tcPr>
          <w:p>
            <w:pPr>
              <w:pStyle w:val="1297"/>
              <w:pBdr/>
              <w:spacing/>
              <w:ind/>
              <w:rPr/>
            </w:pPr>
            <w:r>
              <w:t xml:space="preserve">11.7 / 13.5 / 16.5 / 18.7</w:t>
            </w:r>
            <w:r/>
          </w:p>
        </w:tc>
        <w:tc>
          <w:tcPr>
            <w:tcBorders/>
            <w:tcMar>
              <w:left w:w="70" w:type="dxa"/>
              <w:top w:w="60" w:type="dxa"/>
              <w:right w:w="70" w:type="dxa"/>
              <w:bottom w:w="60" w:type="dxa"/>
            </w:tcMar>
            <w:tcW w:w="4739" w:type="dxa"/>
            <w:vAlign w:val="top"/>
          </w:tcPr>
          <w:p>
            <w:pPr>
              <w:pStyle w:val="1297"/>
              <w:pBdr/>
              <w:spacing/>
              <w:ind/>
              <w:rPr/>
            </w:pPr>
            <w:r>
              <w:t xml:space="preserve">What bounded early-gurmat claims can be securely attributed to Guru Nanak compositions and what requires later Sikh context?</w:t>
            </w:r>
            <w:r/>
          </w:p>
        </w:tc>
        <w:tc>
          <w:tcPr>
            <w:tcBorders/>
            <w:tcMar>
              <w:left w:w="70" w:type="dxa"/>
              <w:top w:w="60" w:type="dxa"/>
              <w:right w:w="70" w:type="dxa"/>
              <w:bottom w:w="60" w:type="dxa"/>
            </w:tcMar>
            <w:tcW w:w="3110" w:type="dxa"/>
            <w:vAlign w:val="top"/>
          </w:tcPr>
          <w:p>
            <w:pPr>
              <w:pStyle w:val="1297"/>
              <w:pBdr/>
              <w:spacing/>
              <w:ind/>
              <w:rPr/>
            </w:pPr>
            <w:r>
              <w:rPr>
                <w:b/>
              </w:rPr>
              <w:t xml:space="preserve">Research lead + relevant language/philology specialist philological; factual; severity:</w:t>
            </w:r>
            <w:r>
              <w:t xml:space="preserve"> BLOCKING manuscript claim</w:t>
            </w:r>
            <w:r/>
          </w:p>
        </w:tc>
        <w:tc>
          <w:tcPr>
            <w:tcBorders/>
            <w:tcMar>
              <w:left w:w="70" w:type="dxa"/>
              <w:top w:w="60" w:type="dxa"/>
              <w:right w:w="70" w:type="dxa"/>
              <w:bottom w:w="60" w:type="dxa"/>
            </w:tcMar>
            <w:tcW w:w="4443" w:type="dxa"/>
            <w:vAlign w:val="top"/>
          </w:tcPr>
          <w:p>
            <w:pPr>
              <w:pStyle w:val="1297"/>
              <w:pBdr/>
              <w:spacing/>
              <w:ind/>
              <w:rPr/>
            </w:pPr>
            <w:r>
              <w:t xml:space="preserve">The named missing evidence/review exists, affected canonical records are updated and reviewed, and the chapter blocker is formally cleared or bounded as held material.</w:t>
            </w:r>
            <w:r/>
          </w:p>
        </w:tc>
      </w:tr>
      <w:tr>
        <w:trPr>
          <w:cantSplit/>
        </w:trPr>
        <w:tc>
          <w:tcPr>
            <w:shd w:val="clear" w:color="auto" w:fill="f7f9fa"/>
            <w:tcBorders/>
            <w:tcMar>
              <w:left w:w="70" w:type="dxa"/>
              <w:top w:w="60" w:type="dxa"/>
              <w:right w:w="70" w:type="dxa"/>
              <w:bottom w:w="60" w:type="dxa"/>
            </w:tcMar>
            <w:tcW w:w="815" w:type="dxa"/>
            <w:vAlign w:val="top"/>
          </w:tcPr>
          <w:p>
            <w:pPr>
              <w:pStyle w:val="1297"/>
              <w:pBdr/>
              <w:spacing/>
              <w:ind/>
              <w:rPr/>
            </w:pPr>
            <w:r>
              <w:t xml:space="preserve">RG-18</w:t>
            </w:r>
            <w:r/>
          </w:p>
        </w:tc>
        <w:tc>
          <w:tcPr>
            <w:shd w:val="clear" w:color="auto" w:fill="f7f9fa"/>
            <w:tcBorders/>
            <w:tcMar>
              <w:left w:w="70" w:type="dxa"/>
              <w:top w:w="60" w:type="dxa"/>
              <w:right w:w="70" w:type="dxa"/>
              <w:bottom w:w="60" w:type="dxa"/>
            </w:tcMar>
            <w:tcW w:w="2148" w:type="dxa"/>
            <w:vAlign w:val="top"/>
          </w:tcPr>
          <w:p>
            <w:pPr>
              <w:pStyle w:val="1297"/>
              <w:pBdr/>
              <w:spacing/>
              <w:ind/>
              <w:rPr/>
            </w:pPr>
            <w:r>
              <w:t xml:space="preserve">14.5</w:t>
            </w:r>
            <w:r/>
          </w:p>
        </w:tc>
        <w:tc>
          <w:tcPr>
            <w:shd w:val="clear" w:color="auto" w:fill="f7f9fa"/>
            <w:tcBorders/>
            <w:tcMar>
              <w:left w:w="70" w:type="dxa"/>
              <w:top w:w="60" w:type="dxa"/>
              <w:right w:w="70" w:type="dxa"/>
              <w:bottom w:w="60" w:type="dxa"/>
            </w:tcMar>
            <w:tcW w:w="4739" w:type="dxa"/>
            <w:vAlign w:val="top"/>
          </w:tcPr>
          <w:p>
            <w:pPr>
              <w:pStyle w:val="1297"/>
              <w:pBdr/>
              <w:spacing/>
              <w:ind/>
              <w:rPr/>
            </w:pPr>
            <w:r>
              <w:t xml:space="preserve">How should Avicenna/al-Ghazālī causal disagreement be stated without flattening either into 'necessitarianism' or 'occasionalism'?</w:t>
            </w:r>
            <w:r/>
          </w:p>
        </w:tc>
        <w:tc>
          <w:tcPr>
            <w:shd w:val="clear" w:color="auto" w:fill="f7f9fa"/>
            <w:tcBorders/>
            <w:tcMar>
              <w:left w:w="70" w:type="dxa"/>
              <w:top w:w="60" w:type="dxa"/>
              <w:right w:w="70" w:type="dxa"/>
              <w:bottom w:w="60" w:type="dxa"/>
            </w:tcMar>
            <w:tcW w:w="3110" w:type="dxa"/>
            <w:vAlign w:val="top"/>
          </w:tcPr>
          <w:p>
            <w:pPr>
              <w:pStyle w:val="1297"/>
              <w:pBdr/>
              <w:spacing/>
              <w:ind/>
              <w:rPr/>
            </w:pPr>
            <w:r>
              <w:rPr>
                <w:b/>
              </w:rPr>
              <w:t xml:space="preserve">Comparative research lead + relevant subject specialist conceptual; genealogical; severity:</w:t>
            </w:r>
            <w:r>
              <w:t xml:space="preserve"> IMPORTANT</w:t>
            </w:r>
            <w:r/>
          </w:p>
        </w:tc>
        <w:tc>
          <w:tcPr>
            <w:shd w:val="clear" w:color="auto" w:fill="f7f9fa"/>
            <w:tcBorders/>
            <w:tcMar>
              <w:left w:w="70" w:type="dxa"/>
              <w:top w:w="60" w:type="dxa"/>
              <w:right w:w="70" w:type="dxa"/>
              <w:bottom w:w="60" w:type="dxa"/>
            </w:tcMar>
            <w:tcW w:w="4443" w:type="dxa"/>
            <w:vAlign w:val="top"/>
          </w:tcPr>
          <w:p>
            <w:pPr>
              <w:pStyle w:val="1297"/>
              <w:pBdr/>
              <w:spacing/>
              <w:ind/>
              <w:rPr/>
            </w:pPr>
            <w:r>
              <w:t xml:space="preserve">The named missing evidence/review exists, affected canonical records are updated and reviewed, and the chapter blocker is formally cleared or bounded as held material.</w:t>
            </w:r>
            <w:r/>
          </w:p>
        </w:tc>
      </w:tr>
      <w:tr>
        <w:trPr>
          <w:cantSplit/>
        </w:trPr>
        <w:tc>
          <w:tcPr>
            <w:tcBorders/>
            <w:tcMar>
              <w:left w:w="70" w:type="dxa"/>
              <w:top w:w="60" w:type="dxa"/>
              <w:right w:w="70" w:type="dxa"/>
              <w:bottom w:w="60" w:type="dxa"/>
            </w:tcMar>
            <w:tcW w:w="815" w:type="dxa"/>
            <w:vAlign w:val="top"/>
          </w:tcPr>
          <w:p>
            <w:pPr>
              <w:pStyle w:val="1297"/>
              <w:pBdr/>
              <w:spacing/>
              <w:ind/>
              <w:rPr/>
            </w:pPr>
            <w:r>
              <w:t xml:space="preserve">RG-19</w:t>
            </w:r>
            <w:r/>
          </w:p>
        </w:tc>
        <w:tc>
          <w:tcPr>
            <w:tcBorders/>
            <w:tcMar>
              <w:left w:w="70" w:type="dxa"/>
              <w:top w:w="60" w:type="dxa"/>
              <w:right w:w="70" w:type="dxa"/>
              <w:bottom w:w="60" w:type="dxa"/>
            </w:tcMar>
            <w:tcW w:w="2148" w:type="dxa"/>
            <w:vAlign w:val="top"/>
          </w:tcPr>
          <w:p>
            <w:pPr>
              <w:pStyle w:val="1297"/>
              <w:pBdr/>
              <w:spacing/>
              <w:ind/>
              <w:rPr/>
            </w:pPr>
            <w:r>
              <w:t xml:space="preserve">15.4</w:t>
            </w:r>
            <w:r/>
          </w:p>
        </w:tc>
        <w:tc>
          <w:tcPr>
            <w:tcBorders/>
            <w:tcMar>
              <w:left w:w="70" w:type="dxa"/>
              <w:top w:w="60" w:type="dxa"/>
              <w:right w:w="70" w:type="dxa"/>
              <w:bottom w:w="60" w:type="dxa"/>
            </w:tcMar>
            <w:tcW w:w="4739" w:type="dxa"/>
            <w:vAlign w:val="top"/>
          </w:tcPr>
          <w:p>
            <w:pPr>
              <w:pStyle w:val="1297"/>
              <w:pBdr/>
              <w:spacing/>
              <w:ind/>
              <w:rPr/>
            </w:pPr>
            <w:r>
              <w:t xml:space="preserve">Which Stoic agency claims can be responsibly attributed to Chrysippus given fragmentary reconstruction?</w:t>
            </w:r>
            <w:r/>
          </w:p>
        </w:tc>
        <w:tc>
          <w:tcPr>
            <w:tcBorders/>
            <w:tcMar>
              <w:left w:w="70" w:type="dxa"/>
              <w:top w:w="60" w:type="dxa"/>
              <w:right w:w="70" w:type="dxa"/>
              <w:bottom w:w="60" w:type="dxa"/>
            </w:tcMar>
            <w:tcW w:w="3110" w:type="dxa"/>
            <w:vAlign w:val="top"/>
          </w:tcPr>
          <w:p>
            <w:pPr>
              <w:pStyle w:val="1297"/>
              <w:pBdr/>
              <w:spacing/>
              <w:ind/>
              <w:rPr/>
            </w:pPr>
            <w:r>
              <w:rPr>
                <w:b/>
              </w:rPr>
              <w:t xml:space="preserve">Research lead + relevant language/philology specialist factual; philological; severity:</w:t>
            </w:r>
            <w:r>
              <w:t xml:space="preserve"> IMPORTANT</w:t>
            </w:r>
            <w:r/>
          </w:p>
        </w:tc>
        <w:tc>
          <w:tcPr>
            <w:tcBorders/>
            <w:tcMar>
              <w:left w:w="70" w:type="dxa"/>
              <w:top w:w="60" w:type="dxa"/>
              <w:right w:w="70" w:type="dxa"/>
              <w:bottom w:w="60" w:type="dxa"/>
            </w:tcMar>
            <w:tcW w:w="4443" w:type="dxa"/>
            <w:vAlign w:val="top"/>
          </w:tcPr>
          <w:p>
            <w:pPr>
              <w:pStyle w:val="1297"/>
              <w:pBdr/>
              <w:spacing/>
              <w:ind/>
              <w:rPr/>
            </w:pPr>
            <w:r>
              <w:t xml:space="preserve">The named missing evidence/review exists, affected canonical records are updated and reviewed, and the chapter blocker is formally cleared or bounded as held material.</w:t>
            </w:r>
            <w:r/>
          </w:p>
        </w:tc>
      </w:tr>
      <w:tr>
        <w:trPr>
          <w:cantSplit/>
        </w:trPr>
        <w:tc>
          <w:tcPr>
            <w:shd w:val="clear" w:color="auto" w:fill="f7f9fa"/>
            <w:tcBorders/>
            <w:tcMar>
              <w:left w:w="70" w:type="dxa"/>
              <w:top w:w="60" w:type="dxa"/>
              <w:right w:w="70" w:type="dxa"/>
              <w:bottom w:w="60" w:type="dxa"/>
            </w:tcMar>
            <w:tcW w:w="815" w:type="dxa"/>
            <w:vAlign w:val="top"/>
          </w:tcPr>
          <w:p>
            <w:pPr>
              <w:pStyle w:val="1297"/>
              <w:pBdr/>
              <w:spacing/>
              <w:ind/>
              <w:rPr/>
            </w:pPr>
            <w:r>
              <w:t xml:space="preserve">RG-20</w:t>
            </w:r>
            <w:r/>
          </w:p>
        </w:tc>
        <w:tc>
          <w:tcPr>
            <w:shd w:val="clear" w:color="auto" w:fill="f7f9fa"/>
            <w:tcBorders/>
            <w:tcMar>
              <w:left w:w="70" w:type="dxa"/>
              <w:top w:w="60" w:type="dxa"/>
              <w:right w:w="70" w:type="dxa"/>
              <w:bottom w:w="60" w:type="dxa"/>
            </w:tcMar>
            <w:tcW w:w="2148" w:type="dxa"/>
            <w:vAlign w:val="top"/>
          </w:tcPr>
          <w:p>
            <w:pPr>
              <w:pStyle w:val="1297"/>
              <w:pBdr/>
              <w:spacing/>
              <w:ind/>
              <w:rPr/>
            </w:pPr>
            <w:r>
              <w:t xml:space="preserve">15.5 / 16.6</w:t>
            </w:r>
            <w:r/>
          </w:p>
        </w:tc>
        <w:tc>
          <w:tcPr>
            <w:shd w:val="clear" w:color="auto" w:fill="f7f9fa"/>
            <w:tcBorders/>
            <w:tcMar>
              <w:left w:w="70" w:type="dxa"/>
              <w:top w:w="60" w:type="dxa"/>
              <w:right w:w="70" w:type="dxa"/>
              <w:bottom w:w="60" w:type="dxa"/>
            </w:tcMar>
            <w:tcW w:w="4739" w:type="dxa"/>
            <w:vAlign w:val="top"/>
          </w:tcPr>
          <w:p>
            <w:pPr>
              <w:pStyle w:val="1297"/>
              <w:pBdr/>
              <w:spacing/>
              <w:ind/>
              <w:rPr/>
            </w:pPr>
            <w:r>
              <w:t xml:space="preserve">Which English renderings of ziran, xin, dao and related Zhuangzi terms avoid free-will/harmony projection?</w:t>
            </w:r>
            <w:r/>
          </w:p>
        </w:tc>
        <w:tc>
          <w:tcPr>
            <w:shd w:val="clear" w:color="auto" w:fill="f7f9fa"/>
            <w:tcBorders/>
            <w:tcMar>
              <w:left w:w="70" w:type="dxa"/>
              <w:top w:w="60" w:type="dxa"/>
              <w:right w:w="70" w:type="dxa"/>
              <w:bottom w:w="60" w:type="dxa"/>
            </w:tcMar>
            <w:tcW w:w="3110" w:type="dxa"/>
            <w:vAlign w:val="top"/>
          </w:tcPr>
          <w:p>
            <w:pPr>
              <w:pStyle w:val="1297"/>
              <w:pBdr/>
              <w:spacing/>
              <w:ind/>
              <w:rPr/>
            </w:pPr>
            <w:r>
              <w:rPr>
                <w:b/>
              </w:rPr>
              <w:t xml:space="preserve">Research lead + relevant language/philology specialist philological; conceptual; severity:</w:t>
            </w:r>
            <w:r>
              <w:t xml:space="preserve"> IMPORTANT</w:t>
            </w:r>
            <w:r/>
          </w:p>
        </w:tc>
        <w:tc>
          <w:tcPr>
            <w:shd w:val="clear" w:color="auto" w:fill="f7f9fa"/>
            <w:tcBorders/>
            <w:tcMar>
              <w:left w:w="70" w:type="dxa"/>
              <w:top w:w="60" w:type="dxa"/>
              <w:right w:w="70" w:type="dxa"/>
              <w:bottom w:w="60" w:type="dxa"/>
            </w:tcMar>
            <w:tcW w:w="4443" w:type="dxa"/>
            <w:vAlign w:val="top"/>
          </w:tcPr>
          <w:p>
            <w:pPr>
              <w:pStyle w:val="1297"/>
              <w:pBdr/>
              <w:spacing/>
              <w:ind/>
              <w:rPr/>
            </w:pPr>
            <w:r>
              <w:t xml:space="preserve">The named missing evidence/review exists, affected canonical records are updated and reviewed, and the chapter blocker is formally cleared or bounded as held material.</w:t>
            </w:r>
            <w:r/>
          </w:p>
        </w:tc>
      </w:tr>
      <w:tr>
        <w:trPr>
          <w:cantSplit/>
        </w:trPr>
        <w:tc>
          <w:tcPr>
            <w:tcBorders/>
            <w:tcMar>
              <w:left w:w="70" w:type="dxa"/>
              <w:top w:w="60" w:type="dxa"/>
              <w:right w:w="70" w:type="dxa"/>
              <w:bottom w:w="60" w:type="dxa"/>
            </w:tcMar>
            <w:tcW w:w="815" w:type="dxa"/>
            <w:vAlign w:val="top"/>
          </w:tcPr>
          <w:p>
            <w:pPr>
              <w:pStyle w:val="1297"/>
              <w:pBdr/>
              <w:spacing/>
              <w:ind/>
              <w:rPr/>
            </w:pPr>
            <w:r>
              <w:t xml:space="preserve">RG-21</w:t>
            </w:r>
            <w:r/>
          </w:p>
        </w:tc>
        <w:tc>
          <w:tcPr>
            <w:tcBorders/>
            <w:tcMar>
              <w:left w:w="70" w:type="dxa"/>
              <w:top w:w="60" w:type="dxa"/>
              <w:right w:w="70" w:type="dxa"/>
              <w:bottom w:w="60" w:type="dxa"/>
            </w:tcMar>
            <w:tcW w:w="2148" w:type="dxa"/>
            <w:vAlign w:val="top"/>
          </w:tcPr>
          <w:p>
            <w:pPr>
              <w:pStyle w:val="1297"/>
              <w:pBdr/>
              <w:spacing/>
              <w:ind/>
              <w:rPr/>
            </w:pPr>
            <w:r>
              <w:t xml:space="preserve">16.5 / 18.7</w:t>
            </w:r>
            <w:r/>
          </w:p>
        </w:tc>
        <w:tc>
          <w:tcPr>
            <w:tcBorders/>
            <w:tcMar>
              <w:left w:w="70" w:type="dxa"/>
              <w:top w:w="60" w:type="dxa"/>
              <w:right w:w="70" w:type="dxa"/>
              <w:bottom w:w="60" w:type="dxa"/>
            </w:tcMar>
            <w:tcW w:w="4739" w:type="dxa"/>
            <w:vAlign w:val="top"/>
          </w:tcPr>
          <w:p>
            <w:pPr>
              <w:pStyle w:val="1297"/>
              <w:pBdr/>
              <w:spacing/>
              <w:ind/>
              <w:rPr/>
            </w:pPr>
            <w:r>
              <w:t xml:space="preserve">Does 'householder/world-affirming' accurately capture the selected Guru Nanak material, or import later social categories?</w:t>
            </w:r>
            <w:r/>
          </w:p>
        </w:tc>
        <w:tc>
          <w:tcPr>
            <w:tcBorders/>
            <w:tcMar>
              <w:left w:w="70" w:type="dxa"/>
              <w:top w:w="60" w:type="dxa"/>
              <w:right w:w="70" w:type="dxa"/>
              <w:bottom w:w="60" w:type="dxa"/>
            </w:tcMar>
            <w:tcW w:w="3110" w:type="dxa"/>
            <w:vAlign w:val="top"/>
          </w:tcPr>
          <w:p>
            <w:pPr>
              <w:pStyle w:val="1297"/>
              <w:pBdr/>
              <w:spacing/>
              <w:ind/>
              <w:rPr/>
            </w:pPr>
            <w:r>
              <w:rPr>
                <w:b/>
              </w:rPr>
              <w:t xml:space="preserve">Research lead + relevant language/philology specialist conceptual; philological; severity:</w:t>
            </w:r>
            <w:r>
              <w:t xml:space="preserve"> IMPORTANT</w:t>
            </w:r>
            <w:r/>
          </w:p>
        </w:tc>
        <w:tc>
          <w:tcPr>
            <w:tcBorders/>
            <w:tcMar>
              <w:left w:w="70" w:type="dxa"/>
              <w:top w:w="60" w:type="dxa"/>
              <w:right w:w="70" w:type="dxa"/>
              <w:bottom w:w="60" w:type="dxa"/>
            </w:tcMar>
            <w:tcW w:w="4443" w:type="dxa"/>
            <w:vAlign w:val="top"/>
          </w:tcPr>
          <w:p>
            <w:pPr>
              <w:pStyle w:val="1297"/>
              <w:pBdr/>
              <w:spacing/>
              <w:ind/>
              <w:rPr/>
            </w:pPr>
            <w:r>
              <w:t xml:space="preserve">The named missing evidence/review exists, affected canonical records are updated and reviewed, and the chapter blocker is formally cleared or bounded as held material.</w:t>
            </w:r>
            <w:r/>
          </w:p>
        </w:tc>
      </w:tr>
      <w:tr>
        <w:trPr>
          <w:cantSplit/>
        </w:trPr>
        <w:tc>
          <w:tcPr>
            <w:shd w:val="clear" w:color="auto" w:fill="f7f9fa"/>
            <w:tcBorders/>
            <w:tcMar>
              <w:left w:w="70" w:type="dxa"/>
              <w:top w:w="60" w:type="dxa"/>
              <w:right w:w="70" w:type="dxa"/>
              <w:bottom w:w="60" w:type="dxa"/>
            </w:tcMar>
            <w:tcW w:w="815" w:type="dxa"/>
            <w:vAlign w:val="top"/>
          </w:tcPr>
          <w:p>
            <w:pPr>
              <w:pStyle w:val="1297"/>
              <w:pBdr/>
              <w:spacing/>
              <w:ind/>
              <w:rPr/>
            </w:pPr>
            <w:r>
              <w:t xml:space="preserve">RG-22</w:t>
            </w:r>
            <w:r/>
          </w:p>
        </w:tc>
        <w:tc>
          <w:tcPr>
            <w:shd w:val="clear" w:color="auto" w:fill="f7f9fa"/>
            <w:tcBorders/>
            <w:tcMar>
              <w:left w:w="70" w:type="dxa"/>
              <w:top w:w="60" w:type="dxa"/>
              <w:right w:w="70" w:type="dxa"/>
              <w:bottom w:w="60" w:type="dxa"/>
            </w:tcMar>
            <w:tcW w:w="2148" w:type="dxa"/>
            <w:vAlign w:val="top"/>
          </w:tcPr>
          <w:p>
            <w:pPr>
              <w:pStyle w:val="1297"/>
              <w:pBdr/>
              <w:spacing/>
              <w:ind/>
              <w:rPr/>
            </w:pPr>
            <w:r>
              <w:t xml:space="preserve">17.2 / 9.2</w:t>
            </w:r>
            <w:r/>
          </w:p>
        </w:tc>
        <w:tc>
          <w:tcPr>
            <w:shd w:val="clear" w:color="auto" w:fill="f7f9fa"/>
            <w:tcBorders/>
            <w:tcMar>
              <w:left w:w="70" w:type="dxa"/>
              <w:top w:w="60" w:type="dxa"/>
              <w:right w:w="70" w:type="dxa"/>
              <w:bottom w:w="60" w:type="dxa"/>
            </w:tcMar>
            <w:tcW w:w="4739" w:type="dxa"/>
            <w:vAlign w:val="top"/>
          </w:tcPr>
          <w:p>
            <w:pPr>
              <w:pStyle w:val="1297"/>
              <w:pBdr/>
              <w:spacing/>
              <w:ind/>
              <w:rPr/>
            </w:pPr>
            <w:r>
              <w:t xml:space="preserve">What exactly grounds personal identity across resurrection for Gregory?</w:t>
            </w:r>
            <w:r/>
          </w:p>
        </w:tc>
        <w:tc>
          <w:tcPr>
            <w:shd w:val="clear" w:color="auto" w:fill="f7f9fa"/>
            <w:tcBorders/>
            <w:tcMar>
              <w:left w:w="70" w:type="dxa"/>
              <w:top w:w="60" w:type="dxa"/>
              <w:right w:w="70" w:type="dxa"/>
              <w:bottom w:w="60" w:type="dxa"/>
            </w:tcMar>
            <w:tcW w:w="3110" w:type="dxa"/>
            <w:vAlign w:val="top"/>
          </w:tcPr>
          <w:p>
            <w:pPr>
              <w:pStyle w:val="1297"/>
              <w:pBdr/>
              <w:spacing/>
              <w:ind/>
              <w:rPr/>
            </w:pPr>
            <w:r>
              <w:rPr>
                <w:b/>
              </w:rPr>
              <w:t xml:space="preserve">Research lead + relevant language/philology specialist factual; conceptual; severity:</w:t>
            </w:r>
            <w:r>
              <w:t xml:space="preserve"> IMPORTANT</w:t>
            </w:r>
            <w:r/>
          </w:p>
        </w:tc>
        <w:tc>
          <w:tcPr>
            <w:shd w:val="clear" w:color="auto" w:fill="f7f9fa"/>
            <w:tcBorders/>
            <w:tcMar>
              <w:left w:w="70" w:type="dxa"/>
              <w:top w:w="60" w:type="dxa"/>
              <w:right w:w="70" w:type="dxa"/>
              <w:bottom w:w="60" w:type="dxa"/>
            </w:tcMar>
            <w:tcW w:w="4443" w:type="dxa"/>
            <w:vAlign w:val="top"/>
          </w:tcPr>
          <w:p>
            <w:pPr>
              <w:pStyle w:val="1297"/>
              <w:pBdr/>
              <w:spacing/>
              <w:ind/>
              <w:rPr/>
            </w:pPr>
            <w:r>
              <w:t xml:space="preserve">The named missing evidence/review exists, affected canonical records are updated and reviewed, and the chapter blocker is formally cleared or bounded as held material.</w:t>
            </w:r>
            <w:r/>
          </w:p>
        </w:tc>
      </w:tr>
      <w:tr>
        <w:trPr>
          <w:cantSplit/>
        </w:trPr>
        <w:tc>
          <w:tcPr>
            <w:tcBorders/>
            <w:tcMar>
              <w:left w:w="70" w:type="dxa"/>
              <w:top w:w="60" w:type="dxa"/>
              <w:right w:w="70" w:type="dxa"/>
              <w:bottom w:w="60" w:type="dxa"/>
            </w:tcMar>
            <w:tcW w:w="815" w:type="dxa"/>
            <w:vAlign w:val="top"/>
          </w:tcPr>
          <w:p>
            <w:pPr>
              <w:pStyle w:val="1297"/>
              <w:pBdr/>
              <w:spacing/>
              <w:ind/>
              <w:rPr/>
            </w:pPr>
            <w:r>
              <w:t xml:space="preserve">RG-23</w:t>
            </w:r>
            <w:r/>
          </w:p>
        </w:tc>
        <w:tc>
          <w:tcPr>
            <w:tcBorders/>
            <w:tcMar>
              <w:left w:w="70" w:type="dxa"/>
              <w:top w:w="60" w:type="dxa"/>
              <w:right w:w="70" w:type="dxa"/>
              <w:bottom w:w="60" w:type="dxa"/>
            </w:tcMar>
            <w:tcW w:w="2148" w:type="dxa"/>
            <w:vAlign w:val="top"/>
          </w:tcPr>
          <w:p>
            <w:pPr>
              <w:pStyle w:val="1297"/>
              <w:pBdr/>
              <w:spacing/>
              <w:ind/>
              <w:rPr/>
            </w:pPr>
            <w:r>
              <w:t xml:space="preserve">17.8</w:t>
            </w:r>
            <w:r/>
          </w:p>
        </w:tc>
        <w:tc>
          <w:tcPr>
            <w:tcBorders/>
            <w:tcMar>
              <w:left w:w="70" w:type="dxa"/>
              <w:top w:w="60" w:type="dxa"/>
              <w:right w:w="70" w:type="dxa"/>
              <w:bottom w:w="60" w:type="dxa"/>
            </w:tcMar>
            <w:tcW w:w="4739" w:type="dxa"/>
            <w:vAlign w:val="top"/>
          </w:tcPr>
          <w:p>
            <w:pPr>
              <w:pStyle w:val="1297"/>
              <w:pBdr/>
              <w:spacing/>
              <w:ind/>
              <w:rPr/>
            </w:pPr>
            <w:r>
              <w:t xml:space="preserve">Which long-recension Apocryphon passages support postmortem/re-embodiment claims, and how do witnesses vary?</w:t>
            </w:r>
            <w:r/>
          </w:p>
        </w:tc>
        <w:tc>
          <w:tcPr>
            <w:tcBorders/>
            <w:tcMar>
              <w:left w:w="70" w:type="dxa"/>
              <w:top w:w="60" w:type="dxa"/>
              <w:right w:w="70" w:type="dxa"/>
              <w:bottom w:w="60" w:type="dxa"/>
            </w:tcMar>
            <w:tcW w:w="3110" w:type="dxa"/>
            <w:vAlign w:val="top"/>
          </w:tcPr>
          <w:p>
            <w:pPr>
              <w:pStyle w:val="1297"/>
              <w:pBdr/>
              <w:spacing/>
              <w:ind/>
              <w:rPr/>
            </w:pPr>
            <w:r>
              <w:rPr>
                <w:b/>
              </w:rPr>
              <w:t xml:space="preserve">Research lead + relevant language/philology specialist philological; factual; severity:</w:t>
            </w:r>
            <w:r>
              <w:t xml:space="preserve"> BLOCKING manuscript claim</w:t>
            </w:r>
            <w:r/>
          </w:p>
        </w:tc>
        <w:tc>
          <w:tcPr>
            <w:tcBorders/>
            <w:tcMar>
              <w:left w:w="70" w:type="dxa"/>
              <w:top w:w="60" w:type="dxa"/>
              <w:right w:w="70" w:type="dxa"/>
              <w:bottom w:w="60" w:type="dxa"/>
            </w:tcMar>
            <w:tcW w:w="4443" w:type="dxa"/>
            <w:vAlign w:val="top"/>
          </w:tcPr>
          <w:p>
            <w:pPr>
              <w:pStyle w:val="1297"/>
              <w:pBdr/>
              <w:spacing/>
              <w:ind/>
              <w:rPr/>
            </w:pPr>
            <w:r>
              <w:t xml:space="preserve">The named missing evidence/review exists, affected canonical records are updated and reviewed, and the chapter blocker is formally cleared or bounded as held material.</w:t>
            </w:r>
            <w:r/>
          </w:p>
        </w:tc>
      </w:tr>
      <w:tr>
        <w:trPr>
          <w:cantSplit/>
        </w:trPr>
        <w:tc>
          <w:tcPr>
            <w:shd w:val="clear" w:color="auto" w:fill="f7f9fa"/>
            <w:tcBorders/>
            <w:tcMar>
              <w:left w:w="70" w:type="dxa"/>
              <w:top w:w="60" w:type="dxa"/>
              <w:right w:w="70" w:type="dxa"/>
              <w:bottom w:w="60" w:type="dxa"/>
            </w:tcMar>
            <w:tcW w:w="815" w:type="dxa"/>
            <w:vAlign w:val="top"/>
          </w:tcPr>
          <w:p>
            <w:pPr>
              <w:pStyle w:val="1297"/>
              <w:pBdr/>
              <w:spacing/>
              <w:ind/>
              <w:rPr/>
            </w:pPr>
            <w:r>
              <w:t xml:space="preserve">RG-24</w:t>
            </w:r>
            <w:r/>
          </w:p>
        </w:tc>
        <w:tc>
          <w:tcPr>
            <w:shd w:val="clear" w:color="auto" w:fill="f7f9fa"/>
            <w:tcBorders/>
            <w:tcMar>
              <w:left w:w="70" w:type="dxa"/>
              <w:top w:w="60" w:type="dxa"/>
              <w:right w:w="70" w:type="dxa"/>
              <w:bottom w:w="60" w:type="dxa"/>
            </w:tcMar>
            <w:tcW w:w="2148" w:type="dxa"/>
            <w:vAlign w:val="top"/>
          </w:tcPr>
          <w:p>
            <w:pPr>
              <w:pStyle w:val="1297"/>
              <w:pBdr/>
              <w:spacing/>
              <w:ind/>
              <w:rPr/>
            </w:pPr>
            <w:r>
              <w:t xml:space="preserve">18.3</w:t>
            </w:r>
            <w:r/>
          </w:p>
        </w:tc>
        <w:tc>
          <w:tcPr>
            <w:shd w:val="clear" w:color="auto" w:fill="f7f9fa"/>
            <w:tcBorders/>
            <w:tcMar>
              <w:left w:w="70" w:type="dxa"/>
              <w:top w:w="60" w:type="dxa"/>
              <w:right w:w="70" w:type="dxa"/>
              <w:bottom w:w="60" w:type="dxa"/>
            </w:tcMar>
            <w:tcW w:w="4739" w:type="dxa"/>
            <w:vAlign w:val="top"/>
          </w:tcPr>
          <w:p>
            <w:pPr>
              <w:pStyle w:val="1297"/>
              <w:pBdr/>
              <w:spacing/>
              <w:ind/>
              <w:rPr/>
            </w:pPr>
            <w:r>
              <w:t xml:space="preserve">How should MMK 25 and related passages be used for nirvāṇa without importing later Madhyamaka systems?</w:t>
            </w:r>
            <w:r/>
          </w:p>
        </w:tc>
        <w:tc>
          <w:tcPr>
            <w:shd w:val="clear" w:color="auto" w:fill="f7f9fa"/>
            <w:tcBorders/>
            <w:tcMar>
              <w:left w:w="70" w:type="dxa"/>
              <w:top w:w="60" w:type="dxa"/>
              <w:right w:w="70" w:type="dxa"/>
              <w:bottom w:w="60" w:type="dxa"/>
            </w:tcMar>
            <w:tcW w:w="3110" w:type="dxa"/>
            <w:vAlign w:val="top"/>
          </w:tcPr>
          <w:p>
            <w:pPr>
              <w:pStyle w:val="1297"/>
              <w:pBdr/>
              <w:spacing/>
              <w:ind/>
              <w:rPr/>
            </w:pPr>
            <w:r>
              <w:rPr>
                <w:b/>
              </w:rPr>
              <w:t xml:space="preserve">Research lead + relevant language/philology specialist conceptual; severity:</w:t>
            </w:r>
            <w:r>
              <w:t xml:space="preserve"> IMPORTANT</w:t>
            </w:r>
            <w:r/>
          </w:p>
        </w:tc>
        <w:tc>
          <w:tcPr>
            <w:shd w:val="clear" w:color="auto" w:fill="f7f9fa"/>
            <w:tcBorders/>
            <w:tcMar>
              <w:left w:w="70" w:type="dxa"/>
              <w:top w:w="60" w:type="dxa"/>
              <w:right w:w="70" w:type="dxa"/>
              <w:bottom w:w="60" w:type="dxa"/>
            </w:tcMar>
            <w:tcW w:w="4443" w:type="dxa"/>
            <w:vAlign w:val="top"/>
          </w:tcPr>
          <w:p>
            <w:pPr>
              <w:pStyle w:val="1297"/>
              <w:pBdr/>
              <w:spacing/>
              <w:ind/>
              <w:rPr/>
            </w:pPr>
            <w:r>
              <w:t xml:space="preserve">The named missing evidence/review exists, affected canonical records are updated and reviewed, and the chapter blocker is formally cleared or bounded as held material.</w:t>
            </w:r>
            <w:r/>
          </w:p>
        </w:tc>
      </w:tr>
      <w:tr>
        <w:trPr>
          <w:cantSplit/>
        </w:trPr>
        <w:tc>
          <w:tcPr>
            <w:tcBorders/>
            <w:tcMar>
              <w:left w:w="70" w:type="dxa"/>
              <w:top w:w="60" w:type="dxa"/>
              <w:right w:w="70" w:type="dxa"/>
              <w:bottom w:w="60" w:type="dxa"/>
            </w:tcMar>
            <w:tcW w:w="815" w:type="dxa"/>
            <w:vAlign w:val="top"/>
          </w:tcPr>
          <w:p>
            <w:pPr>
              <w:pStyle w:val="1297"/>
              <w:pBdr/>
              <w:spacing/>
              <w:ind/>
              <w:rPr/>
            </w:pPr>
            <w:r>
              <w:t xml:space="preserve">RG-25</w:t>
            </w:r>
            <w:r/>
          </w:p>
        </w:tc>
        <w:tc>
          <w:tcPr>
            <w:tcBorders/>
            <w:tcMar>
              <w:left w:w="70" w:type="dxa"/>
              <w:top w:w="60" w:type="dxa"/>
              <w:right w:w="70" w:type="dxa"/>
              <w:bottom w:w="60" w:type="dxa"/>
            </w:tcMar>
            <w:tcW w:w="2148" w:type="dxa"/>
            <w:vAlign w:val="top"/>
          </w:tcPr>
          <w:p>
            <w:pPr>
              <w:pStyle w:val="1297"/>
              <w:pBdr/>
              <w:spacing/>
              <w:ind/>
              <w:rPr/>
            </w:pPr>
            <w:r>
              <w:t xml:space="preserve">19.2</w:t>
            </w:r>
            <w:r/>
          </w:p>
        </w:tc>
        <w:tc>
          <w:tcPr>
            <w:tcBorders/>
            <w:tcMar>
              <w:left w:w="70" w:type="dxa"/>
              <w:top w:w="60" w:type="dxa"/>
              <w:right w:w="70" w:type="dxa"/>
              <w:bottom w:w="60" w:type="dxa"/>
            </w:tcMar>
            <w:tcW w:w="4739" w:type="dxa"/>
            <w:vAlign w:val="top"/>
          </w:tcPr>
          <w:p>
            <w:pPr>
              <w:pStyle w:val="1297"/>
              <w:pBdr/>
              <w:spacing/>
              <w:ind/>
              <w:rPr/>
            </w:pPr>
            <w:r>
              <w:t xml:space="preserve">Does 'misidentification/epistemic distortion' survive enlargement as one pattern or three adjacent ones?</w:t>
            </w:r>
            <w:r/>
          </w:p>
        </w:tc>
        <w:tc>
          <w:tcPr>
            <w:tcBorders/>
            <w:tcMar>
              <w:left w:w="70" w:type="dxa"/>
              <w:top w:w="60" w:type="dxa"/>
              <w:right w:w="70" w:type="dxa"/>
              <w:bottom w:w="60" w:type="dxa"/>
            </w:tcMar>
            <w:tcW w:w="3110" w:type="dxa"/>
            <w:vAlign w:val="top"/>
          </w:tcPr>
          <w:p>
            <w:pPr>
              <w:pStyle w:val="1297"/>
              <w:pBdr/>
              <w:spacing/>
              <w:ind/>
              <w:rPr/>
            </w:pPr>
            <w:r>
              <w:rPr>
                <w:b/>
              </w:rPr>
              <w:t xml:space="preserve">Comparative research lead + relevant subject specialist comparative; severity:</w:t>
            </w:r>
            <w:r>
              <w:t xml:space="preserve"> BLOCKING manuscript claim</w:t>
            </w:r>
            <w:r/>
          </w:p>
        </w:tc>
        <w:tc>
          <w:tcPr>
            <w:tcBorders/>
            <w:tcMar>
              <w:left w:w="70" w:type="dxa"/>
              <w:top w:w="60" w:type="dxa"/>
              <w:right w:w="70" w:type="dxa"/>
              <w:bottom w:w="60" w:type="dxa"/>
            </w:tcMar>
            <w:tcW w:w="4443" w:type="dxa"/>
            <w:vAlign w:val="top"/>
          </w:tcPr>
          <w:p>
            <w:pPr>
              <w:pStyle w:val="1297"/>
              <w:pBdr/>
              <w:spacing/>
              <w:ind/>
              <w:rPr/>
            </w:pPr>
            <w:r>
              <w:t xml:space="preserve">The named missing evidence/review exists, affected canonical records are updated and reviewed, and the chapter blocker is formally cleared or bounded as held material.</w:t>
            </w:r>
            <w:r/>
          </w:p>
        </w:tc>
      </w:tr>
      <w:tr>
        <w:trPr>
          <w:cantSplit/>
        </w:trPr>
        <w:tc>
          <w:tcPr>
            <w:shd w:val="clear" w:color="auto" w:fill="f7f9fa"/>
            <w:tcBorders/>
            <w:tcMar>
              <w:left w:w="70" w:type="dxa"/>
              <w:top w:w="60" w:type="dxa"/>
              <w:right w:w="70" w:type="dxa"/>
              <w:bottom w:w="60" w:type="dxa"/>
            </w:tcMar>
            <w:tcW w:w="815" w:type="dxa"/>
            <w:vAlign w:val="top"/>
          </w:tcPr>
          <w:p>
            <w:pPr>
              <w:pStyle w:val="1297"/>
              <w:pBdr/>
              <w:spacing/>
              <w:ind/>
              <w:rPr/>
            </w:pPr>
            <w:r>
              <w:t xml:space="preserve">RG-26</w:t>
            </w:r>
            <w:r/>
          </w:p>
        </w:tc>
        <w:tc>
          <w:tcPr>
            <w:shd w:val="clear" w:color="auto" w:fill="f7f9fa"/>
            <w:tcBorders/>
            <w:tcMar>
              <w:left w:w="70" w:type="dxa"/>
              <w:top w:w="60" w:type="dxa"/>
              <w:right w:w="70" w:type="dxa"/>
              <w:bottom w:w="60" w:type="dxa"/>
            </w:tcMar>
            <w:tcW w:w="2148" w:type="dxa"/>
            <w:vAlign w:val="top"/>
          </w:tcPr>
          <w:p>
            <w:pPr>
              <w:pStyle w:val="1297"/>
              <w:pBdr/>
              <w:spacing/>
              <w:ind/>
              <w:rPr/>
            </w:pPr>
            <w:r>
              <w:t xml:space="preserve">19.3</w:t>
            </w:r>
            <w:r/>
          </w:p>
        </w:tc>
        <w:tc>
          <w:tcPr>
            <w:shd w:val="clear" w:color="auto" w:fill="f7f9fa"/>
            <w:tcBorders/>
            <w:tcMar>
              <w:left w:w="70" w:type="dxa"/>
              <w:top w:w="60" w:type="dxa"/>
              <w:right w:w="70" w:type="dxa"/>
              <w:bottom w:w="60" w:type="dxa"/>
            </w:tcMar>
            <w:tcW w:w="4739" w:type="dxa"/>
            <w:vAlign w:val="top"/>
          </w:tcPr>
          <w:p>
            <w:pPr>
              <w:pStyle w:val="1297"/>
              <w:pBdr/>
              <w:spacing/>
              <w:ind/>
              <w:rPr/>
            </w:pPr>
            <w:r>
              <w:t xml:space="preserve">Can disclosure/participation/patterned-immanence be compared without a misleading generic 'immanence' category?</w:t>
            </w:r>
            <w:r/>
          </w:p>
        </w:tc>
        <w:tc>
          <w:tcPr>
            <w:shd w:val="clear" w:color="auto" w:fill="f7f9fa"/>
            <w:tcBorders/>
            <w:tcMar>
              <w:left w:w="70" w:type="dxa"/>
              <w:top w:w="60" w:type="dxa"/>
              <w:right w:w="70" w:type="dxa"/>
              <w:bottom w:w="60" w:type="dxa"/>
            </w:tcMar>
            <w:tcW w:w="3110" w:type="dxa"/>
            <w:vAlign w:val="top"/>
          </w:tcPr>
          <w:p>
            <w:pPr>
              <w:pStyle w:val="1297"/>
              <w:pBdr/>
              <w:spacing/>
              <w:ind/>
              <w:rPr/>
            </w:pPr>
            <w:r>
              <w:rPr>
                <w:b/>
              </w:rPr>
              <w:t xml:space="preserve">Comparative research lead + relevant subject specialist comparative; genealogical; severity:</w:t>
            </w:r>
            <w:r>
              <w:t xml:space="preserve"> BLOCKING manuscript claim</w:t>
            </w:r>
            <w:r/>
          </w:p>
        </w:tc>
        <w:tc>
          <w:tcPr>
            <w:shd w:val="clear" w:color="auto" w:fill="f7f9fa"/>
            <w:tcBorders/>
            <w:tcMar>
              <w:left w:w="70" w:type="dxa"/>
              <w:top w:w="60" w:type="dxa"/>
              <w:right w:w="70" w:type="dxa"/>
              <w:bottom w:w="60" w:type="dxa"/>
            </w:tcMar>
            <w:tcW w:w="4443" w:type="dxa"/>
            <w:vAlign w:val="top"/>
          </w:tcPr>
          <w:p>
            <w:pPr>
              <w:pStyle w:val="1297"/>
              <w:pBdr/>
              <w:spacing/>
              <w:ind/>
              <w:rPr/>
            </w:pPr>
            <w:r>
              <w:t xml:space="preserve">The named missing evidence/review exists, affected canonical records are updated and reviewed, and the chapter blocker is formally cleared or bounded as held material.</w:t>
            </w:r>
            <w:r/>
          </w:p>
        </w:tc>
      </w:tr>
      <w:tr>
        <w:trPr>
          <w:cantSplit/>
        </w:trPr>
        <w:tc>
          <w:tcPr>
            <w:tcBorders/>
            <w:tcMar>
              <w:left w:w="70" w:type="dxa"/>
              <w:top w:w="60" w:type="dxa"/>
              <w:right w:w="70" w:type="dxa"/>
              <w:bottom w:w="60" w:type="dxa"/>
            </w:tcMar>
            <w:tcW w:w="815" w:type="dxa"/>
            <w:vAlign w:val="top"/>
          </w:tcPr>
          <w:p>
            <w:pPr>
              <w:pStyle w:val="1297"/>
              <w:pBdr/>
              <w:spacing/>
              <w:ind/>
              <w:rPr/>
            </w:pPr>
            <w:r>
              <w:t xml:space="preserve">RG-27</w:t>
            </w:r>
            <w:r/>
          </w:p>
        </w:tc>
        <w:tc>
          <w:tcPr>
            <w:tcBorders/>
            <w:tcMar>
              <w:left w:w="70" w:type="dxa"/>
              <w:top w:w="60" w:type="dxa"/>
              <w:right w:w="70" w:type="dxa"/>
              <w:bottom w:w="60" w:type="dxa"/>
            </w:tcMar>
            <w:tcW w:w="2148" w:type="dxa"/>
            <w:vAlign w:val="top"/>
          </w:tcPr>
          <w:p>
            <w:pPr>
              <w:pStyle w:val="1297"/>
              <w:pBdr/>
              <w:spacing/>
              <w:ind/>
              <w:rPr/>
            </w:pPr>
            <w:r>
              <w:t xml:space="preserve">19.5</w:t>
            </w:r>
            <w:r/>
          </w:p>
        </w:tc>
        <w:tc>
          <w:tcPr>
            <w:tcBorders/>
            <w:tcMar>
              <w:left w:w="70" w:type="dxa"/>
              <w:top w:w="60" w:type="dxa"/>
              <w:right w:w="70" w:type="dxa"/>
              <w:bottom w:w="60" w:type="dxa"/>
            </w:tcMar>
            <w:tcW w:w="4739" w:type="dxa"/>
            <w:vAlign w:val="top"/>
          </w:tcPr>
          <w:p>
            <w:pPr>
              <w:pStyle w:val="1297"/>
              <w:pBdr/>
              <w:spacing/>
              <w:ind/>
              <w:rPr/>
            </w:pPr>
            <w:r>
              <w:t xml:space="preserve">Which no-substantial-self similarities are independent convergence, direct genealogy, or merely category-level resemblance?</w:t>
            </w:r>
            <w:r/>
          </w:p>
        </w:tc>
        <w:tc>
          <w:tcPr>
            <w:tcBorders/>
            <w:tcMar>
              <w:left w:w="70" w:type="dxa"/>
              <w:top w:w="60" w:type="dxa"/>
              <w:right w:w="70" w:type="dxa"/>
              <w:bottom w:w="60" w:type="dxa"/>
            </w:tcMar>
            <w:tcW w:w="3110" w:type="dxa"/>
            <w:vAlign w:val="top"/>
          </w:tcPr>
          <w:p>
            <w:pPr>
              <w:pStyle w:val="1297"/>
              <w:pBdr/>
              <w:spacing/>
              <w:ind/>
              <w:rPr/>
            </w:pPr>
            <w:r>
              <w:rPr>
                <w:b/>
              </w:rPr>
              <w:t xml:space="preserve">Comparative research lead + relevant subject specialist genealogical; comparative; severity:</w:t>
            </w:r>
            <w:r>
              <w:t xml:space="preserve"> IMPORTANT</w:t>
            </w:r>
            <w:r/>
          </w:p>
        </w:tc>
        <w:tc>
          <w:tcPr>
            <w:tcBorders/>
            <w:tcMar>
              <w:left w:w="70" w:type="dxa"/>
              <w:top w:w="60" w:type="dxa"/>
              <w:right w:w="70" w:type="dxa"/>
              <w:bottom w:w="60" w:type="dxa"/>
            </w:tcMar>
            <w:tcW w:w="4443" w:type="dxa"/>
            <w:vAlign w:val="top"/>
          </w:tcPr>
          <w:p>
            <w:pPr>
              <w:pStyle w:val="1297"/>
              <w:pBdr/>
              <w:spacing/>
              <w:ind/>
              <w:rPr/>
            </w:pPr>
            <w:r>
              <w:t xml:space="preserve">The named missing evidence/review exists, affected canonical records are updated and reviewed, and the chapter blocker is formally cleared or bounded as held material.</w:t>
            </w:r>
            <w:r/>
          </w:p>
        </w:tc>
      </w:tr>
      <w:tr>
        <w:trPr>
          <w:cantSplit/>
        </w:trPr>
        <w:tc>
          <w:tcPr>
            <w:shd w:val="clear" w:color="auto" w:fill="f7f9fa"/>
            <w:tcBorders/>
            <w:tcMar>
              <w:left w:w="70" w:type="dxa"/>
              <w:top w:w="60" w:type="dxa"/>
              <w:right w:w="70" w:type="dxa"/>
              <w:bottom w:w="60" w:type="dxa"/>
            </w:tcMar>
            <w:tcW w:w="815" w:type="dxa"/>
            <w:vAlign w:val="top"/>
          </w:tcPr>
          <w:p>
            <w:pPr>
              <w:pStyle w:val="1297"/>
              <w:pBdr/>
              <w:spacing/>
              <w:ind/>
              <w:rPr/>
            </w:pPr>
            <w:r>
              <w:t xml:space="preserve">RG-28</w:t>
            </w:r>
            <w:r/>
          </w:p>
        </w:tc>
        <w:tc>
          <w:tcPr>
            <w:shd w:val="clear" w:color="auto" w:fill="f7f9fa"/>
            <w:tcBorders/>
            <w:tcMar>
              <w:left w:w="70" w:type="dxa"/>
              <w:top w:w="60" w:type="dxa"/>
              <w:right w:w="70" w:type="dxa"/>
              <w:bottom w:w="60" w:type="dxa"/>
            </w:tcMar>
            <w:tcW w:w="2148" w:type="dxa"/>
            <w:vAlign w:val="top"/>
          </w:tcPr>
          <w:p>
            <w:pPr>
              <w:pStyle w:val="1297"/>
              <w:pBdr/>
              <w:spacing/>
              <w:ind/>
              <w:rPr/>
            </w:pPr>
            <w:r>
              <w:t xml:space="preserve">19.6</w:t>
            </w:r>
            <w:r/>
          </w:p>
        </w:tc>
        <w:tc>
          <w:tcPr>
            <w:shd w:val="clear" w:color="auto" w:fill="f7f9fa"/>
            <w:tcBorders/>
            <w:tcMar>
              <w:left w:w="70" w:type="dxa"/>
              <w:top w:w="60" w:type="dxa"/>
              <w:right w:w="70" w:type="dxa"/>
              <w:bottom w:w="60" w:type="dxa"/>
            </w:tcMar>
            <w:tcW w:w="4739" w:type="dxa"/>
            <w:vAlign w:val="top"/>
          </w:tcPr>
          <w:p>
            <w:pPr>
              <w:pStyle w:val="1297"/>
              <w:pBdr/>
              <w:spacing/>
              <w:ind/>
              <w:rPr/>
            </w:pPr>
            <w:r>
              <w:t xml:space="preserve">Should Leibniz and Whitehead be called panpsychist comparators at all, or only historically adjacent distributed-perception/process cases?</w:t>
            </w:r>
            <w:r/>
          </w:p>
        </w:tc>
        <w:tc>
          <w:tcPr>
            <w:shd w:val="clear" w:color="auto" w:fill="f7f9fa"/>
            <w:tcBorders/>
            <w:tcMar>
              <w:left w:w="70" w:type="dxa"/>
              <w:top w:w="60" w:type="dxa"/>
              <w:right w:w="70" w:type="dxa"/>
              <w:bottom w:w="60" w:type="dxa"/>
            </w:tcMar>
            <w:tcW w:w="3110" w:type="dxa"/>
            <w:vAlign w:val="top"/>
          </w:tcPr>
          <w:p>
            <w:pPr>
              <w:pStyle w:val="1297"/>
              <w:pBdr/>
              <w:spacing/>
              <w:ind/>
              <w:rPr/>
            </w:pPr>
            <w:r>
              <w:rPr>
                <w:b/>
              </w:rPr>
              <w:t xml:space="preserve">Comparative research lead + relevant subject specialist conceptual; current-literature; severity:</w:t>
            </w:r>
            <w:r>
              <w:t xml:space="preserve"> IMPORTANT</w:t>
            </w:r>
            <w:r/>
          </w:p>
        </w:tc>
        <w:tc>
          <w:tcPr>
            <w:shd w:val="clear" w:color="auto" w:fill="f7f9fa"/>
            <w:tcBorders/>
            <w:tcMar>
              <w:left w:w="70" w:type="dxa"/>
              <w:top w:w="60" w:type="dxa"/>
              <w:right w:w="70" w:type="dxa"/>
              <w:bottom w:w="60" w:type="dxa"/>
            </w:tcMar>
            <w:tcW w:w="4443" w:type="dxa"/>
            <w:vAlign w:val="top"/>
          </w:tcPr>
          <w:p>
            <w:pPr>
              <w:pStyle w:val="1297"/>
              <w:pBdr/>
              <w:spacing/>
              <w:ind/>
              <w:rPr/>
            </w:pPr>
            <w:r>
              <w:t xml:space="preserve">The named missing evidence/review exists, affected canonical records are updated and reviewed, and the chapter blocker is formally cleared or bounded as held material.</w:t>
            </w:r>
            <w:r/>
          </w:p>
        </w:tc>
      </w:tr>
      <w:tr>
        <w:trPr>
          <w:cantSplit/>
        </w:trPr>
        <w:tc>
          <w:tcPr>
            <w:tcBorders/>
            <w:tcMar>
              <w:left w:w="70" w:type="dxa"/>
              <w:top w:w="60" w:type="dxa"/>
              <w:right w:w="70" w:type="dxa"/>
              <w:bottom w:w="60" w:type="dxa"/>
            </w:tcMar>
            <w:tcW w:w="815" w:type="dxa"/>
            <w:vAlign w:val="top"/>
          </w:tcPr>
          <w:p>
            <w:pPr>
              <w:pStyle w:val="1297"/>
              <w:pBdr/>
              <w:spacing/>
              <w:ind/>
              <w:rPr/>
            </w:pPr>
            <w:r>
              <w:t xml:space="preserve">RG-29</w:t>
            </w:r>
            <w:r/>
          </w:p>
        </w:tc>
        <w:tc>
          <w:tcPr>
            <w:tcBorders/>
            <w:tcMar>
              <w:left w:w="70" w:type="dxa"/>
              <w:top w:w="60" w:type="dxa"/>
              <w:right w:w="70" w:type="dxa"/>
              <w:bottom w:w="60" w:type="dxa"/>
            </w:tcMar>
            <w:tcW w:w="2148" w:type="dxa"/>
            <w:vAlign w:val="top"/>
          </w:tcPr>
          <w:p>
            <w:pPr>
              <w:pStyle w:val="1297"/>
              <w:pBdr/>
              <w:spacing/>
              <w:ind/>
              <w:rPr/>
            </w:pPr>
            <w:r>
              <w:t xml:space="preserve">19.8</w:t>
            </w:r>
            <w:r/>
          </w:p>
        </w:tc>
        <w:tc>
          <w:tcPr>
            <w:tcBorders/>
            <w:tcMar>
              <w:left w:w="70" w:type="dxa"/>
              <w:top w:w="60" w:type="dxa"/>
              <w:right w:w="70" w:type="dxa"/>
              <w:bottom w:w="60" w:type="dxa"/>
            </w:tcMar>
            <w:tcW w:w="4739" w:type="dxa"/>
            <w:vAlign w:val="top"/>
          </w:tcPr>
          <w:p>
            <w:pPr>
              <w:pStyle w:val="1297"/>
              <w:pBdr/>
              <w:spacing/>
              <w:ind/>
              <w:rPr/>
            </w:pPr>
            <w:r>
              <w:t xml:space="preserve">Is terminal/open-ended transformation a defensible new L2 morphology?</w:t>
            </w:r>
            <w:r/>
          </w:p>
        </w:tc>
        <w:tc>
          <w:tcPr>
            <w:tcBorders/>
            <w:tcMar>
              <w:left w:w="70" w:type="dxa"/>
              <w:top w:w="60" w:type="dxa"/>
              <w:right w:w="70" w:type="dxa"/>
              <w:bottom w:w="60" w:type="dxa"/>
            </w:tcMar>
            <w:tcW w:w="3110" w:type="dxa"/>
            <w:vAlign w:val="top"/>
          </w:tcPr>
          <w:p>
            <w:pPr>
              <w:pStyle w:val="1297"/>
              <w:pBdr/>
              <w:spacing/>
              <w:ind/>
              <w:rPr/>
            </w:pPr>
            <w:r>
              <w:rPr>
                <w:b/>
              </w:rPr>
              <w:t xml:space="preserve">Comparative research lead + relevant subject specialist comparative; severity:</w:t>
            </w:r>
            <w:r>
              <w:t xml:space="preserve"> DESIRABLE</w:t>
            </w:r>
            <w:r/>
          </w:p>
        </w:tc>
        <w:tc>
          <w:tcPr>
            <w:tcBorders/>
            <w:tcMar>
              <w:left w:w="70" w:type="dxa"/>
              <w:top w:w="60" w:type="dxa"/>
              <w:right w:w="70" w:type="dxa"/>
              <w:bottom w:w="60" w:type="dxa"/>
            </w:tcMar>
            <w:tcW w:w="4443" w:type="dxa"/>
            <w:vAlign w:val="top"/>
          </w:tcPr>
          <w:p>
            <w:pPr>
              <w:pStyle w:val="1297"/>
              <w:pBdr/>
              <w:spacing/>
              <w:ind/>
              <w:rPr/>
            </w:pPr>
            <w:r>
              <w:t xml:space="preserve">The named missing evidence/review exists, affected canonical records are updated and reviewed, and the chapter blocker is formally cleared or bounded as held material.</w:t>
            </w:r>
            <w:r/>
          </w:p>
        </w:tc>
      </w:tr>
      <w:tr>
        <w:trPr>
          <w:cantSplit/>
        </w:trPr>
        <w:tc>
          <w:tcPr>
            <w:shd w:val="clear" w:color="auto" w:fill="f7f9fa"/>
            <w:tcBorders/>
            <w:tcMar>
              <w:left w:w="70" w:type="dxa"/>
              <w:top w:w="60" w:type="dxa"/>
              <w:right w:w="70" w:type="dxa"/>
              <w:bottom w:w="60" w:type="dxa"/>
            </w:tcMar>
            <w:tcW w:w="815" w:type="dxa"/>
            <w:vAlign w:val="top"/>
          </w:tcPr>
          <w:p>
            <w:pPr>
              <w:pStyle w:val="1297"/>
              <w:pBdr/>
              <w:spacing/>
              <w:ind/>
              <w:rPr/>
            </w:pPr>
            <w:r>
              <w:t xml:space="preserve">RG-30</w:t>
            </w:r>
            <w:r/>
          </w:p>
        </w:tc>
        <w:tc>
          <w:tcPr>
            <w:shd w:val="clear" w:color="auto" w:fill="f7f9fa"/>
            <w:tcBorders/>
            <w:tcMar>
              <w:left w:w="70" w:type="dxa"/>
              <w:top w:w="60" w:type="dxa"/>
              <w:right w:w="70" w:type="dxa"/>
              <w:bottom w:w="60" w:type="dxa"/>
            </w:tcMar>
            <w:tcW w:w="2148" w:type="dxa"/>
            <w:vAlign w:val="top"/>
          </w:tcPr>
          <w:p>
            <w:pPr>
              <w:pStyle w:val="1297"/>
              <w:pBdr/>
              <w:spacing/>
              <w:ind/>
              <w:rPr/>
            </w:pPr>
            <w:r>
              <w:t xml:space="preserve">20.4</w:t>
            </w:r>
            <w:r/>
          </w:p>
        </w:tc>
        <w:tc>
          <w:tcPr>
            <w:shd w:val="clear" w:color="auto" w:fill="f7f9fa"/>
            <w:tcBorders/>
            <w:tcMar>
              <w:left w:w="70" w:type="dxa"/>
              <w:top w:w="60" w:type="dxa"/>
              <w:right w:w="70" w:type="dxa"/>
              <w:bottom w:w="60" w:type="dxa"/>
            </w:tcMar>
            <w:tcW w:w="4739" w:type="dxa"/>
            <w:vAlign w:val="top"/>
          </w:tcPr>
          <w:p>
            <w:pPr>
              <w:pStyle w:val="1297"/>
              <w:pBdr/>
              <w:spacing/>
              <w:ind/>
              <w:rPr/>
            </w:pPr>
            <w:r>
              <w:t xml:space="preserve">Has the publication corpus reached conceptual saturation for the claims actually made?</w:t>
            </w:r>
            <w:r/>
          </w:p>
        </w:tc>
        <w:tc>
          <w:tcPr>
            <w:shd w:val="clear" w:color="auto" w:fill="f7f9fa"/>
            <w:tcBorders/>
            <w:tcMar>
              <w:left w:w="70" w:type="dxa"/>
              <w:top w:w="60" w:type="dxa"/>
              <w:right w:w="70" w:type="dxa"/>
              <w:bottom w:w="60" w:type="dxa"/>
            </w:tcMar>
            <w:tcW w:w="3110" w:type="dxa"/>
            <w:vAlign w:val="top"/>
          </w:tcPr>
          <w:p>
            <w:pPr>
              <w:pStyle w:val="1297"/>
              <w:pBdr/>
              <w:spacing/>
              <w:ind/>
              <w:rPr/>
            </w:pPr>
            <w:r>
              <w:rPr>
                <w:b/>
              </w:rPr>
              <w:t xml:space="preserve">Comparative research lead + relevant subject specialist comparative; external-review; severity:</w:t>
            </w:r>
            <w:r>
              <w:t xml:space="preserve"> BLOCKING manuscript claim</w:t>
            </w:r>
            <w:r/>
          </w:p>
        </w:tc>
        <w:tc>
          <w:tcPr>
            <w:shd w:val="clear" w:color="auto" w:fill="f7f9fa"/>
            <w:tcBorders/>
            <w:tcMar>
              <w:left w:w="70" w:type="dxa"/>
              <w:top w:w="60" w:type="dxa"/>
              <w:right w:w="70" w:type="dxa"/>
              <w:bottom w:w="60" w:type="dxa"/>
            </w:tcMar>
            <w:tcW w:w="4443" w:type="dxa"/>
            <w:vAlign w:val="top"/>
          </w:tcPr>
          <w:p>
            <w:pPr>
              <w:pStyle w:val="1297"/>
              <w:pBdr/>
              <w:spacing/>
              <w:ind/>
              <w:rPr/>
            </w:pPr>
            <w:r>
              <w:t xml:space="preserve">The named missing evidence/review exists, affected canonical records are updated and reviewed, and the chapter blocker is formally cleared or bounded as held material.</w:t>
            </w:r>
            <w:r/>
          </w:p>
        </w:tc>
      </w:tr>
      <w:tr>
        <w:trPr>
          <w:cantSplit/>
        </w:trPr>
        <w:tc>
          <w:tcPr>
            <w:tcBorders/>
            <w:tcMar>
              <w:left w:w="70" w:type="dxa"/>
              <w:top w:w="60" w:type="dxa"/>
              <w:right w:w="70" w:type="dxa"/>
              <w:bottom w:w="60" w:type="dxa"/>
            </w:tcMar>
            <w:tcW w:w="815" w:type="dxa"/>
            <w:vAlign w:val="top"/>
          </w:tcPr>
          <w:p>
            <w:pPr>
              <w:pStyle w:val="1297"/>
              <w:pBdr/>
              <w:spacing/>
              <w:ind/>
              <w:rPr/>
            </w:pPr>
            <w:r>
              <w:t xml:space="preserve">RG-31</w:t>
            </w:r>
            <w:r/>
          </w:p>
        </w:tc>
        <w:tc>
          <w:tcPr>
            <w:tcBorders/>
            <w:tcMar>
              <w:left w:w="70" w:type="dxa"/>
              <w:top w:w="60" w:type="dxa"/>
              <w:right w:w="70" w:type="dxa"/>
              <w:bottom w:w="60" w:type="dxa"/>
            </w:tcMar>
            <w:tcW w:w="2148" w:type="dxa"/>
            <w:vAlign w:val="top"/>
          </w:tcPr>
          <w:p>
            <w:pPr>
              <w:pStyle w:val="1297"/>
              <w:pBdr/>
              <w:spacing/>
              <w:ind/>
              <w:rPr/>
            </w:pPr>
            <w:r>
              <w:t xml:space="preserve">Across all chapters</w:t>
            </w:r>
            <w:r/>
          </w:p>
        </w:tc>
        <w:tc>
          <w:tcPr>
            <w:tcBorders/>
            <w:tcMar>
              <w:left w:w="70" w:type="dxa"/>
              <w:top w:w="60" w:type="dxa"/>
              <w:right w:w="70" w:type="dxa"/>
              <w:bottom w:w="60" w:type="dxa"/>
            </w:tcMar>
            <w:tcW w:w="4739" w:type="dxa"/>
            <w:vAlign w:val="top"/>
          </w:tcPr>
          <w:p>
            <w:pPr>
              <w:pStyle w:val="1297"/>
              <w:pBdr/>
              <w:spacing/>
              <w:ind/>
              <w:rPr/>
            </w:pPr>
            <w:r>
              <w:t xml:space="preserve">Are all eight primary QuestionResponse states and the orthogonal CAT task coded reliably enough to support chapter arguments?</w:t>
            </w:r>
            <w:r/>
          </w:p>
        </w:tc>
        <w:tc>
          <w:tcPr>
            <w:tcBorders/>
            <w:tcMar>
              <w:left w:w="70" w:type="dxa"/>
              <w:top w:w="60" w:type="dxa"/>
              <w:right w:w="70" w:type="dxa"/>
              <w:bottom w:w="60" w:type="dxa"/>
            </w:tcMar>
            <w:tcW w:w="3110" w:type="dxa"/>
            <w:vAlign w:val="top"/>
          </w:tcPr>
          <w:p>
            <w:pPr>
              <w:pStyle w:val="1297"/>
              <w:pBdr/>
              <w:spacing/>
              <w:ind/>
              <w:rPr/>
            </w:pPr>
            <w:r>
              <w:rPr>
                <w:b/>
              </w:rPr>
              <w:t xml:space="preserve">Reliability lead + independent human coders external-review; severity:</w:t>
            </w:r>
            <w:r>
              <w:t xml:space="preserve"> BLOCKING manuscript claim</w:t>
            </w:r>
            <w:r/>
          </w:p>
        </w:tc>
        <w:tc>
          <w:tcPr>
            <w:tcBorders/>
            <w:tcMar>
              <w:left w:w="70" w:type="dxa"/>
              <w:top w:w="60" w:type="dxa"/>
              <w:right w:w="70" w:type="dxa"/>
              <w:bottom w:w="60" w:type="dxa"/>
            </w:tcMar>
            <w:tcW w:w="4443" w:type="dxa"/>
            <w:vAlign w:val="top"/>
          </w:tcPr>
          <w:p>
            <w:pPr>
              <w:pStyle w:val="1297"/>
              <w:pBdr/>
              <w:spacing/>
              <w:ind/>
              <w:rPr/>
            </w:pPr>
            <w:r>
              <w:t xml:space="preserve">Independent G2 blind-coding packet meets Research Specification Annex C §C3.2 PASS threshold, with no systematic state, boundary or CAT failure.</w:t>
            </w:r>
            <w:r/>
          </w:p>
        </w:tc>
      </w:tr>
      <w:tr>
        <w:trPr>
          <w:cantSplit/>
        </w:trPr>
        <w:tc>
          <w:tcPr>
            <w:shd w:val="clear" w:color="auto" w:fill="f7f9fa"/>
            <w:tcBorders/>
            <w:tcMar>
              <w:left w:w="70" w:type="dxa"/>
              <w:top w:w="60" w:type="dxa"/>
              <w:right w:w="70" w:type="dxa"/>
              <w:bottom w:w="60" w:type="dxa"/>
            </w:tcMar>
            <w:tcW w:w="815" w:type="dxa"/>
            <w:vAlign w:val="top"/>
          </w:tcPr>
          <w:p>
            <w:pPr>
              <w:pStyle w:val="1297"/>
              <w:pBdr/>
              <w:spacing/>
              <w:ind/>
              <w:rPr/>
            </w:pPr>
            <w:r>
              <w:t xml:space="preserve">RG-32</w:t>
            </w:r>
            <w:r/>
          </w:p>
        </w:tc>
        <w:tc>
          <w:tcPr>
            <w:shd w:val="clear" w:color="auto" w:fill="f7f9fa"/>
            <w:tcBorders/>
            <w:tcMar>
              <w:left w:w="70" w:type="dxa"/>
              <w:top w:w="60" w:type="dxa"/>
              <w:right w:w="70" w:type="dxa"/>
              <w:bottom w:w="60" w:type="dxa"/>
            </w:tcMar>
            <w:tcW w:w="2148" w:type="dxa"/>
            <w:vAlign w:val="top"/>
          </w:tcPr>
          <w:p>
            <w:pPr>
              <w:pStyle w:val="1297"/>
              <w:pBdr/>
              <w:spacing/>
              <w:ind/>
              <w:rPr/>
            </w:pPr>
            <w:r>
              <w:t xml:space="preserve">Across comparative chapters</w:t>
            </w:r>
            <w:r/>
          </w:p>
        </w:tc>
        <w:tc>
          <w:tcPr>
            <w:shd w:val="clear" w:color="auto" w:fill="f7f9fa"/>
            <w:tcBorders/>
            <w:tcMar>
              <w:left w:w="70" w:type="dxa"/>
              <w:top w:w="60" w:type="dxa"/>
              <w:right w:w="70" w:type="dxa"/>
              <w:bottom w:w="60" w:type="dxa"/>
            </w:tcMar>
            <w:tcW w:w="4739" w:type="dxa"/>
            <w:vAlign w:val="top"/>
          </w:tcPr>
          <w:p>
            <w:pPr>
              <w:pStyle w:val="1297"/>
              <w:pBdr/>
              <w:spacing/>
              <w:ind/>
              <w:rPr/>
            </w:pPr>
            <w:r>
              <w:t xml:space="preserve">Are all eleven relation types reproducible as a proposition-scoped multi-label task with coherent scopes and linked disanalogies?</w:t>
            </w:r>
            <w:r/>
          </w:p>
        </w:tc>
        <w:tc>
          <w:tcPr>
            <w:shd w:val="clear" w:color="auto" w:fill="f7f9fa"/>
            <w:tcBorders/>
            <w:tcMar>
              <w:left w:w="70" w:type="dxa"/>
              <w:top w:w="60" w:type="dxa"/>
              <w:right w:w="70" w:type="dxa"/>
              <w:bottom w:w="60" w:type="dxa"/>
            </w:tcMar>
            <w:tcW w:w="3110" w:type="dxa"/>
            <w:vAlign w:val="top"/>
          </w:tcPr>
          <w:p>
            <w:pPr>
              <w:pStyle w:val="1297"/>
              <w:pBdr/>
              <w:spacing/>
              <w:ind/>
              <w:rPr/>
            </w:pPr>
            <w:r>
              <w:rPr>
                <w:b/>
              </w:rPr>
              <w:t xml:space="preserve">Comparative research lead + relevant subject specialist external-review; comparative; severity:</w:t>
            </w:r>
            <w:r>
              <w:t xml:space="preserve"> BLOCKING manuscript claim</w:t>
            </w:r>
            <w:r/>
          </w:p>
        </w:tc>
        <w:tc>
          <w:tcPr>
            <w:shd w:val="clear" w:color="auto" w:fill="f7f9fa"/>
            <w:tcBorders/>
            <w:tcMar>
              <w:left w:w="70" w:type="dxa"/>
              <w:top w:w="60" w:type="dxa"/>
              <w:right w:w="70" w:type="dxa"/>
              <w:bottom w:w="60" w:type="dxa"/>
            </w:tcMar>
            <w:tcW w:w="4443" w:type="dxa"/>
            <w:vAlign w:val="top"/>
          </w:tcPr>
          <w:p>
            <w:pPr>
              <w:pStyle w:val="1297"/>
              <w:pBdr/>
              <w:spacing/>
              <w:ind/>
              <w:rPr/>
            </w:pPr>
            <w:r>
              <w:t xml:space="preserve">Independent G3 packet meets Research Specification Annex C §C3.3 PASS threshold; no systematic disanalogy omission or unresolved coherence failure remains.</w:t>
            </w:r>
            <w:r/>
          </w:p>
        </w:tc>
      </w:tr>
      <w:tr>
        <w:trPr>
          <w:cantSplit/>
        </w:trPr>
        <w:tc>
          <w:tcPr>
            <w:tcBorders/>
            <w:tcMar>
              <w:left w:w="70" w:type="dxa"/>
              <w:top w:w="60" w:type="dxa"/>
              <w:right w:w="70" w:type="dxa"/>
              <w:bottom w:w="60" w:type="dxa"/>
            </w:tcMar>
            <w:tcW w:w="815" w:type="dxa"/>
            <w:vAlign w:val="top"/>
          </w:tcPr>
          <w:p>
            <w:pPr>
              <w:pStyle w:val="1297"/>
              <w:pBdr/>
              <w:spacing/>
              <w:ind/>
              <w:rPr/>
            </w:pPr>
            <w:r>
              <w:t xml:space="preserve">RG-33</w:t>
            </w:r>
            <w:r/>
          </w:p>
        </w:tc>
        <w:tc>
          <w:tcPr>
            <w:tcBorders/>
            <w:tcMar>
              <w:left w:w="70" w:type="dxa"/>
              <w:top w:w="60" w:type="dxa"/>
              <w:right w:w="70" w:type="dxa"/>
              <w:bottom w:w="60" w:type="dxa"/>
            </w:tcMar>
            <w:tcW w:w="2148" w:type="dxa"/>
            <w:vAlign w:val="top"/>
          </w:tcPr>
          <w:p>
            <w:pPr>
              <w:pStyle w:val="1297"/>
              <w:pBdr/>
              <w:spacing/>
              <w:ind/>
              <w:rPr/>
            </w:pPr>
            <w:r>
              <w:t xml:space="preserve">Across all release-candidate prose</w:t>
            </w:r>
            <w:r/>
          </w:p>
        </w:tc>
        <w:tc>
          <w:tcPr>
            <w:tcBorders/>
            <w:tcMar>
              <w:left w:w="70" w:type="dxa"/>
              <w:top w:w="60" w:type="dxa"/>
              <w:right w:w="70" w:type="dxa"/>
              <w:bottom w:w="60" w:type="dxa"/>
            </w:tcMar>
            <w:tcW w:w="4739" w:type="dxa"/>
            <w:vAlign w:val="top"/>
          </w:tcPr>
          <w:p>
            <w:pPr>
              <w:pStyle w:val="1297"/>
              <w:pBdr/>
              <w:spacing/>
              <w:ind/>
              <w:rPr/>
            </w:pPr>
            <w:r>
              <w:t xml:space="preserve">Can every substantive release-candidate Claim and every thesis-bearing PublicationClaim trace to complete canonical evidence and premise chains?</w:t>
            </w:r>
            <w:r/>
          </w:p>
        </w:tc>
        <w:tc>
          <w:tcPr>
            <w:tcBorders/>
            <w:tcMar>
              <w:left w:w="70" w:type="dxa"/>
              <w:top w:w="60" w:type="dxa"/>
              <w:right w:w="70" w:type="dxa"/>
              <w:bottom w:w="60" w:type="dxa"/>
            </w:tcMar>
            <w:tcW w:w="3110" w:type="dxa"/>
            <w:vAlign w:val="top"/>
          </w:tcPr>
          <w:p>
            <w:pPr>
              <w:pStyle w:val="1297"/>
              <w:pBdr/>
              <w:spacing/>
              <w:ind/>
              <w:rPr/>
            </w:pPr>
            <w:r>
              <w:rPr>
                <w:b/>
              </w:rPr>
              <w:t xml:space="preserve">Validation lead external-review; factual; severity:</w:t>
            </w:r>
            <w:r>
              <w:t xml:space="preserve"> BLOCKING manuscript claim</w:t>
            </w:r>
            <w:r/>
          </w:p>
        </w:tc>
        <w:tc>
          <w:tcPr>
            <w:tcBorders/>
            <w:tcMar>
              <w:left w:w="70" w:type="dxa"/>
              <w:top w:w="60" w:type="dxa"/>
              <w:right w:w="70" w:type="dxa"/>
              <w:bottom w:w="60" w:type="dxa"/>
            </w:tcMar>
            <w:tcW w:w="4443" w:type="dxa"/>
            <w:vAlign w:val="top"/>
          </w:tcPr>
          <w:p>
            <w:pPr>
              <w:pStyle w:val="1297"/>
              <w:pBdr/>
              <w:spacing/>
              <w:ind/>
              <w:rPr/>
            </w:pPr>
            <w:r>
              <w:t xml:space="preserve">G6 Claim ratio = 1.000 and PublicationClaim ratio = 1.000 under Research Specification Annex C §C3.6.</w:t>
            </w:r>
            <w:r/>
          </w:p>
        </w:tc>
      </w:tr>
      <w:tr>
        <w:trPr>
          <w:cantSplit/>
        </w:trPr>
        <w:tc>
          <w:tcPr>
            <w:shd w:val="clear" w:color="auto" w:fill="f7f9fa"/>
            <w:tcBorders/>
            <w:tcMar>
              <w:left w:w="70" w:type="dxa"/>
              <w:top w:w="60" w:type="dxa"/>
              <w:right w:w="70" w:type="dxa"/>
              <w:bottom w:w="60" w:type="dxa"/>
            </w:tcMar>
            <w:tcW w:w="815" w:type="dxa"/>
            <w:vAlign w:val="top"/>
          </w:tcPr>
          <w:p>
            <w:pPr>
              <w:pStyle w:val="1297"/>
              <w:pBdr/>
              <w:spacing/>
              <w:ind/>
              <w:rPr/>
            </w:pPr>
            <w:r>
              <w:t xml:space="preserve">RG-34</w:t>
            </w:r>
            <w:r/>
          </w:p>
        </w:tc>
        <w:tc>
          <w:tcPr>
            <w:shd w:val="clear" w:color="auto" w:fill="f7f9fa"/>
            <w:tcBorders/>
            <w:tcMar>
              <w:left w:w="70" w:type="dxa"/>
              <w:top w:w="60" w:type="dxa"/>
              <w:right w:w="70" w:type="dxa"/>
              <w:bottom w:w="60" w:type="dxa"/>
            </w:tcMar>
            <w:tcW w:w="2148" w:type="dxa"/>
            <w:vAlign w:val="top"/>
          </w:tcPr>
          <w:p>
            <w:pPr>
              <w:pStyle w:val="1297"/>
              <w:pBdr/>
              <w:spacing/>
              <w:ind/>
              <w:rPr/>
            </w:pPr>
            <w:r>
              <w:t xml:space="preserve">Digital companion / all chapters</w:t>
            </w:r>
            <w:r/>
          </w:p>
        </w:tc>
        <w:tc>
          <w:tcPr>
            <w:shd w:val="clear" w:color="auto" w:fill="f7f9fa"/>
            <w:tcBorders/>
            <w:tcMar>
              <w:left w:w="70" w:type="dxa"/>
              <w:top w:w="60" w:type="dxa"/>
              <w:right w:w="70" w:type="dxa"/>
              <w:bottom w:w="60" w:type="dxa"/>
            </w:tcMar>
            <w:tcW w:w="4739" w:type="dxa"/>
            <w:vAlign w:val="top"/>
          </w:tcPr>
          <w:p>
            <w:pPr>
              <w:pStyle w:val="1297"/>
              <w:pBdr/>
              <w:spacing/>
              <w:ind/>
              <w:rPr/>
            </w:pPr>
            <w:r>
              <w:t xml:space="preserve">Can printed tables, figures and profiles regenerate from one named production canonical build, including PublicationClaim-linked exhibits?</w:t>
            </w:r>
            <w:r/>
          </w:p>
        </w:tc>
        <w:tc>
          <w:tcPr>
            <w:shd w:val="clear" w:color="auto" w:fill="f7f9fa"/>
            <w:tcBorders/>
            <w:tcMar>
              <w:left w:w="70" w:type="dxa"/>
              <w:top w:w="60" w:type="dxa"/>
              <w:right w:w="70" w:type="dxa"/>
              <w:bottom w:w="60" w:type="dxa"/>
            </w:tcMar>
            <w:tcW w:w="3110" w:type="dxa"/>
            <w:vAlign w:val="top"/>
          </w:tcPr>
          <w:p>
            <w:pPr>
              <w:pStyle w:val="1297"/>
              <w:pBdr/>
              <w:spacing/>
              <w:ind/>
              <w:rPr/>
            </w:pPr>
            <w:r>
              <w:rPr>
                <w:b/>
              </w:rPr>
              <w:t xml:space="preserve">Data/validation engineer external-review; severity:</w:t>
            </w:r>
            <w:r>
              <w:t xml:space="preserve"> IMPORTANT</w:t>
            </w:r>
            <w:r/>
          </w:p>
        </w:tc>
        <w:tc>
          <w:tcPr>
            <w:shd w:val="clear" w:color="auto" w:fill="f7f9fa"/>
            <w:tcBorders/>
            <w:tcMar>
              <w:left w:w="70" w:type="dxa"/>
              <w:top w:w="60" w:type="dxa"/>
              <w:right w:w="70" w:type="dxa"/>
              <w:bottom w:w="60" w:type="dxa"/>
            </w:tcMar>
            <w:tcW w:w="4443" w:type="dxa"/>
            <w:vAlign w:val="top"/>
          </w:tcPr>
          <w:p>
            <w:pPr>
              <w:pStyle w:val="1297"/>
              <w:pBdr/>
              <w:spacing/>
              <w:ind/>
              <w:rPr/>
            </w:pPr>
            <w:r>
              <w:t xml:space="preserve">Production regeneration and controlled-change propagation pass for affected Generated Evidence Views under Research Specification Annex C §C3.7.</w:t>
            </w:r>
            <w:r/>
          </w:p>
        </w:tc>
      </w:tr>
      <w:tr>
        <w:trPr>
          <w:cantSplit/>
        </w:trPr>
        <w:tc>
          <w:tcPr>
            <w:tcBorders/>
            <w:tcMar>
              <w:left w:w="70" w:type="dxa"/>
              <w:top w:w="60" w:type="dxa"/>
              <w:right w:w="70" w:type="dxa"/>
              <w:bottom w:w="60" w:type="dxa"/>
            </w:tcMar>
            <w:tcW w:w="815" w:type="dxa"/>
            <w:vAlign w:val="top"/>
          </w:tcPr>
          <w:p>
            <w:pPr>
              <w:pStyle w:val="1297"/>
              <w:pBdr/>
              <w:spacing/>
              <w:ind/>
              <w:rPr/>
            </w:pPr>
            <w:r>
              <w:t xml:space="preserve">RG-35</w:t>
            </w:r>
            <w:r/>
          </w:p>
        </w:tc>
        <w:tc>
          <w:tcPr>
            <w:tcBorders/>
            <w:tcMar>
              <w:left w:w="70" w:type="dxa"/>
              <w:top w:w="60" w:type="dxa"/>
              <w:right w:w="70" w:type="dxa"/>
              <w:bottom w:w="60" w:type="dxa"/>
            </w:tcMar>
            <w:tcW w:w="2148" w:type="dxa"/>
            <w:vAlign w:val="top"/>
          </w:tcPr>
          <w:p>
            <w:pPr>
              <w:pStyle w:val="1297"/>
              <w:pBdr/>
              <w:spacing/>
              <w:ind/>
              <w:rPr/>
            </w:pPr>
            <w:r>
              <w:t xml:space="preserve">Part III §13; Chapter 20 §20.6</w:t>
            </w:r>
            <w:r/>
          </w:p>
        </w:tc>
        <w:tc>
          <w:tcPr>
            <w:tcBorders/>
            <w:tcMar>
              <w:left w:w="70" w:type="dxa"/>
              <w:top w:w="60" w:type="dxa"/>
              <w:right w:w="70" w:type="dxa"/>
              <w:bottom w:w="60" w:type="dxa"/>
            </w:tcMar>
            <w:tcW w:w="4739" w:type="dxa"/>
            <w:vAlign w:val="top"/>
          </w:tcPr>
          <w:p>
            <w:pPr>
              <w:pStyle w:val="1297"/>
              <w:pBdr/>
              <w:spacing/>
              <w:ind/>
              <w:rPr/>
            </w:pPr>
            <w:r>
              <w:t xml:space="preserve">Has the novelty landscape—including comparative philosophy, philosophy-as-way-of-life, transformative philosophy,</w:t>
            </w:r>
            <w:r>
              <w:t xml:space="preserve"> epistemic or knower transformation, contemplative or participatory knowing, embodied or situated knowing, self-cultivation and ontology–epistemology–praxis research—changed before publication submission in a way that affects the Atlas’s integration claim?</w:t>
            </w:r>
            <w:r/>
          </w:p>
        </w:tc>
        <w:tc>
          <w:tcPr>
            <w:tcBorders/>
            <w:tcMar>
              <w:left w:w="70" w:type="dxa"/>
              <w:top w:w="60" w:type="dxa"/>
              <w:right w:w="70" w:type="dxa"/>
              <w:bottom w:w="60" w:type="dxa"/>
            </w:tcMar>
            <w:tcW w:w="3110" w:type="dxa"/>
            <w:vAlign w:val="top"/>
          </w:tcPr>
          <w:p>
            <w:pPr>
              <w:pStyle w:val="1297"/>
              <w:pBdr/>
              <w:spacing/>
              <w:ind/>
              <w:rPr/>
            </w:pPr>
            <w:r>
              <w:rPr>
                <w:b/>
              </w:rPr>
              <w:t xml:space="preserve">Research/publication lead current-literature; severity:</w:t>
            </w:r>
            <w:r>
              <w:t xml:space="preserve"> IMPORTANT</w:t>
            </w:r>
            <w:r/>
          </w:p>
        </w:tc>
        <w:tc>
          <w:tcPr>
            <w:tcBorders/>
            <w:tcMar>
              <w:left w:w="70" w:type="dxa"/>
              <w:top w:w="60" w:type="dxa"/>
              <w:right w:w="70" w:type="dxa"/>
              <w:bottom w:w="60" w:type="dxa"/>
            </w:tcMar>
            <w:tcW w:w="4443" w:type="dxa"/>
            <w:vAlign w:val="top"/>
          </w:tcPr>
          <w:p>
            <w:pPr>
              <w:pStyle w:val="1297"/>
              <w:pBdr/>
              <w:spacing/>
              <w:ind/>
              <w:rPr/>
            </w:pPr>
            <w:r>
              <w:t xml:space="preserve">Scoped novelty review is contemporaneous with the intended public originality language under Research Specification §12.1 and its Annex C §C3.8.</w:t>
            </w:r>
            <w:r/>
          </w:p>
        </w:tc>
      </w:tr>
    </w:tbl>
    <w:p>
      <w:pPr>
        <w:pStyle w:val="1300"/>
        <w:pBdr/>
        <w:spacing/>
        <w:ind/>
        <w:rPr/>
      </w:pPr>
      <w:r/>
      <w:r/>
    </w:p>
    <w:p>
      <w:pPr>
        <w:pStyle w:val="1136"/>
        <w:keepNext w:val="true"/>
        <w:keepLines w:val="true"/>
        <w:pBdr/>
        <w:spacing/>
        <w:ind/>
        <w:rPr/>
      </w:pPr>
      <w:r/>
      <w:bookmarkStart w:id="218" w:name="S4_1"/>
      <w:r>
        <w:t xml:space="preserve">S4.1 Community, oral, rights and held local cases</w:t>
      </w:r>
      <w:bookmarkEnd w:id="218"/>
      <w:r/>
      <w:r/>
    </w:p>
    <w:p>
      <w:pPr>
        <w:pStyle w:val="1300"/>
        <w:pBdr/>
        <w:spacing/>
        <w:ind/>
        <w:rPr/>
      </w:pPr>
      <w:r>
        <w:t xml:space="preserve">For clearance of the selected treatment and the distinction between editorial role, presentation and release disposition, apply</w:t>
      </w:r>
      <w:hyperlink w:tooltip="#SEC_12" w:anchor="SEC_12" w:history="1">
        <w:r>
          <w:t xml:space="preserve">§12</w:t>
        </w:r>
      </w:hyperlink>
      <w:r>
        <w:t xml:space="preserve">; the entries below retain the 28 July 2026 planning record.</w:t>
      </w:r>
      <w:r/>
    </w:p>
    <w:p>
      <w:pPr>
        <w:pStyle w:val="1184"/>
        <w:keepNext w:val="true"/>
        <w:keepLines w:val="true"/>
        <w:pBdr/>
        <w:spacing/>
        <w:ind/>
        <w:rPr/>
      </w:pPr>
      <w:r>
        <w:t xml:space="preserve">Historical snapshot — Dependency workstream 1: Community, oral, rights and held local cases</w:t>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889"/>
        <w:gridCol w:w="7553"/>
        <w:gridCol w:w="6813"/>
      </w:tblGrid>
      <w:tr>
        <w:trPr>
          <w:cantSplit/>
          <w:tblHeader/>
        </w:trPr>
        <w:tc>
          <w:tcPr>
            <w:shd w:val="clear" w:color="auto" w:fill="1f5a73"/>
            <w:tcBorders/>
            <w:tcMar>
              <w:left w:w="70" w:type="dxa"/>
              <w:top w:w="60" w:type="dxa"/>
              <w:right w:w="70" w:type="dxa"/>
              <w:bottom w:w="60" w:type="dxa"/>
            </w:tcMar>
            <w:tcW w:w="889" w:type="dxa"/>
            <w:vAlign w:val="top"/>
          </w:tcPr>
          <w:p>
            <w:pPr>
              <w:pStyle w:val="1299"/>
              <w:pBdr/>
              <w:spacing/>
              <w:ind/>
              <w:rPr/>
            </w:pPr>
            <w:r>
              <w:t xml:space="preserve">ID</w:t>
            </w:r>
            <w:r/>
          </w:p>
        </w:tc>
        <w:tc>
          <w:tcPr>
            <w:shd w:val="clear" w:color="auto" w:fill="1f5a73"/>
            <w:tcBorders/>
            <w:tcMar>
              <w:left w:w="70" w:type="dxa"/>
              <w:top w:w="60" w:type="dxa"/>
              <w:right w:w="70" w:type="dxa"/>
              <w:bottom w:w="60" w:type="dxa"/>
            </w:tcMar>
            <w:tcW w:w="7553" w:type="dxa"/>
            <w:vAlign w:val="top"/>
          </w:tcPr>
          <w:p>
            <w:pPr>
              <w:pStyle w:val="1299"/>
              <w:pBdr/>
              <w:spacing/>
              <w:ind/>
              <w:rPr/>
            </w:pPr>
            <w:r>
              <w:t xml:space="preserve">Evidence and required action</w:t>
            </w:r>
            <w:r/>
          </w:p>
        </w:tc>
        <w:tc>
          <w:tcPr>
            <w:shd w:val="clear" w:color="auto" w:fill="1f5a73"/>
            <w:tcBorders/>
            <w:tcMar>
              <w:left w:w="70" w:type="dxa"/>
              <w:top w:w="60" w:type="dxa"/>
              <w:right w:w="70" w:type="dxa"/>
              <w:bottom w:w="60" w:type="dxa"/>
            </w:tcMar>
            <w:tcW w:w="6813" w:type="dxa"/>
            <w:vAlign w:val="top"/>
          </w:tcPr>
          <w:p>
            <w:pPr>
              <w:pStyle w:val="1299"/>
              <w:pBdr/>
              <w:spacing/>
              <w:ind/>
              <w:rPr/>
            </w:pPr>
            <w:r>
              <w:t xml:space="preserve">Unresolved consequence, handoff and architecture impact</w:t>
            </w:r>
            <w:r/>
          </w:p>
        </w:tc>
      </w:tr>
      <w:tr>
        <w:trPr>
          <w:cantSplit/>
        </w:trPr>
        <w:tc>
          <w:tcPr>
            <w:tcBorders/>
            <w:tcMar>
              <w:left w:w="70" w:type="dxa"/>
              <w:top w:w="60" w:type="dxa"/>
              <w:right w:w="70" w:type="dxa"/>
              <w:bottom w:w="60" w:type="dxa"/>
            </w:tcMar>
            <w:tcW w:w="889" w:type="dxa"/>
            <w:vAlign w:val="top"/>
          </w:tcPr>
          <w:p>
            <w:pPr>
              <w:pStyle w:val="1297"/>
              <w:pBdr/>
              <w:spacing/>
              <w:ind/>
              <w:rPr/>
            </w:pPr>
            <w:r>
              <w:t xml:space="preserve">RG-01</w:t>
            </w:r>
            <w:r/>
          </w:p>
        </w:tc>
        <w:tc>
          <w:tcPr>
            <w:tcBorders/>
            <w:tcMar>
              <w:left w:w="70" w:type="dxa"/>
              <w:top w:w="60" w:type="dxa"/>
              <w:right w:w="70" w:type="dxa"/>
              <w:bottom w:w="60" w:type="dxa"/>
            </w:tcMar>
            <w:tcW w:w="7553" w:type="dxa"/>
            <w:vAlign w:val="top"/>
          </w:tcPr>
          <w:p>
            <w:pPr>
              <w:pStyle w:val="1297"/>
              <w:pBdr/>
              <w:spacing/>
              <w:ind/>
              <w:rPr/>
            </w:pPr>
            <w:r>
              <w:rPr>
                <w:b/>
              </w:rPr>
              <w:t xml:space="preserve">Available:</w:t>
            </w:r>
            <w:r>
              <w:t xml:space="preserve"> Current Ifá research dossier; Abímbọ́lá/source-community scholarship; UNESCO contex</w:t>
            </w:r>
            <w:r>
              <w:t xml:space="preserve">t [E20] Missing: A complete claim-&gt;evidence-&gt;source-instance-&gt;artifact chain with event, language, transcription/translation, authorization and rights metadata Action: Actual performance/source event; source-community reviewer; rights/authorization records</w:t>
            </w:r>
            <w:r/>
          </w:p>
        </w:tc>
        <w:tc>
          <w:tcPr>
            <w:tcBorders/>
            <w:tcMar>
              <w:left w:w="70" w:type="dxa"/>
              <w:top w:w="60" w:type="dxa"/>
              <w:right w:w="70" w:type="dxa"/>
              <w:bottom w:w="60" w:type="dxa"/>
            </w:tcMar>
            <w:tcW w:w="6813" w:type="dxa"/>
            <w:vAlign w:val="top"/>
          </w:tcPr>
          <w:p>
            <w:pPr>
              <w:pStyle w:val="1297"/>
              <w:pBdr/>
              <w:spacing/>
              <w:ind/>
              <w:rPr/>
            </w:pPr>
            <w:r>
              <w:rPr>
                <w:b/>
              </w:rPr>
              <w:t xml:space="preserve">Codes:</w:t>
            </w:r>
            <w:r>
              <w:t xml:space="preserve"> C1; H1 Architecture impact: None / local chapter or corpus-role only. Source architecture consequence: Could demote Ifá from CORE to boxed/digital HOLD and alter several sections, not the overall two-volume architecture.</w:t>
            </w:r>
            <w:r/>
          </w:p>
        </w:tc>
      </w:tr>
      <w:tr>
        <w:trPr>
          <w:cantSplit/>
        </w:trPr>
        <w:tc>
          <w:tcPr>
            <w:shd w:val="clear" w:color="auto" w:fill="f7f9fa"/>
            <w:tcBorders/>
            <w:tcMar>
              <w:left w:w="70" w:type="dxa"/>
              <w:top w:w="60" w:type="dxa"/>
              <w:right w:w="70" w:type="dxa"/>
              <w:bottom w:w="60" w:type="dxa"/>
            </w:tcMar>
            <w:tcW w:w="889" w:type="dxa"/>
            <w:vAlign w:val="top"/>
          </w:tcPr>
          <w:p>
            <w:pPr>
              <w:pStyle w:val="1297"/>
              <w:pBdr/>
              <w:spacing/>
              <w:ind/>
              <w:rPr/>
            </w:pPr>
            <w:r>
              <w:t xml:space="preserve">RG-02</w:t>
            </w:r>
            <w:r/>
          </w:p>
        </w:tc>
        <w:tc>
          <w:tcPr>
            <w:shd w:val="clear" w:color="auto" w:fill="f7f9fa"/>
            <w:tcBorders/>
            <w:tcMar>
              <w:left w:w="70" w:type="dxa"/>
              <w:top w:w="60" w:type="dxa"/>
              <w:right w:w="70" w:type="dxa"/>
              <w:bottom w:w="60" w:type="dxa"/>
            </w:tcMar>
            <w:tcW w:w="7553" w:type="dxa"/>
            <w:vAlign w:val="top"/>
          </w:tcPr>
          <w:p>
            <w:pPr>
              <w:pStyle w:val="1297"/>
              <w:pBdr/>
              <w:spacing/>
              <w:ind/>
              <w:rPr/>
            </w:pPr>
            <w:r>
              <w:rPr>
                <w:b/>
              </w:rPr>
              <w:t xml:space="preserve">Available:</w:t>
            </w:r>
            <w:r>
              <w:t xml:space="preserve"> Sou</w:t>
            </w:r>
            <w:r>
              <w:t xml:space="preserve">rce-community scholarship and public institutional descriptions Missing: Structured coverage record and authorized review at appropriate scope Action: Qualified source-community reviewer(s); community governance/Local Contexts consultation where applicable</w:t>
            </w:r>
            <w:r/>
          </w:p>
        </w:tc>
        <w:tc>
          <w:tcPr>
            <w:shd w:val="clear" w:color="auto" w:fill="f7f9fa"/>
            <w:tcBorders/>
            <w:tcMar>
              <w:left w:w="70" w:type="dxa"/>
              <w:top w:w="60" w:type="dxa"/>
              <w:right w:w="70" w:type="dxa"/>
              <w:bottom w:w="60" w:type="dxa"/>
            </w:tcMar>
            <w:tcW w:w="6813" w:type="dxa"/>
            <w:vAlign w:val="top"/>
          </w:tcPr>
          <w:p>
            <w:pPr>
              <w:pStyle w:val="1297"/>
              <w:pBdr/>
              <w:spacing/>
              <w:ind/>
              <w:rPr/>
            </w:pPr>
            <w:r>
              <w:rPr>
                <w:b/>
              </w:rPr>
              <w:t xml:space="preserve">Codes:</w:t>
            </w:r>
            <w:r>
              <w:t xml:space="preserve"> C1; H1 Architecture impact: Local chapter / corpus-role. Source architecture consequence: Could demote position and narrow chapters.</w:t>
            </w:r>
            <w:r/>
          </w:p>
        </w:tc>
      </w:tr>
      <w:tr>
        <w:trPr>
          <w:cantSplit/>
        </w:trPr>
        <w:tc>
          <w:tcPr>
            <w:tcBorders/>
            <w:tcMar>
              <w:left w:w="70" w:type="dxa"/>
              <w:top w:w="60" w:type="dxa"/>
              <w:right w:w="70" w:type="dxa"/>
              <w:bottom w:w="60" w:type="dxa"/>
            </w:tcMar>
            <w:tcW w:w="889" w:type="dxa"/>
            <w:vAlign w:val="top"/>
          </w:tcPr>
          <w:p>
            <w:pPr>
              <w:pStyle w:val="1297"/>
              <w:pBdr/>
              <w:spacing/>
              <w:ind/>
              <w:rPr/>
            </w:pPr>
            <w:r>
              <w:t xml:space="preserve">RG-03</w:t>
            </w:r>
            <w:r/>
          </w:p>
        </w:tc>
        <w:tc>
          <w:tcPr>
            <w:tcBorders/>
            <w:tcMar>
              <w:left w:w="70" w:type="dxa"/>
              <w:top w:w="60" w:type="dxa"/>
              <w:right w:w="70" w:type="dxa"/>
              <w:bottom w:w="60" w:type="dxa"/>
            </w:tcMar>
            <w:tcW w:w="7553" w:type="dxa"/>
            <w:vAlign w:val="top"/>
          </w:tcPr>
          <w:p>
            <w:pPr>
              <w:pStyle w:val="1297"/>
              <w:pBdr/>
              <w:spacing/>
              <w:ind/>
              <w:rPr/>
            </w:pPr>
            <w:r>
              <w:rPr>
                <w:b/>
              </w:rPr>
              <w:t xml:space="preserve">Available:</w:t>
            </w:r>
            <w:r>
              <w:t xml:space="preserve"> Descola ethnography and current Achuar research record Missing: Direct/community-grounded scholarship or appropriately authorized sources Action: Current Achuar/community scholarship; direct-language/fieldwork sources; governance review</w:t>
            </w:r>
            <w:r/>
          </w:p>
        </w:tc>
        <w:tc>
          <w:tcPr>
            <w:tcBorders/>
            <w:tcMar>
              <w:left w:w="70" w:type="dxa"/>
              <w:top w:w="60" w:type="dxa"/>
              <w:right w:w="70" w:type="dxa"/>
              <w:bottom w:w="60" w:type="dxa"/>
            </w:tcMar>
            <w:tcW w:w="6813" w:type="dxa"/>
            <w:vAlign w:val="top"/>
          </w:tcPr>
          <w:p>
            <w:pPr>
              <w:pStyle w:val="1297"/>
              <w:pBdr/>
              <w:spacing/>
              <w:ind/>
              <w:rPr/>
            </w:pPr>
            <w:r>
              <w:rPr>
                <w:b/>
              </w:rPr>
              <w:t xml:space="preserve">Codes:</w:t>
            </w:r>
            <w:r>
              <w:t xml:space="preserve"> C2; H2 Architecture impact: None / local chapter or corpus-role only. Source architecture consequence: Promotion from HOLD would affect chapter content; failure leaves current TOC intact.</w:t>
            </w:r>
            <w:r/>
          </w:p>
        </w:tc>
      </w:tr>
      <w:tr>
        <w:trPr>
          <w:cantSplit/>
        </w:trPr>
        <w:tc>
          <w:tcPr>
            <w:shd w:val="clear" w:color="auto" w:fill="f7f9fa"/>
            <w:tcBorders/>
            <w:tcMar>
              <w:left w:w="70" w:type="dxa"/>
              <w:top w:w="60" w:type="dxa"/>
              <w:right w:w="70" w:type="dxa"/>
              <w:bottom w:w="60" w:type="dxa"/>
            </w:tcMar>
            <w:tcW w:w="889" w:type="dxa"/>
            <w:vAlign w:val="top"/>
          </w:tcPr>
          <w:p>
            <w:pPr>
              <w:pStyle w:val="1297"/>
              <w:pBdr/>
              <w:spacing/>
              <w:ind/>
              <w:rPr/>
            </w:pPr>
            <w:r>
              <w:t xml:space="preserve">RG-04</w:t>
            </w:r>
            <w:r/>
          </w:p>
        </w:tc>
        <w:tc>
          <w:tcPr>
            <w:shd w:val="clear" w:color="auto" w:fill="f7f9fa"/>
            <w:tcBorders/>
            <w:tcMar>
              <w:left w:w="70" w:type="dxa"/>
              <w:top w:w="60" w:type="dxa"/>
              <w:right w:w="70" w:type="dxa"/>
              <w:bottom w:w="60" w:type="dxa"/>
            </w:tcMar>
            <w:tcW w:w="7553" w:type="dxa"/>
            <w:vAlign w:val="top"/>
          </w:tcPr>
          <w:p>
            <w:pPr>
              <w:pStyle w:val="1297"/>
              <w:pBdr/>
              <w:spacing/>
              <w:ind/>
              <w:rPr/>
            </w:pPr>
            <w:r>
              <w:rPr>
                <w:b/>
              </w:rPr>
              <w:t xml:space="preserve">Available:</w:t>
            </w:r>
            <w:r>
              <w:t xml:space="preserve"> Te Ara overview [E34] and accessible scholarship Missing: Source-community bounded corpus, internal plurality map, rights/governance review Action: Māori scholarship; iwi/hapū-specific or author-bounded sources; te reo review</w:t>
            </w:r>
            <w:r/>
          </w:p>
        </w:tc>
        <w:tc>
          <w:tcPr>
            <w:shd w:val="clear" w:color="auto" w:fill="f7f9fa"/>
            <w:tcBorders/>
            <w:tcMar>
              <w:left w:w="70" w:type="dxa"/>
              <w:top w:w="60" w:type="dxa"/>
              <w:right w:w="70" w:type="dxa"/>
              <w:bottom w:w="60" w:type="dxa"/>
            </w:tcMar>
            <w:tcW w:w="6813" w:type="dxa"/>
            <w:vAlign w:val="top"/>
          </w:tcPr>
          <w:p>
            <w:pPr>
              <w:pStyle w:val="1297"/>
              <w:pBdr/>
              <w:spacing/>
              <w:ind/>
              <w:rPr/>
            </w:pPr>
            <w:r>
              <w:rPr>
                <w:b/>
              </w:rPr>
              <w:t xml:space="preserve">Codes:</w:t>
            </w:r>
            <w:r>
              <w:t xml:space="preserve"> C2; H2 Architecture impact: Structural only if evidence genuinely changes adopted architecture. Source architecture consequence: Could promote held section; not architecture-blocking.</w:t>
            </w:r>
            <w:r/>
          </w:p>
        </w:tc>
      </w:tr>
    </w:tbl>
    <w:p>
      <w:pPr>
        <w:pStyle w:val="1300"/>
        <w:pBdr/>
        <w:spacing/>
        <w:ind/>
        <w:rPr/>
      </w:pPr>
      <w:r/>
      <w:r/>
    </w:p>
    <w:p>
      <w:pPr>
        <w:pStyle w:val="1136"/>
        <w:keepNext w:val="true"/>
        <w:keepLines w:val="true"/>
        <w:pBdr/>
        <w:spacing/>
        <w:ind/>
        <w:rPr/>
      </w:pPr>
      <w:r/>
      <w:bookmarkStart w:id="219" w:name="S4_2"/>
      <w:r>
        <w:t xml:space="preserve">S4.2 Source bounding, philology and genealogy</w:t>
      </w:r>
      <w:bookmarkEnd w:id="219"/>
      <w:r/>
      <w:r/>
    </w:p>
    <w:p>
      <w:pPr>
        <w:pStyle w:val="1184"/>
        <w:keepNext w:val="true"/>
        <w:keepLines w:val="true"/>
        <w:pBdr/>
        <w:spacing/>
        <w:ind/>
        <w:rPr/>
      </w:pPr>
      <w:r>
        <w:t xml:space="preserve">Historical snapshot — Dependency workstream 2: Source bounding, philology and genealogy</w:t>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889"/>
        <w:gridCol w:w="7553"/>
        <w:gridCol w:w="6813"/>
      </w:tblGrid>
      <w:tr>
        <w:trPr>
          <w:cantSplit/>
          <w:tblHeader/>
        </w:trPr>
        <w:tc>
          <w:tcPr>
            <w:shd w:val="clear" w:color="auto" w:fill="1f5a73"/>
            <w:tcBorders/>
            <w:tcMar>
              <w:left w:w="70" w:type="dxa"/>
              <w:top w:w="60" w:type="dxa"/>
              <w:right w:w="70" w:type="dxa"/>
              <w:bottom w:w="60" w:type="dxa"/>
            </w:tcMar>
            <w:tcW w:w="889" w:type="dxa"/>
            <w:vAlign w:val="top"/>
          </w:tcPr>
          <w:p>
            <w:pPr>
              <w:pStyle w:val="1299"/>
              <w:pBdr/>
              <w:spacing/>
              <w:ind/>
              <w:rPr/>
            </w:pPr>
            <w:r>
              <w:t xml:space="preserve">ID</w:t>
            </w:r>
            <w:r/>
          </w:p>
        </w:tc>
        <w:tc>
          <w:tcPr>
            <w:shd w:val="clear" w:color="auto" w:fill="1f5a73"/>
            <w:tcBorders/>
            <w:tcMar>
              <w:left w:w="70" w:type="dxa"/>
              <w:top w:w="60" w:type="dxa"/>
              <w:right w:w="70" w:type="dxa"/>
              <w:bottom w:w="60" w:type="dxa"/>
            </w:tcMar>
            <w:tcW w:w="7553" w:type="dxa"/>
            <w:vAlign w:val="top"/>
          </w:tcPr>
          <w:p>
            <w:pPr>
              <w:pStyle w:val="1299"/>
              <w:pBdr/>
              <w:spacing/>
              <w:ind/>
              <w:rPr/>
            </w:pPr>
            <w:r>
              <w:t xml:space="preserve">Evidence and required action</w:t>
            </w:r>
            <w:r/>
          </w:p>
        </w:tc>
        <w:tc>
          <w:tcPr>
            <w:shd w:val="clear" w:color="auto" w:fill="1f5a73"/>
            <w:tcBorders/>
            <w:tcMar>
              <w:left w:w="70" w:type="dxa"/>
              <w:top w:w="60" w:type="dxa"/>
              <w:right w:w="70" w:type="dxa"/>
              <w:bottom w:w="60" w:type="dxa"/>
            </w:tcMar>
            <w:tcW w:w="6813" w:type="dxa"/>
            <w:vAlign w:val="top"/>
          </w:tcPr>
          <w:p>
            <w:pPr>
              <w:pStyle w:val="1299"/>
              <w:pBdr/>
              <w:spacing/>
              <w:ind/>
              <w:rPr/>
            </w:pPr>
            <w:r>
              <w:t xml:space="preserve">Unresolved consequence, handoff and architecture impact</w:t>
            </w:r>
            <w:r/>
          </w:p>
        </w:tc>
      </w:tr>
      <w:tr>
        <w:trPr>
          <w:cantSplit/>
        </w:trPr>
        <w:tc>
          <w:tcPr>
            <w:tcBorders/>
            <w:tcMar>
              <w:left w:w="70" w:type="dxa"/>
              <w:top w:w="60" w:type="dxa"/>
              <w:right w:w="70" w:type="dxa"/>
              <w:bottom w:w="60" w:type="dxa"/>
            </w:tcMar>
            <w:tcW w:w="889" w:type="dxa"/>
            <w:vAlign w:val="top"/>
          </w:tcPr>
          <w:p>
            <w:pPr>
              <w:pStyle w:val="1297"/>
              <w:pBdr/>
              <w:spacing/>
              <w:ind/>
              <w:rPr/>
            </w:pPr>
            <w:r>
              <w:t xml:space="preserve">RG-05</w:t>
            </w:r>
            <w:r/>
          </w:p>
        </w:tc>
        <w:tc>
          <w:tcPr>
            <w:tcBorders/>
            <w:tcMar>
              <w:left w:w="70" w:type="dxa"/>
              <w:top w:w="60" w:type="dxa"/>
              <w:right w:w="70" w:type="dxa"/>
              <w:bottom w:w="60" w:type="dxa"/>
            </w:tcMar>
            <w:tcW w:w="7553" w:type="dxa"/>
            <w:vAlign w:val="top"/>
          </w:tcPr>
          <w:p>
            <w:pPr>
              <w:pStyle w:val="1297"/>
              <w:pBdr/>
              <w:spacing/>
              <w:ind/>
              <w:rPr/>
            </w:pPr>
            <w:r>
              <w:rPr>
                <w:b/>
              </w:rPr>
              <w:t xml:space="preserve">Available:</w:t>
            </w:r>
            <w:r>
              <w:t xml:space="preserve"> IEP overview [E35] and published scholarship landscape Missing: Philological review of primary Nahuatl colonial-era sources and dispute over teotl reconstruction Action: Critical editions/translations; Nahuatl specialists; historiography</w:t>
            </w:r>
            <w:r/>
          </w:p>
        </w:tc>
        <w:tc>
          <w:tcPr>
            <w:tcBorders/>
            <w:tcMar>
              <w:left w:w="70" w:type="dxa"/>
              <w:top w:w="60" w:type="dxa"/>
              <w:right w:w="70" w:type="dxa"/>
              <w:bottom w:w="60" w:type="dxa"/>
            </w:tcMar>
            <w:tcW w:w="6813" w:type="dxa"/>
            <w:vAlign w:val="top"/>
          </w:tcPr>
          <w:p>
            <w:pPr>
              <w:pStyle w:val="1297"/>
              <w:pBdr/>
              <w:spacing/>
              <w:ind/>
              <w:rPr/>
            </w:pPr>
            <w:r>
              <w:rPr>
                <w:b/>
              </w:rPr>
              <w:t xml:space="preserve">Codes:</w:t>
            </w:r>
            <w:r>
              <w:t xml:space="preserve"> C2; H2 Architecture impact: None / local chapter or corpus-role only. Source architecture consequence: Could add comparator in Ch.3/4/6 later; no present TOC dependence.</w:t>
            </w:r>
            <w:r/>
          </w:p>
        </w:tc>
      </w:tr>
      <w:tr>
        <w:trPr>
          <w:cantSplit/>
        </w:trPr>
        <w:tc>
          <w:tcPr>
            <w:shd w:val="clear" w:color="auto" w:fill="f7f9fa"/>
            <w:tcBorders/>
            <w:tcMar>
              <w:left w:w="70" w:type="dxa"/>
              <w:top w:w="60" w:type="dxa"/>
              <w:right w:w="70" w:type="dxa"/>
              <w:bottom w:w="60" w:type="dxa"/>
            </w:tcMar>
            <w:tcW w:w="889" w:type="dxa"/>
            <w:vAlign w:val="top"/>
          </w:tcPr>
          <w:p>
            <w:pPr>
              <w:pStyle w:val="1297"/>
              <w:pBdr/>
              <w:spacing/>
              <w:ind/>
              <w:rPr/>
            </w:pPr>
            <w:r>
              <w:t xml:space="preserve">RG-06</w:t>
            </w:r>
            <w:r/>
          </w:p>
        </w:tc>
        <w:tc>
          <w:tcPr>
            <w:shd w:val="clear" w:color="auto" w:fill="f7f9fa"/>
            <w:tcBorders/>
            <w:tcMar>
              <w:left w:w="70" w:type="dxa"/>
              <w:top w:w="60" w:type="dxa"/>
              <w:right w:w="70" w:type="dxa"/>
              <w:bottom w:w="60" w:type="dxa"/>
            </w:tcMar>
            <w:tcW w:w="7553" w:type="dxa"/>
            <w:vAlign w:val="top"/>
          </w:tcPr>
          <w:p>
            <w:pPr>
              <w:pStyle w:val="1297"/>
              <w:pBdr/>
              <w:spacing/>
              <w:ind/>
              <w:rPr/>
            </w:pPr>
            <w:r>
              <w:rPr>
                <w:b/>
              </w:rPr>
              <w:t xml:space="preserve">Available:</w:t>
            </w:r>
            <w:r>
              <w:t xml:space="preserve"> SEP/source guides [E40] and specialist literature Missing: Exact Sanskrit locators and specialist validation of translation choices Action: Critical edition/translation; specialist Śaiva scholarship</w:t>
            </w:r>
            <w:r/>
          </w:p>
        </w:tc>
        <w:tc>
          <w:tcPr>
            <w:shd w:val="clear" w:color="auto" w:fill="f7f9fa"/>
            <w:tcBorders/>
            <w:tcMar>
              <w:left w:w="70" w:type="dxa"/>
              <w:top w:w="60" w:type="dxa"/>
              <w:right w:w="70" w:type="dxa"/>
              <w:bottom w:w="60" w:type="dxa"/>
            </w:tcMar>
            <w:tcW w:w="6813" w:type="dxa"/>
            <w:vAlign w:val="top"/>
          </w:tcPr>
          <w:p>
            <w:pPr>
              <w:pStyle w:val="1297"/>
              <w:pBdr/>
              <w:spacing/>
              <w:ind/>
              <w:rPr/>
            </w:pPr>
            <w:r>
              <w:rPr>
                <w:b/>
              </w:rPr>
              <w:t xml:space="preserve">Codes:</w:t>
            </w:r>
            <w:r>
              <w:t xml:space="preserve"> C2; H2 Architecture impact: Local chapter / corpus-role. Source architecture consequence: Affects section claims, not chapter architecture.</w:t>
            </w:r>
            <w:r/>
          </w:p>
        </w:tc>
      </w:tr>
      <w:tr>
        <w:trPr>
          <w:cantSplit/>
        </w:trPr>
        <w:tc>
          <w:tcPr>
            <w:tcBorders/>
            <w:tcMar>
              <w:left w:w="70" w:type="dxa"/>
              <w:top w:w="60" w:type="dxa"/>
              <w:right w:w="70" w:type="dxa"/>
              <w:bottom w:w="60" w:type="dxa"/>
            </w:tcMar>
            <w:tcW w:w="889" w:type="dxa"/>
            <w:vAlign w:val="top"/>
          </w:tcPr>
          <w:p>
            <w:pPr>
              <w:pStyle w:val="1297"/>
              <w:pBdr/>
              <w:spacing/>
              <w:ind/>
              <w:rPr/>
            </w:pPr>
            <w:r>
              <w:t xml:space="preserve">RG-07</w:t>
            </w:r>
            <w:r/>
          </w:p>
        </w:tc>
        <w:tc>
          <w:tcPr>
            <w:tcBorders/>
            <w:tcMar>
              <w:left w:w="70" w:type="dxa"/>
              <w:top w:w="60" w:type="dxa"/>
              <w:right w:w="70" w:type="dxa"/>
              <w:bottom w:w="60" w:type="dxa"/>
            </w:tcMar>
            <w:tcW w:w="7553" w:type="dxa"/>
            <w:vAlign w:val="top"/>
          </w:tcPr>
          <w:p>
            <w:pPr>
              <w:pStyle w:val="1297"/>
              <w:pBdr/>
              <w:spacing/>
              <w:ind/>
              <w:rPr/>
            </w:pPr>
            <w:r>
              <w:rPr>
                <w:b/>
              </w:rPr>
              <w:t xml:space="preserve">Available:</w:t>
            </w:r>
            <w:r>
              <w:t xml:space="preserve"> Current Śaṅkara research dossier; securely attributed works Missing: Claim-by-claim attribution and locator audit Action: Critical editions; authorship scholarship; Sanskrit review</w:t>
            </w:r>
            <w:r/>
          </w:p>
        </w:tc>
        <w:tc>
          <w:tcPr>
            <w:tcBorders/>
            <w:tcMar>
              <w:left w:w="70" w:type="dxa"/>
              <w:top w:w="60" w:type="dxa"/>
              <w:right w:w="70" w:type="dxa"/>
              <w:bottom w:w="60" w:type="dxa"/>
            </w:tcMar>
            <w:tcW w:w="6813" w:type="dxa"/>
            <w:vAlign w:val="top"/>
          </w:tcPr>
          <w:p>
            <w:pPr>
              <w:pStyle w:val="1297"/>
              <w:pBdr/>
              <w:spacing/>
              <w:ind/>
              <w:rPr/>
            </w:pPr>
            <w:r>
              <w:rPr>
                <w:b/>
              </w:rPr>
              <w:t xml:space="preserve">Codes:</w:t>
            </w:r>
            <w:r>
              <w:t xml:space="preserve"> C1; H1 Architecture impact: Local chapter / corpus-role. Source architecture consequence: Could narrow claims but not remove core position.</w:t>
            </w:r>
            <w:r/>
          </w:p>
        </w:tc>
      </w:tr>
      <w:tr>
        <w:trPr>
          <w:cantSplit/>
        </w:trPr>
        <w:tc>
          <w:tcPr>
            <w:shd w:val="clear" w:color="auto" w:fill="f7f9fa"/>
            <w:tcBorders/>
            <w:tcMar>
              <w:left w:w="70" w:type="dxa"/>
              <w:top w:w="60" w:type="dxa"/>
              <w:right w:w="70" w:type="dxa"/>
              <w:bottom w:w="60" w:type="dxa"/>
            </w:tcMar>
            <w:tcW w:w="889" w:type="dxa"/>
            <w:vAlign w:val="top"/>
          </w:tcPr>
          <w:p>
            <w:pPr>
              <w:pStyle w:val="1297"/>
              <w:pBdr/>
              <w:spacing/>
              <w:ind/>
              <w:rPr/>
            </w:pPr>
            <w:r>
              <w:t xml:space="preserve">RG-08</w:t>
            </w:r>
            <w:r/>
          </w:p>
        </w:tc>
        <w:tc>
          <w:tcPr>
            <w:shd w:val="clear" w:color="auto" w:fill="f7f9fa"/>
            <w:tcBorders/>
            <w:tcMar>
              <w:left w:w="70" w:type="dxa"/>
              <w:top w:w="60" w:type="dxa"/>
              <w:right w:w="70" w:type="dxa"/>
              <w:bottom w:w="60" w:type="dxa"/>
            </w:tcMar>
            <w:tcW w:w="7553" w:type="dxa"/>
            <w:vAlign w:val="top"/>
          </w:tcPr>
          <w:p>
            <w:pPr>
              <w:pStyle w:val="1297"/>
              <w:pBdr/>
              <w:spacing/>
              <w:ind/>
              <w:rPr/>
            </w:pPr>
            <w:r>
              <w:rPr>
                <w:b/>
              </w:rPr>
              <w:t xml:space="preserve">Available:</w:t>
            </w:r>
            <w:r>
              <w:t xml:space="preserve"> MMK + specialist scholarship; internal warning against inflation Missing: Bounded-source audit separating contextual Buddhist doctrine from MMK commitments Action: MMK critical text/translation; specialist commentary</w:t>
            </w:r>
            <w:r/>
          </w:p>
        </w:tc>
        <w:tc>
          <w:tcPr>
            <w:shd w:val="clear" w:color="auto" w:fill="f7f9fa"/>
            <w:tcBorders/>
            <w:tcMar>
              <w:left w:w="70" w:type="dxa"/>
              <w:top w:w="60" w:type="dxa"/>
              <w:right w:w="70" w:type="dxa"/>
              <w:bottom w:w="60" w:type="dxa"/>
            </w:tcMar>
            <w:tcW w:w="6813" w:type="dxa"/>
            <w:vAlign w:val="top"/>
          </w:tcPr>
          <w:p>
            <w:pPr>
              <w:pStyle w:val="1297"/>
              <w:pBdr/>
              <w:spacing/>
              <w:ind/>
              <w:rPr/>
            </w:pPr>
            <w:r>
              <w:rPr>
                <w:b/>
              </w:rPr>
              <w:t xml:space="preserve">Codes:</w:t>
            </w:r>
            <w:r>
              <w:t xml:space="preserve"> C1; H1 Architecture impact: Local unless the evidence demonstrates a structural consequence. Source architecture consequence: Could reassign some claims to context or remove them; TOC stable.</w:t>
            </w:r>
            <w:r/>
          </w:p>
        </w:tc>
      </w:tr>
      <w:tr>
        <w:trPr>
          <w:cantSplit/>
        </w:trPr>
        <w:tc>
          <w:tcPr>
            <w:tcBorders/>
            <w:tcMar>
              <w:left w:w="70" w:type="dxa"/>
              <w:top w:w="60" w:type="dxa"/>
              <w:right w:w="70" w:type="dxa"/>
              <w:bottom w:w="60" w:type="dxa"/>
            </w:tcMar>
            <w:tcW w:w="889" w:type="dxa"/>
            <w:vAlign w:val="top"/>
          </w:tcPr>
          <w:p>
            <w:pPr>
              <w:pStyle w:val="1297"/>
              <w:pBdr/>
              <w:spacing/>
              <w:ind/>
              <w:rPr/>
            </w:pPr>
            <w:r>
              <w:t xml:space="preserve">RG-09</w:t>
            </w:r>
            <w:r/>
          </w:p>
        </w:tc>
        <w:tc>
          <w:tcPr>
            <w:tcBorders/>
            <w:tcMar>
              <w:left w:w="70" w:type="dxa"/>
              <w:top w:w="60" w:type="dxa"/>
              <w:right w:w="70" w:type="dxa"/>
              <w:bottom w:w="60" w:type="dxa"/>
            </w:tcMar>
            <w:tcW w:w="7553" w:type="dxa"/>
            <w:vAlign w:val="top"/>
          </w:tcPr>
          <w:p>
            <w:pPr>
              <w:pStyle w:val="1297"/>
              <w:pBdr/>
              <w:spacing/>
              <w:ind/>
              <w:rPr/>
            </w:pPr>
            <w:r>
              <w:rPr>
                <w:b/>
              </w:rPr>
              <w:t xml:space="preserve">Available:</w:t>
            </w:r>
            <w:r>
              <w:t xml:space="preserve"> Primary corpora; established history of Arabic Neoplatonic materials Missing: Focused transmission dossier with named texts/intermediaries Action: Histories of Arabic philosophy; pseudo-Theology of Aristotle scholarship; primary transmission sources</w:t>
            </w:r>
            <w:r/>
          </w:p>
        </w:tc>
        <w:tc>
          <w:tcPr>
            <w:tcBorders/>
            <w:tcMar>
              <w:left w:w="70" w:type="dxa"/>
              <w:top w:w="60" w:type="dxa"/>
              <w:right w:w="70" w:type="dxa"/>
              <w:bottom w:w="60" w:type="dxa"/>
            </w:tcMar>
            <w:tcW w:w="6813" w:type="dxa"/>
            <w:vAlign w:val="top"/>
          </w:tcPr>
          <w:p>
            <w:pPr>
              <w:pStyle w:val="1297"/>
              <w:pBdr/>
              <w:spacing/>
              <w:ind/>
              <w:rPr/>
            </w:pPr>
            <w:r>
              <w:rPr>
                <w:b/>
              </w:rPr>
              <w:t xml:space="preserve">Codes:</w:t>
            </w:r>
            <w:r>
              <w:t xml:space="preserve"> C2; H2 Architecture impact: Local unless the evidence demonstrates a structural consequence. Source architecture consequence: May alter genealogy notes, not comparative placement.</w:t>
            </w:r>
            <w:r/>
          </w:p>
        </w:tc>
      </w:tr>
      <w:tr>
        <w:trPr>
          <w:cantSplit/>
        </w:trPr>
        <w:tc>
          <w:tcPr>
            <w:shd w:val="clear" w:color="auto" w:fill="f7f9fa"/>
            <w:tcBorders/>
            <w:tcMar>
              <w:left w:w="70" w:type="dxa"/>
              <w:top w:w="60" w:type="dxa"/>
              <w:right w:w="70" w:type="dxa"/>
              <w:bottom w:w="60" w:type="dxa"/>
            </w:tcMar>
            <w:tcW w:w="889" w:type="dxa"/>
            <w:vAlign w:val="top"/>
          </w:tcPr>
          <w:p>
            <w:pPr>
              <w:pStyle w:val="1297"/>
              <w:pBdr/>
              <w:spacing/>
              <w:ind/>
              <w:rPr/>
            </w:pPr>
            <w:r>
              <w:t xml:space="preserve">RG-10</w:t>
            </w:r>
            <w:r/>
          </w:p>
        </w:tc>
        <w:tc>
          <w:tcPr>
            <w:shd w:val="clear" w:color="auto" w:fill="f7f9fa"/>
            <w:tcBorders/>
            <w:tcMar>
              <w:left w:w="70" w:type="dxa"/>
              <w:top w:w="60" w:type="dxa"/>
              <w:right w:w="70" w:type="dxa"/>
              <w:bottom w:w="60" w:type="dxa"/>
            </w:tcMar>
            <w:tcW w:w="7553" w:type="dxa"/>
            <w:vAlign w:val="top"/>
          </w:tcPr>
          <w:p>
            <w:pPr>
              <w:pStyle w:val="1297"/>
              <w:pBdr/>
              <w:spacing/>
              <w:ind/>
              <w:rPr/>
            </w:pPr>
            <w:r>
              <w:rPr>
                <w:b/>
              </w:rPr>
              <w:t xml:space="preserve">Available:</w:t>
            </w:r>
            <w:r>
              <w:t xml:space="preserve"> Current Ibn ʿArabī research dossier; specialist scholarship Missing: Term-level concept record with competing translations and school-history distinctions Action: Arabic text; Chittick and current Ibn ʿArabī scholarship; specialist reviewer</w:t>
            </w:r>
            <w:r/>
          </w:p>
        </w:tc>
        <w:tc>
          <w:tcPr>
            <w:shd w:val="clear" w:color="auto" w:fill="f7f9fa"/>
            <w:tcBorders/>
            <w:tcMar>
              <w:left w:w="70" w:type="dxa"/>
              <w:top w:w="60" w:type="dxa"/>
              <w:right w:w="70" w:type="dxa"/>
              <w:bottom w:w="60" w:type="dxa"/>
            </w:tcMar>
            <w:tcW w:w="6813" w:type="dxa"/>
            <w:vAlign w:val="top"/>
          </w:tcPr>
          <w:p>
            <w:pPr>
              <w:pStyle w:val="1297"/>
              <w:pBdr/>
              <w:spacing/>
              <w:ind/>
              <w:rPr/>
            </w:pPr>
            <w:r>
              <w:rPr>
                <w:b/>
              </w:rPr>
              <w:t xml:space="preserve">Codes:</w:t>
            </w:r>
            <w:r>
              <w:t xml:space="preserve"> C1; H1 Architecture impact: Local chapter / corpus-role. Source architecture consequence: Could narrow monism comparisons; section remains.</w:t>
            </w:r>
            <w:r/>
          </w:p>
        </w:tc>
      </w:tr>
      <w:tr>
        <w:trPr>
          <w:cantSplit/>
        </w:trPr>
        <w:tc>
          <w:tcPr>
            <w:tcBorders/>
            <w:tcMar>
              <w:left w:w="70" w:type="dxa"/>
              <w:top w:w="60" w:type="dxa"/>
              <w:right w:w="70" w:type="dxa"/>
              <w:bottom w:w="60" w:type="dxa"/>
            </w:tcMar>
            <w:tcW w:w="889" w:type="dxa"/>
            <w:vAlign w:val="top"/>
          </w:tcPr>
          <w:p>
            <w:pPr>
              <w:pStyle w:val="1297"/>
              <w:pBdr/>
              <w:spacing/>
              <w:ind/>
              <w:rPr/>
            </w:pPr>
            <w:r>
              <w:t xml:space="preserve">RG-11</w:t>
            </w:r>
            <w:r/>
          </w:p>
        </w:tc>
        <w:tc>
          <w:tcPr>
            <w:tcBorders/>
            <w:tcMar>
              <w:left w:w="70" w:type="dxa"/>
              <w:top w:w="60" w:type="dxa"/>
              <w:right w:w="70" w:type="dxa"/>
              <w:bottom w:w="60" w:type="dxa"/>
            </w:tcMar>
            <w:tcW w:w="7553" w:type="dxa"/>
            <w:vAlign w:val="top"/>
          </w:tcPr>
          <w:p>
            <w:pPr>
              <w:pStyle w:val="1297"/>
              <w:pBdr/>
              <w:spacing/>
              <w:ind/>
              <w:rPr/>
            </w:pPr>
            <w:r>
              <w:rPr>
                <w:b/>
              </w:rPr>
              <w:t xml:space="preserve">Available:</w:t>
            </w:r>
            <w:r>
              <w:t xml:space="preserve"> Tattvārthasūtra and reference scholarship [E22] Missing: Reception/sectarian variation audit and source attachments Action: Critical translations/commentaries; Jaina philosophy specialists</w:t>
            </w:r>
            <w:r/>
          </w:p>
        </w:tc>
        <w:tc>
          <w:tcPr>
            <w:tcBorders/>
            <w:tcMar>
              <w:left w:w="70" w:type="dxa"/>
              <w:top w:w="60" w:type="dxa"/>
              <w:right w:w="70" w:type="dxa"/>
              <w:bottom w:w="60" w:type="dxa"/>
            </w:tcMar>
            <w:tcW w:w="6813" w:type="dxa"/>
            <w:vAlign w:val="top"/>
          </w:tcPr>
          <w:p>
            <w:pPr>
              <w:pStyle w:val="1297"/>
              <w:pBdr/>
              <w:spacing/>
              <w:ind/>
              <w:rPr/>
            </w:pPr>
            <w:r>
              <w:rPr>
                <w:b/>
              </w:rPr>
              <w:t xml:space="preserve">Codes:</w:t>
            </w:r>
            <w:r>
              <w:t xml:space="preserve"> C2; H2 Architecture impact: Local unless the evidence demonstrates a structural consequence. Source architecture consequence: May change scope label and notes.</w:t>
            </w:r>
            <w:r/>
          </w:p>
        </w:tc>
      </w:tr>
      <w:tr>
        <w:trPr>
          <w:cantSplit/>
        </w:trPr>
        <w:tc>
          <w:tcPr>
            <w:shd w:val="clear" w:color="auto" w:fill="f7f9fa"/>
            <w:tcBorders/>
            <w:tcMar>
              <w:left w:w="70" w:type="dxa"/>
              <w:top w:w="60" w:type="dxa"/>
              <w:right w:w="70" w:type="dxa"/>
              <w:bottom w:w="60" w:type="dxa"/>
            </w:tcMar>
            <w:tcW w:w="889" w:type="dxa"/>
            <w:vAlign w:val="top"/>
          </w:tcPr>
          <w:p>
            <w:pPr>
              <w:pStyle w:val="1297"/>
              <w:pBdr/>
              <w:spacing/>
              <w:ind/>
              <w:rPr/>
            </w:pPr>
            <w:r>
              <w:t xml:space="preserve">RG-15</w:t>
            </w:r>
            <w:r/>
          </w:p>
        </w:tc>
        <w:tc>
          <w:tcPr>
            <w:shd w:val="clear" w:color="auto" w:fill="f7f9fa"/>
            <w:tcBorders/>
            <w:tcMar>
              <w:left w:w="70" w:type="dxa"/>
              <w:top w:w="60" w:type="dxa"/>
              <w:right w:w="70" w:type="dxa"/>
              <w:bottom w:w="60" w:type="dxa"/>
            </w:tcMar>
            <w:tcW w:w="7553" w:type="dxa"/>
            <w:vAlign w:val="top"/>
          </w:tcPr>
          <w:p>
            <w:pPr>
              <w:pStyle w:val="1297"/>
              <w:pBdr/>
              <w:spacing/>
              <w:ind/>
              <w:rPr/>
            </w:pPr>
            <w:r>
              <w:rPr>
                <w:b/>
              </w:rPr>
              <w:t xml:space="preserve">Available:</w:t>
            </w:r>
            <w:r>
              <w:t xml:space="preserve"> SEP [E23], primary translations, specialist literature Missing: Text-specific attribution/interpretation dossier Action: Sanskrit/Tibetan/Chinese witnesses as relevant; specialist Yogācāra scholarship</w:t>
            </w:r>
            <w:r/>
          </w:p>
        </w:tc>
        <w:tc>
          <w:tcPr>
            <w:shd w:val="clear" w:color="auto" w:fill="f7f9fa"/>
            <w:tcBorders/>
            <w:tcMar>
              <w:left w:w="70" w:type="dxa"/>
              <w:top w:w="60" w:type="dxa"/>
              <w:right w:w="70" w:type="dxa"/>
              <w:bottom w:w="60" w:type="dxa"/>
            </w:tcMar>
            <w:tcW w:w="6813" w:type="dxa"/>
            <w:vAlign w:val="top"/>
          </w:tcPr>
          <w:p>
            <w:pPr>
              <w:pStyle w:val="1297"/>
              <w:pBdr/>
              <w:spacing/>
              <w:ind/>
              <w:rPr/>
            </w:pPr>
            <w:r>
              <w:rPr>
                <w:b/>
              </w:rPr>
              <w:t xml:space="preserve">Codes:</w:t>
            </w:r>
            <w:r>
              <w:t xml:space="preserve"> C2; H2 Architecture impact: None / local chapter or corpus-role only. Source architecture consequence: Could narrow claims; no architecture change.</w:t>
            </w:r>
            <w:r/>
          </w:p>
        </w:tc>
      </w:tr>
      <w:tr>
        <w:trPr>
          <w:cantSplit/>
        </w:trPr>
        <w:tc>
          <w:tcPr>
            <w:tcBorders/>
            <w:tcMar>
              <w:left w:w="70" w:type="dxa"/>
              <w:top w:w="60" w:type="dxa"/>
              <w:right w:w="70" w:type="dxa"/>
              <w:bottom w:w="60" w:type="dxa"/>
            </w:tcMar>
            <w:tcW w:w="889" w:type="dxa"/>
            <w:vAlign w:val="top"/>
          </w:tcPr>
          <w:p>
            <w:pPr>
              <w:pStyle w:val="1297"/>
              <w:pBdr/>
              <w:spacing/>
              <w:ind/>
              <w:rPr/>
            </w:pPr>
            <w:r>
              <w:t xml:space="preserve">RG-16</w:t>
            </w:r>
            <w:r/>
          </w:p>
        </w:tc>
        <w:tc>
          <w:tcPr>
            <w:tcBorders/>
            <w:tcMar>
              <w:left w:w="70" w:type="dxa"/>
              <w:top w:w="60" w:type="dxa"/>
              <w:right w:w="70" w:type="dxa"/>
              <w:bottom w:w="60" w:type="dxa"/>
            </w:tcMar>
            <w:tcW w:w="7553" w:type="dxa"/>
            <w:vAlign w:val="top"/>
          </w:tcPr>
          <w:p>
            <w:pPr>
              <w:pStyle w:val="1297"/>
              <w:pBdr/>
              <w:spacing/>
              <w:ind/>
              <w:rPr/>
            </w:pPr>
            <w:r>
              <w:rPr>
                <w:b/>
              </w:rPr>
              <w:t xml:space="preserve">Available:</w:t>
            </w:r>
            <w:r>
              <w:t xml:space="preserve"> SEP overview [E33] and published philosophers Missing: Primary works + linguistic concept audit; scope/attribution map Action: Wiredu/Gyekye primary texts; Akan-language scholarship; specialist Africana review</w:t>
            </w:r>
            <w:r/>
          </w:p>
        </w:tc>
        <w:tc>
          <w:tcPr>
            <w:tcBorders/>
            <w:tcMar>
              <w:left w:w="70" w:type="dxa"/>
              <w:top w:w="60" w:type="dxa"/>
              <w:right w:w="70" w:type="dxa"/>
              <w:bottom w:w="60" w:type="dxa"/>
            </w:tcMar>
            <w:tcW w:w="6813" w:type="dxa"/>
            <w:vAlign w:val="top"/>
          </w:tcPr>
          <w:p>
            <w:pPr>
              <w:pStyle w:val="1297"/>
              <w:pBdr/>
              <w:spacing/>
              <w:ind/>
              <w:rPr/>
            </w:pPr>
            <w:r>
              <w:rPr>
                <w:b/>
              </w:rPr>
              <w:t xml:space="preserve">Codes:</w:t>
            </w:r>
            <w:r>
              <w:t xml:space="preserve"> C2; H2 Architecture impact: Local chapter / corpus-role. Source architecture consequence: Could change section framing, not chapter.</w:t>
            </w:r>
            <w:r/>
          </w:p>
        </w:tc>
      </w:tr>
      <w:tr>
        <w:trPr>
          <w:cantSplit/>
        </w:trPr>
        <w:tc>
          <w:tcPr>
            <w:shd w:val="clear" w:color="auto" w:fill="f7f9fa"/>
            <w:tcBorders/>
            <w:tcMar>
              <w:left w:w="70" w:type="dxa"/>
              <w:top w:w="60" w:type="dxa"/>
              <w:right w:w="70" w:type="dxa"/>
              <w:bottom w:w="60" w:type="dxa"/>
            </w:tcMar>
            <w:tcW w:w="889" w:type="dxa"/>
            <w:vAlign w:val="top"/>
          </w:tcPr>
          <w:p>
            <w:pPr>
              <w:pStyle w:val="1297"/>
              <w:pBdr/>
              <w:spacing/>
              <w:ind/>
              <w:rPr/>
            </w:pPr>
            <w:r>
              <w:t xml:space="preserve">RG-17</w:t>
            </w:r>
            <w:r/>
          </w:p>
        </w:tc>
        <w:tc>
          <w:tcPr>
            <w:shd w:val="clear" w:color="auto" w:fill="f7f9fa"/>
            <w:tcBorders/>
            <w:tcMar>
              <w:left w:w="70" w:type="dxa"/>
              <w:top w:w="60" w:type="dxa"/>
              <w:right w:w="70" w:type="dxa"/>
              <w:bottom w:w="60" w:type="dxa"/>
            </w:tcMar>
            <w:tcW w:w="7553" w:type="dxa"/>
            <w:vAlign w:val="top"/>
          </w:tcPr>
          <w:p>
            <w:pPr>
              <w:pStyle w:val="1297"/>
              <w:pBdr/>
              <w:spacing/>
              <w:ind/>
              <w:rPr/>
            </w:pPr>
            <w:r>
              <w:rPr>
                <w:b/>
              </w:rPr>
              <w:t xml:space="preserve">Available:</w:t>
            </w:r>
            <w:r>
              <w:t xml:space="preserve"> Current SEP entry [E21] and Guru Granth Sahib sources Missing: Authorship/source-bounding and Punjabi conceptual review Action: Critical Gurbani scholarship; Punjabi/Gurmukhi expertise; Sikh philosophy specialists</w:t>
            </w:r>
            <w:r/>
          </w:p>
        </w:tc>
        <w:tc>
          <w:tcPr>
            <w:shd w:val="clear" w:color="auto" w:fill="f7f9fa"/>
            <w:tcBorders/>
            <w:tcMar>
              <w:left w:w="70" w:type="dxa"/>
              <w:top w:w="60" w:type="dxa"/>
              <w:right w:w="70" w:type="dxa"/>
              <w:bottom w:w="60" w:type="dxa"/>
            </w:tcMar>
            <w:tcW w:w="6813" w:type="dxa"/>
            <w:vAlign w:val="top"/>
          </w:tcPr>
          <w:p>
            <w:pPr>
              <w:pStyle w:val="1297"/>
              <w:pBdr/>
              <w:spacing/>
              <w:ind/>
              <w:rPr/>
            </w:pPr>
            <w:r>
              <w:rPr>
                <w:b/>
              </w:rPr>
              <w:t xml:space="preserve">Codes:</w:t>
            </w:r>
            <w:r>
              <w:t xml:space="preserve"> C1; H1 Architecture impact: Local chapter / corpus-role. Source architecture consequence: Could narrow role, not remove core unless evidence unexpectedly fails.</w:t>
            </w:r>
            <w:r/>
          </w:p>
        </w:tc>
      </w:tr>
      <w:tr>
        <w:trPr>
          <w:cantSplit/>
        </w:trPr>
        <w:tc>
          <w:tcPr>
            <w:tcBorders/>
            <w:tcMar>
              <w:left w:w="70" w:type="dxa"/>
              <w:top w:w="60" w:type="dxa"/>
              <w:right w:w="70" w:type="dxa"/>
              <w:bottom w:w="60" w:type="dxa"/>
            </w:tcMar>
            <w:tcW w:w="889" w:type="dxa"/>
            <w:vAlign w:val="top"/>
          </w:tcPr>
          <w:p>
            <w:pPr>
              <w:pStyle w:val="1297"/>
              <w:pBdr/>
              <w:spacing/>
              <w:ind/>
              <w:rPr/>
            </w:pPr>
            <w:r>
              <w:t xml:space="preserve">RG-18</w:t>
            </w:r>
            <w:r/>
          </w:p>
        </w:tc>
        <w:tc>
          <w:tcPr>
            <w:tcBorders/>
            <w:tcMar>
              <w:left w:w="70" w:type="dxa"/>
              <w:top w:w="60" w:type="dxa"/>
              <w:right w:w="70" w:type="dxa"/>
              <w:bottom w:w="60" w:type="dxa"/>
            </w:tcMar>
            <w:tcW w:w="7553" w:type="dxa"/>
            <w:vAlign w:val="top"/>
          </w:tcPr>
          <w:p>
            <w:pPr>
              <w:pStyle w:val="1297"/>
              <w:pBdr/>
              <w:spacing/>
              <w:ind/>
              <w:rPr/>
            </w:pPr>
            <w:r>
              <w:rPr>
                <w:b/>
              </w:rPr>
              <w:t xml:space="preserve">Available:</w:t>
            </w:r>
            <w:r>
              <w:t xml:space="preserve"> SEP/reference scholarship [E25,E39] Missing: Primary-text relation dossier and current specialist interpretation Action: Arabic texts; medieval Islamic philosophy specialists</w:t>
            </w:r>
            <w:r/>
          </w:p>
        </w:tc>
        <w:tc>
          <w:tcPr>
            <w:tcBorders/>
            <w:tcMar>
              <w:left w:w="70" w:type="dxa"/>
              <w:top w:w="60" w:type="dxa"/>
              <w:right w:w="70" w:type="dxa"/>
              <w:bottom w:w="60" w:type="dxa"/>
            </w:tcMar>
            <w:tcW w:w="6813" w:type="dxa"/>
            <w:vAlign w:val="top"/>
          </w:tcPr>
          <w:p>
            <w:pPr>
              <w:pStyle w:val="1297"/>
              <w:pBdr/>
              <w:spacing/>
              <w:ind/>
              <w:rPr/>
            </w:pPr>
            <w:r>
              <w:rPr>
                <w:b/>
              </w:rPr>
              <w:t xml:space="preserve">Codes:</w:t>
            </w:r>
            <w:r>
              <w:t xml:space="preserve"> C2; H2 Architecture impact: Local unless the evidence demonstrates a structural consequence. Source architecture consequence: Local section wording.</w:t>
            </w:r>
            <w:r/>
          </w:p>
        </w:tc>
      </w:tr>
      <w:tr>
        <w:trPr>
          <w:cantSplit/>
        </w:trPr>
        <w:tc>
          <w:tcPr>
            <w:shd w:val="clear" w:color="auto" w:fill="f7f9fa"/>
            <w:tcBorders/>
            <w:tcMar>
              <w:left w:w="70" w:type="dxa"/>
              <w:top w:w="60" w:type="dxa"/>
              <w:right w:w="70" w:type="dxa"/>
              <w:bottom w:w="60" w:type="dxa"/>
            </w:tcMar>
            <w:tcW w:w="889" w:type="dxa"/>
            <w:vAlign w:val="top"/>
          </w:tcPr>
          <w:p>
            <w:pPr>
              <w:pStyle w:val="1297"/>
              <w:pBdr/>
              <w:spacing/>
              <w:ind/>
              <w:rPr/>
            </w:pPr>
            <w:r>
              <w:t xml:space="preserve">RG-19</w:t>
            </w:r>
            <w:r/>
          </w:p>
        </w:tc>
        <w:tc>
          <w:tcPr>
            <w:shd w:val="clear" w:color="auto" w:fill="f7f9fa"/>
            <w:tcBorders/>
            <w:tcMar>
              <w:left w:w="70" w:type="dxa"/>
              <w:top w:w="60" w:type="dxa"/>
              <w:right w:w="70" w:type="dxa"/>
              <w:bottom w:w="60" w:type="dxa"/>
            </w:tcMar>
            <w:tcW w:w="7553" w:type="dxa"/>
            <w:vAlign w:val="top"/>
          </w:tcPr>
          <w:p>
            <w:pPr>
              <w:pStyle w:val="1297"/>
              <w:pBdr/>
              <w:spacing/>
              <w:ind/>
              <w:rPr/>
            </w:pPr>
            <w:r>
              <w:rPr>
                <w:b/>
              </w:rPr>
              <w:t xml:space="preserve">Available:</w:t>
            </w:r>
            <w:r>
              <w:t xml:space="preserve"> Doxography/fragments; SEP [E31] Missing: Fragment-level provenance and reconstruction-confidence audit Action: Long &amp; Sedley/critical fragment collections; Stoic specialists</w:t>
            </w:r>
            <w:r/>
          </w:p>
        </w:tc>
        <w:tc>
          <w:tcPr>
            <w:shd w:val="clear" w:color="auto" w:fill="f7f9fa"/>
            <w:tcBorders/>
            <w:tcMar>
              <w:left w:w="70" w:type="dxa"/>
              <w:top w:w="60" w:type="dxa"/>
              <w:right w:w="70" w:type="dxa"/>
              <w:bottom w:w="60" w:type="dxa"/>
            </w:tcMar>
            <w:tcW w:w="6813" w:type="dxa"/>
            <w:vAlign w:val="top"/>
          </w:tcPr>
          <w:p>
            <w:pPr>
              <w:pStyle w:val="1297"/>
              <w:pBdr/>
              <w:spacing/>
              <w:ind/>
              <w:rPr/>
            </w:pPr>
            <w:r>
              <w:rPr>
                <w:b/>
              </w:rPr>
              <w:t xml:space="preserve">Codes:</w:t>
            </w:r>
            <w:r>
              <w:t xml:space="preserve"> C2; H2 Architecture impact: Local chapter / corpus-role. Source architecture consequence: May change comparator strength, not chapter.</w:t>
            </w:r>
            <w:r/>
          </w:p>
        </w:tc>
      </w:tr>
      <w:tr>
        <w:trPr>
          <w:cantSplit/>
        </w:trPr>
        <w:tc>
          <w:tcPr>
            <w:tcBorders/>
            <w:tcMar>
              <w:left w:w="70" w:type="dxa"/>
              <w:top w:w="60" w:type="dxa"/>
              <w:right w:w="70" w:type="dxa"/>
              <w:bottom w:w="60" w:type="dxa"/>
            </w:tcMar>
            <w:tcW w:w="889" w:type="dxa"/>
            <w:vAlign w:val="top"/>
          </w:tcPr>
          <w:p>
            <w:pPr>
              <w:pStyle w:val="1297"/>
              <w:pBdr/>
              <w:spacing/>
              <w:ind/>
              <w:rPr/>
            </w:pPr>
            <w:r>
              <w:t xml:space="preserve">RG-20</w:t>
            </w:r>
            <w:r/>
          </w:p>
        </w:tc>
        <w:tc>
          <w:tcPr>
            <w:tcBorders/>
            <w:tcMar>
              <w:left w:w="70" w:type="dxa"/>
              <w:top w:w="60" w:type="dxa"/>
              <w:right w:w="70" w:type="dxa"/>
              <w:bottom w:w="60" w:type="dxa"/>
            </w:tcMar>
            <w:tcW w:w="7553" w:type="dxa"/>
            <w:vAlign w:val="top"/>
          </w:tcPr>
          <w:p>
            <w:pPr>
              <w:pStyle w:val="1297"/>
              <w:pBdr/>
              <w:spacing/>
              <w:ind/>
              <w:rPr/>
            </w:pPr>
            <w:r>
              <w:rPr>
                <w:b/>
              </w:rPr>
              <w:t xml:space="preserve">Available:</w:t>
            </w:r>
            <w:r>
              <w:t xml:space="preserve"> Current Zhu Xi research dossier and critical translations Missing: Concept-record comparison across major translations and Chinese scholarship Action: Classical Chinese text; specialist translations/commentaries</w:t>
            </w:r>
            <w:r/>
          </w:p>
        </w:tc>
        <w:tc>
          <w:tcPr>
            <w:tcBorders/>
            <w:tcMar>
              <w:left w:w="70" w:type="dxa"/>
              <w:top w:w="60" w:type="dxa"/>
              <w:right w:w="70" w:type="dxa"/>
              <w:bottom w:w="60" w:type="dxa"/>
            </w:tcMar>
            <w:tcW w:w="6813" w:type="dxa"/>
            <w:vAlign w:val="top"/>
          </w:tcPr>
          <w:p>
            <w:pPr>
              <w:pStyle w:val="1297"/>
              <w:pBdr/>
              <w:spacing/>
              <w:ind/>
              <w:rPr/>
            </w:pPr>
            <w:r>
              <w:rPr>
                <w:b/>
              </w:rPr>
              <w:t xml:space="preserve">Codes:</w:t>
            </w:r>
            <w:r>
              <w:t xml:space="preserve"> C2; H2 Architecture impact: Local unless the evidence demonstrates a structural consequence. Source architecture consequence: Local language and CAT warnings.</w:t>
            </w:r>
            <w:r/>
          </w:p>
        </w:tc>
      </w:tr>
      <w:tr>
        <w:trPr>
          <w:cantSplit/>
        </w:trPr>
        <w:tc>
          <w:tcPr>
            <w:shd w:val="clear" w:color="auto" w:fill="f7f9fa"/>
            <w:tcBorders/>
            <w:tcMar>
              <w:left w:w="70" w:type="dxa"/>
              <w:top w:w="60" w:type="dxa"/>
              <w:right w:w="70" w:type="dxa"/>
              <w:bottom w:w="60" w:type="dxa"/>
            </w:tcMar>
            <w:tcW w:w="889" w:type="dxa"/>
            <w:vAlign w:val="top"/>
          </w:tcPr>
          <w:p>
            <w:pPr>
              <w:pStyle w:val="1297"/>
              <w:pBdr/>
              <w:spacing/>
              <w:ind/>
              <w:rPr/>
            </w:pPr>
            <w:r>
              <w:t xml:space="preserve">RG-21</w:t>
            </w:r>
            <w:r/>
          </w:p>
        </w:tc>
        <w:tc>
          <w:tcPr>
            <w:shd w:val="clear" w:color="auto" w:fill="f7f9fa"/>
            <w:tcBorders/>
            <w:tcMar>
              <w:left w:w="70" w:type="dxa"/>
              <w:top w:w="60" w:type="dxa"/>
              <w:right w:w="70" w:type="dxa"/>
              <w:bottom w:w="60" w:type="dxa"/>
            </w:tcMar>
            <w:tcW w:w="7553" w:type="dxa"/>
            <w:vAlign w:val="top"/>
          </w:tcPr>
          <w:p>
            <w:pPr>
              <w:pStyle w:val="1297"/>
              <w:pBdr/>
              <w:spacing/>
              <w:ind/>
              <w:rPr/>
            </w:pPr>
            <w:r>
              <w:rPr>
                <w:b/>
              </w:rPr>
              <w:t xml:space="preserve">Available:</w:t>
            </w:r>
            <w:r>
              <w:t xml:space="preserve"> Current Sikh philosophy scholarship [E21] Missing: Source-based test of household, renunciation, grace, service, liberation vocabulary Action: Gurbani corpus + specialist scholarship</w:t>
            </w:r>
            <w:r/>
          </w:p>
        </w:tc>
        <w:tc>
          <w:tcPr>
            <w:shd w:val="clear" w:color="auto" w:fill="f7f9fa"/>
            <w:tcBorders/>
            <w:tcMar>
              <w:left w:w="70" w:type="dxa"/>
              <w:top w:w="60" w:type="dxa"/>
              <w:right w:w="70" w:type="dxa"/>
              <w:bottom w:w="60" w:type="dxa"/>
            </w:tcMar>
            <w:tcW w:w="6813" w:type="dxa"/>
            <w:vAlign w:val="top"/>
          </w:tcPr>
          <w:p>
            <w:pPr>
              <w:pStyle w:val="1297"/>
              <w:pBdr/>
              <w:spacing/>
              <w:ind/>
              <w:rPr/>
            </w:pPr>
            <w:r>
              <w:rPr>
                <w:b/>
              </w:rPr>
              <w:t xml:space="preserve">Codes:</w:t>
            </w:r>
            <w:r>
              <w:t xml:space="preserve"> C2; H2 Architecture impact: Local unless the evidence demonstrates a structural consequence. Source architecture consequence: Could alter a subsection thesis.</w:t>
            </w:r>
            <w:r/>
          </w:p>
        </w:tc>
      </w:tr>
      <w:tr>
        <w:trPr>
          <w:cantSplit/>
        </w:trPr>
        <w:tc>
          <w:tcPr>
            <w:tcBorders/>
            <w:tcMar>
              <w:left w:w="70" w:type="dxa"/>
              <w:top w:w="60" w:type="dxa"/>
              <w:right w:w="70" w:type="dxa"/>
              <w:bottom w:w="60" w:type="dxa"/>
            </w:tcMar>
            <w:tcW w:w="889" w:type="dxa"/>
            <w:vAlign w:val="top"/>
          </w:tcPr>
          <w:p>
            <w:pPr>
              <w:pStyle w:val="1297"/>
              <w:pBdr/>
              <w:spacing/>
              <w:ind/>
              <w:rPr/>
            </w:pPr>
            <w:r>
              <w:t xml:space="preserve">RG-22</w:t>
            </w:r>
            <w:r/>
          </w:p>
        </w:tc>
        <w:tc>
          <w:tcPr>
            <w:tcBorders/>
            <w:tcMar>
              <w:left w:w="70" w:type="dxa"/>
              <w:top w:w="60" w:type="dxa"/>
              <w:right w:w="70" w:type="dxa"/>
              <w:bottom w:w="60" w:type="dxa"/>
            </w:tcMar>
            <w:tcW w:w="7553" w:type="dxa"/>
            <w:vAlign w:val="top"/>
          </w:tcPr>
          <w:p>
            <w:pPr>
              <w:pStyle w:val="1297"/>
              <w:pBdr/>
              <w:spacing/>
              <w:ind/>
              <w:rPr/>
            </w:pPr>
            <w:r>
              <w:rPr>
                <w:b/>
              </w:rPr>
              <w:t xml:space="preserve">Available:</w:t>
            </w:r>
            <w:r>
              <w:t xml:space="preserve"> Current Gregory source dossier and mature anthropology/eschatology Missing: Exact primary locators + current specialist debate Action: Greek text/critical translation; Gregory scholarship</w:t>
            </w:r>
            <w:r/>
          </w:p>
        </w:tc>
        <w:tc>
          <w:tcPr>
            <w:tcBorders/>
            <w:tcMar>
              <w:left w:w="70" w:type="dxa"/>
              <w:top w:w="60" w:type="dxa"/>
              <w:right w:w="70" w:type="dxa"/>
              <w:bottom w:w="60" w:type="dxa"/>
            </w:tcMar>
            <w:tcW w:w="6813" w:type="dxa"/>
            <w:vAlign w:val="top"/>
          </w:tcPr>
          <w:p>
            <w:pPr>
              <w:pStyle w:val="1297"/>
              <w:pBdr/>
              <w:spacing/>
              <w:ind/>
              <w:rPr/>
            </w:pPr>
            <w:r>
              <w:rPr>
                <w:b/>
              </w:rPr>
              <w:t xml:space="preserve">Codes:</w:t>
            </w:r>
            <w:r>
              <w:t xml:space="preserve"> C2; H2 Architecture impact: Local unless the evidence demonstrates a structural consequence. Source architecture consequence: Local claim strength.</w:t>
            </w:r>
            <w:r/>
          </w:p>
        </w:tc>
      </w:tr>
      <w:tr>
        <w:trPr>
          <w:cantSplit/>
        </w:trPr>
        <w:tc>
          <w:tcPr>
            <w:shd w:val="clear" w:color="auto" w:fill="f7f9fa"/>
            <w:tcBorders/>
            <w:tcMar>
              <w:left w:w="70" w:type="dxa"/>
              <w:top w:w="60" w:type="dxa"/>
              <w:right w:w="70" w:type="dxa"/>
              <w:bottom w:w="60" w:type="dxa"/>
            </w:tcMar>
            <w:tcW w:w="889" w:type="dxa"/>
            <w:vAlign w:val="top"/>
          </w:tcPr>
          <w:p>
            <w:pPr>
              <w:pStyle w:val="1297"/>
              <w:pBdr/>
              <w:spacing/>
              <w:ind/>
              <w:rPr/>
            </w:pPr>
            <w:r>
              <w:t xml:space="preserve">RG-23</w:t>
            </w:r>
            <w:r/>
          </w:p>
        </w:tc>
        <w:tc>
          <w:tcPr>
            <w:shd w:val="clear" w:color="auto" w:fill="f7f9fa"/>
            <w:tcBorders/>
            <w:tcMar>
              <w:left w:w="70" w:type="dxa"/>
              <w:top w:w="60" w:type="dxa"/>
              <w:right w:w="70" w:type="dxa"/>
              <w:bottom w:w="60" w:type="dxa"/>
            </w:tcMar>
            <w:tcW w:w="7553" w:type="dxa"/>
            <w:vAlign w:val="top"/>
          </w:tcPr>
          <w:p>
            <w:pPr>
              <w:pStyle w:val="1297"/>
              <w:pBdr/>
              <w:spacing/>
              <w:ind/>
              <w:rPr/>
            </w:pPr>
            <w:r>
              <w:rPr>
                <w:b/>
              </w:rPr>
              <w:t xml:space="preserve">Available:</w:t>
            </w:r>
            <w:r>
              <w:t xml:space="preserve"> Waldstein–Wisse and current Apocryphon source dossier Missing: Witness-by-witness locator table and recension variance note Action: Coptic edition/synopsis; manuscript scholarship</w:t>
            </w:r>
            <w:r/>
          </w:p>
        </w:tc>
        <w:tc>
          <w:tcPr>
            <w:shd w:val="clear" w:color="auto" w:fill="f7f9fa"/>
            <w:tcBorders/>
            <w:tcMar>
              <w:left w:w="70" w:type="dxa"/>
              <w:top w:w="60" w:type="dxa"/>
              <w:right w:w="70" w:type="dxa"/>
              <w:bottom w:w="60" w:type="dxa"/>
            </w:tcMar>
            <w:tcW w:w="6813" w:type="dxa"/>
            <w:vAlign w:val="top"/>
          </w:tcPr>
          <w:p>
            <w:pPr>
              <w:pStyle w:val="1297"/>
              <w:pBdr/>
              <w:spacing/>
              <w:ind/>
              <w:rPr/>
            </w:pPr>
            <w:r>
              <w:rPr>
                <w:b/>
              </w:rPr>
              <w:t xml:space="preserve">Codes:</w:t>
            </w:r>
            <w:r>
              <w:t xml:space="preserve"> C1; H1 Architecture impact: Local chapter / corpus-role. Source architecture consequence: Could remove a postmortem subsection claim, not chapter.</w:t>
            </w:r>
            <w:r/>
          </w:p>
        </w:tc>
      </w:tr>
      <w:tr>
        <w:trPr>
          <w:cantSplit/>
        </w:trPr>
        <w:tc>
          <w:tcPr>
            <w:tcBorders/>
            <w:tcMar>
              <w:left w:w="70" w:type="dxa"/>
              <w:top w:w="60" w:type="dxa"/>
              <w:right w:w="70" w:type="dxa"/>
              <w:bottom w:w="60" w:type="dxa"/>
            </w:tcMar>
            <w:tcW w:w="889" w:type="dxa"/>
            <w:vAlign w:val="top"/>
          </w:tcPr>
          <w:p>
            <w:pPr>
              <w:pStyle w:val="1297"/>
              <w:pBdr/>
              <w:spacing/>
              <w:ind/>
              <w:rPr/>
            </w:pPr>
            <w:r>
              <w:t xml:space="preserve">RG-24</w:t>
            </w:r>
            <w:r/>
          </w:p>
        </w:tc>
        <w:tc>
          <w:tcPr>
            <w:tcBorders/>
            <w:tcMar>
              <w:left w:w="70" w:type="dxa"/>
              <w:top w:w="60" w:type="dxa"/>
              <w:right w:w="70" w:type="dxa"/>
              <w:bottom w:w="60" w:type="dxa"/>
            </w:tcMar>
            <w:tcW w:w="7553" w:type="dxa"/>
            <w:vAlign w:val="top"/>
          </w:tcPr>
          <w:p>
            <w:pPr>
              <w:pStyle w:val="1297"/>
              <w:pBdr/>
              <w:spacing/>
              <w:ind/>
              <w:rPr/>
            </w:pPr>
            <w:r>
              <w:rPr>
                <w:b/>
              </w:rPr>
              <w:t xml:space="preserve">Available:</w:t>
            </w:r>
            <w:r>
              <w:t xml:space="preserve"> MMK + specialist literature Missing: Text-bounded interpretation review Action: Critical text/translation; specialist review</w:t>
            </w:r>
            <w:r/>
          </w:p>
        </w:tc>
        <w:tc>
          <w:tcPr>
            <w:tcBorders/>
            <w:tcMar>
              <w:left w:w="70" w:type="dxa"/>
              <w:top w:w="60" w:type="dxa"/>
              <w:right w:w="70" w:type="dxa"/>
              <w:bottom w:w="60" w:type="dxa"/>
            </w:tcMar>
            <w:tcW w:w="6813" w:type="dxa"/>
            <w:vAlign w:val="top"/>
          </w:tcPr>
          <w:p>
            <w:pPr>
              <w:pStyle w:val="1297"/>
              <w:pBdr/>
              <w:spacing/>
              <w:ind/>
              <w:rPr/>
            </w:pPr>
            <w:r>
              <w:rPr>
                <w:b/>
              </w:rPr>
              <w:t xml:space="preserve">Codes:</w:t>
            </w:r>
            <w:r>
              <w:t xml:space="preserve"> C2; H2 Architecture impact: Local unless the evidence demonstrates a structural consequence. Source architecture consequence: Local.</w:t>
            </w:r>
            <w:r/>
          </w:p>
        </w:tc>
      </w:tr>
    </w:tbl>
    <w:p>
      <w:pPr>
        <w:pStyle w:val="1300"/>
        <w:pBdr/>
        <w:spacing/>
        <w:ind/>
        <w:rPr/>
      </w:pPr>
      <w:r/>
      <w:r/>
    </w:p>
    <w:p>
      <w:pPr>
        <w:pStyle w:val="1136"/>
        <w:keepNext w:val="true"/>
        <w:keepLines w:val="true"/>
        <w:pBdr/>
        <w:spacing/>
        <w:ind/>
        <w:rPr/>
      </w:pPr>
      <w:r/>
      <w:bookmarkStart w:id="220" w:name="S4_3"/>
      <w:r>
        <w:t xml:space="preserve">S4.3 Contemporary philosophy and empirical literature</w:t>
      </w:r>
      <w:bookmarkEnd w:id="220"/>
      <w:r/>
      <w:r/>
    </w:p>
    <w:p>
      <w:pPr>
        <w:pStyle w:val="1184"/>
        <w:keepNext w:val="true"/>
        <w:keepLines w:val="true"/>
        <w:pBdr/>
        <w:spacing/>
        <w:ind/>
        <w:rPr/>
      </w:pPr>
      <w:r>
        <w:t xml:space="preserve">Historical snapshot — Dependency workstream 3: Contemporary philosophy and empirical literature</w:t>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889"/>
        <w:gridCol w:w="7553"/>
        <w:gridCol w:w="6813"/>
      </w:tblGrid>
      <w:tr>
        <w:trPr>
          <w:cantSplit/>
          <w:tblHeader/>
        </w:trPr>
        <w:tc>
          <w:tcPr>
            <w:shd w:val="clear" w:color="auto" w:fill="1f5a73"/>
            <w:tcBorders/>
            <w:tcMar>
              <w:left w:w="70" w:type="dxa"/>
              <w:top w:w="60" w:type="dxa"/>
              <w:right w:w="70" w:type="dxa"/>
              <w:bottom w:w="60" w:type="dxa"/>
            </w:tcMar>
            <w:tcW w:w="889" w:type="dxa"/>
            <w:vAlign w:val="top"/>
          </w:tcPr>
          <w:p>
            <w:pPr>
              <w:pStyle w:val="1299"/>
              <w:pBdr/>
              <w:spacing/>
              <w:ind/>
              <w:rPr/>
            </w:pPr>
            <w:r>
              <w:t xml:space="preserve">ID</w:t>
            </w:r>
            <w:r/>
          </w:p>
        </w:tc>
        <w:tc>
          <w:tcPr>
            <w:shd w:val="clear" w:color="auto" w:fill="1f5a73"/>
            <w:tcBorders/>
            <w:tcMar>
              <w:left w:w="70" w:type="dxa"/>
              <w:top w:w="60" w:type="dxa"/>
              <w:right w:w="70" w:type="dxa"/>
              <w:bottom w:w="60" w:type="dxa"/>
            </w:tcMar>
            <w:tcW w:w="7553" w:type="dxa"/>
            <w:vAlign w:val="top"/>
          </w:tcPr>
          <w:p>
            <w:pPr>
              <w:pStyle w:val="1299"/>
              <w:pBdr/>
              <w:spacing/>
              <w:ind/>
              <w:rPr/>
            </w:pPr>
            <w:r>
              <w:t xml:space="preserve">Evidence and required action</w:t>
            </w:r>
            <w:r/>
          </w:p>
        </w:tc>
        <w:tc>
          <w:tcPr>
            <w:shd w:val="clear" w:color="auto" w:fill="1f5a73"/>
            <w:tcBorders/>
            <w:tcMar>
              <w:left w:w="70" w:type="dxa"/>
              <w:top w:w="60" w:type="dxa"/>
              <w:right w:w="70" w:type="dxa"/>
              <w:bottom w:w="60" w:type="dxa"/>
            </w:tcMar>
            <w:tcW w:w="6813" w:type="dxa"/>
            <w:vAlign w:val="top"/>
          </w:tcPr>
          <w:p>
            <w:pPr>
              <w:pStyle w:val="1299"/>
              <w:pBdr/>
              <w:spacing/>
              <w:ind/>
              <w:rPr/>
            </w:pPr>
            <w:r>
              <w:t xml:space="preserve">Unresolved consequence, handoff and architecture impact</w:t>
            </w:r>
            <w:r/>
          </w:p>
        </w:tc>
      </w:tr>
      <w:tr>
        <w:trPr>
          <w:cantSplit/>
        </w:trPr>
        <w:tc>
          <w:tcPr>
            <w:tcBorders/>
            <w:tcMar>
              <w:left w:w="70" w:type="dxa"/>
              <w:top w:w="60" w:type="dxa"/>
              <w:right w:w="70" w:type="dxa"/>
              <w:bottom w:w="60" w:type="dxa"/>
            </w:tcMar>
            <w:tcW w:w="889" w:type="dxa"/>
            <w:vAlign w:val="top"/>
          </w:tcPr>
          <w:p>
            <w:pPr>
              <w:pStyle w:val="1297"/>
              <w:pBdr/>
              <w:spacing/>
              <w:ind/>
              <w:rPr/>
            </w:pPr>
            <w:r>
              <w:t xml:space="preserve">RG-12</w:t>
            </w:r>
            <w:r/>
          </w:p>
        </w:tc>
        <w:tc>
          <w:tcPr>
            <w:tcBorders/>
            <w:tcMar>
              <w:left w:w="70" w:type="dxa"/>
              <w:top w:w="60" w:type="dxa"/>
              <w:right w:w="70" w:type="dxa"/>
              <w:bottom w:w="60" w:type="dxa"/>
            </w:tcMar>
            <w:tcW w:w="7553" w:type="dxa"/>
            <w:vAlign w:val="top"/>
          </w:tcPr>
          <w:p>
            <w:pPr>
              <w:pStyle w:val="1297"/>
              <w:pBdr/>
              <w:spacing/>
              <w:ind/>
              <w:rPr/>
            </w:pPr>
            <w:r>
              <w:rPr>
                <w:b/>
              </w:rPr>
              <w:t xml:space="preserve">Available:</w:t>
            </w:r>
            <w:r>
              <w:t xml:space="preserve"> Papineau and current physicalism/dualism reference literature [E28,E36] Missing: Updated philosophy-of-science and neuroscience evidence map Action: Primary analytic works; current science reviews; specialist philosophy of mind</w:t>
            </w:r>
            <w:r/>
          </w:p>
        </w:tc>
        <w:tc>
          <w:tcPr>
            <w:tcBorders/>
            <w:tcMar>
              <w:left w:w="70" w:type="dxa"/>
              <w:top w:w="60" w:type="dxa"/>
              <w:right w:w="70" w:type="dxa"/>
              <w:bottom w:w="60" w:type="dxa"/>
            </w:tcMar>
            <w:tcW w:w="6813" w:type="dxa"/>
            <w:vAlign w:val="top"/>
          </w:tcPr>
          <w:p>
            <w:pPr>
              <w:pStyle w:val="1297"/>
              <w:pBdr/>
              <w:spacing/>
              <w:ind/>
              <w:rPr/>
            </w:pPr>
            <w:r>
              <w:rPr>
                <w:b/>
              </w:rPr>
              <w:t xml:space="preserve">Codes:</w:t>
            </w:r>
            <w:r>
              <w:t xml:space="preserve"> C2; H2 Architecture impact: Local unless the evidence demonstrates a structural consequence. Source architecture consequence: Changes evidence discussion, not position inclusion.</w:t>
            </w:r>
            <w:r/>
          </w:p>
        </w:tc>
      </w:tr>
      <w:tr>
        <w:trPr>
          <w:cantSplit/>
        </w:trPr>
        <w:tc>
          <w:tcPr>
            <w:shd w:val="clear" w:color="auto" w:fill="f7f9fa"/>
            <w:tcBorders/>
            <w:tcMar>
              <w:left w:w="70" w:type="dxa"/>
              <w:top w:w="60" w:type="dxa"/>
              <w:right w:w="70" w:type="dxa"/>
              <w:bottom w:w="60" w:type="dxa"/>
            </w:tcMar>
            <w:tcW w:w="889" w:type="dxa"/>
            <w:vAlign w:val="top"/>
          </w:tcPr>
          <w:p>
            <w:pPr>
              <w:pStyle w:val="1297"/>
              <w:pBdr/>
              <w:spacing/>
              <w:ind/>
              <w:rPr/>
            </w:pPr>
            <w:r>
              <w:t xml:space="preserve">RG-13</w:t>
            </w:r>
            <w:r/>
          </w:p>
        </w:tc>
        <w:tc>
          <w:tcPr>
            <w:shd w:val="clear" w:color="auto" w:fill="f7f9fa"/>
            <w:tcBorders/>
            <w:tcMar>
              <w:left w:w="70" w:type="dxa"/>
              <w:top w:w="60" w:type="dxa"/>
              <w:right w:w="70" w:type="dxa"/>
              <w:bottom w:w="60" w:type="dxa"/>
            </w:tcMar>
            <w:tcW w:w="7553" w:type="dxa"/>
            <w:vAlign w:val="top"/>
          </w:tcPr>
          <w:p>
            <w:pPr>
              <w:pStyle w:val="1297"/>
              <w:pBdr/>
              <w:spacing/>
              <w:ind/>
              <w:rPr/>
            </w:pPr>
            <w:r>
              <w:rPr>
                <w:b/>
              </w:rPr>
              <w:t xml:space="preserve">Available:</w:t>
            </w:r>
            <w:r>
              <w:t xml:space="preserve"> Panpsychism literature [E37] Missing: Explicit thesis-bounding decision and current combination-problem literature Action: Recent analytic papers/books; specialist review</w:t>
            </w:r>
            <w:r/>
          </w:p>
        </w:tc>
        <w:tc>
          <w:tcPr>
            <w:shd w:val="clear" w:color="auto" w:fill="f7f9fa"/>
            <w:tcBorders/>
            <w:tcMar>
              <w:left w:w="70" w:type="dxa"/>
              <w:top w:w="60" w:type="dxa"/>
              <w:right w:w="70" w:type="dxa"/>
              <w:bottom w:w="60" w:type="dxa"/>
            </w:tcMar>
            <w:tcW w:w="6813" w:type="dxa"/>
            <w:vAlign w:val="top"/>
          </w:tcPr>
          <w:p>
            <w:pPr>
              <w:pStyle w:val="1297"/>
              <w:pBdr/>
              <w:spacing/>
              <w:ind/>
              <w:rPr/>
            </w:pPr>
            <w:r>
              <w:rPr>
                <w:b/>
              </w:rPr>
              <w:t xml:space="preserve">Codes:</w:t>
            </w:r>
            <w:r>
              <w:t xml:space="preserve"> C2; H2 Architecture impact: Local chapter / corpus-role. Source architecture consequence: Could rename/rebound position, not chapter.</w:t>
            </w:r>
            <w:r/>
          </w:p>
        </w:tc>
      </w:tr>
      <w:tr>
        <w:trPr>
          <w:cantSplit/>
        </w:trPr>
        <w:tc>
          <w:tcPr>
            <w:tcBorders/>
            <w:tcMar>
              <w:left w:w="70" w:type="dxa"/>
              <w:top w:w="60" w:type="dxa"/>
              <w:right w:w="70" w:type="dxa"/>
              <w:bottom w:w="60" w:type="dxa"/>
            </w:tcMar>
            <w:tcW w:w="889" w:type="dxa"/>
            <w:vAlign w:val="top"/>
          </w:tcPr>
          <w:p>
            <w:pPr>
              <w:pStyle w:val="1297"/>
              <w:pBdr/>
              <w:spacing/>
              <w:ind/>
              <w:rPr/>
            </w:pPr>
            <w:r>
              <w:t xml:space="preserve">RG-14</w:t>
            </w:r>
            <w:r/>
          </w:p>
        </w:tc>
        <w:tc>
          <w:tcPr>
            <w:tcBorders/>
            <w:tcMar>
              <w:left w:w="70" w:type="dxa"/>
              <w:top w:w="60" w:type="dxa"/>
              <w:right w:w="70" w:type="dxa"/>
              <w:bottom w:w="60" w:type="dxa"/>
            </w:tcMar>
            <w:tcW w:w="7553" w:type="dxa"/>
            <w:vAlign w:val="top"/>
          </w:tcPr>
          <w:p>
            <w:pPr>
              <w:pStyle w:val="1297"/>
              <w:pBdr/>
              <w:spacing/>
              <w:ind/>
              <w:rPr/>
            </w:pPr>
            <w:r>
              <w:rPr>
                <w:b/>
              </w:rPr>
              <w:t xml:space="preserve">Source description recorded 28 July 2026:</w:t>
            </w:r>
            <w:r>
              <w:t xml:space="preserve"> qualia/eliminativism summaries and Frankish corpus. Bibliographic basi</w:t>
            </w:r>
            <w:r>
              <w:t xml:space="preserve">s at 16 September 2026: primary-source identification remains outstanding; this record does not establish availability of uniquely identified sources Missing: Primary-text bounding of strong vs weak illusionism Action: Frankish 2016/2017 and current debate</w:t>
            </w:r>
            <w:r/>
          </w:p>
        </w:tc>
        <w:tc>
          <w:tcPr>
            <w:tcBorders/>
            <w:tcMar>
              <w:left w:w="70" w:type="dxa"/>
              <w:top w:w="60" w:type="dxa"/>
              <w:right w:w="70" w:type="dxa"/>
              <w:bottom w:w="60" w:type="dxa"/>
            </w:tcMar>
            <w:tcW w:w="6813" w:type="dxa"/>
            <w:vAlign w:val="top"/>
          </w:tcPr>
          <w:p>
            <w:pPr>
              <w:pStyle w:val="1297"/>
              <w:pBdr/>
              <w:spacing/>
              <w:ind/>
              <w:rPr/>
            </w:pPr>
            <w:r>
              <w:rPr>
                <w:b/>
              </w:rPr>
              <w:t xml:space="preserve">Codes:</w:t>
            </w:r>
            <w:r>
              <w:t xml:space="preserve"> C3; H2 Architecture impact: Local unless the evidence demonstrates a structural consequence. Source architecture consequence: Affects stress-case wording only.</w:t>
            </w:r>
            <w:r/>
          </w:p>
        </w:tc>
      </w:tr>
    </w:tbl>
    <w:p>
      <w:pPr>
        <w:pStyle w:val="1300"/>
        <w:pBdr/>
        <w:spacing/>
        <w:ind/>
        <w:rPr/>
      </w:pPr>
      <w:r/>
      <w:r/>
    </w:p>
    <w:p>
      <w:pPr>
        <w:pStyle w:val="1136"/>
        <w:keepNext w:val="true"/>
        <w:keepLines w:val="true"/>
        <w:pBdr/>
        <w:spacing/>
        <w:ind/>
        <w:rPr/>
      </w:pPr>
      <w:r/>
      <w:bookmarkStart w:id="221" w:name="S4_4"/>
      <w:r>
        <w:t xml:space="preserve">S4.4 Comparative synthesis and coverage</w:t>
      </w:r>
      <w:bookmarkEnd w:id="221"/>
      <w:r/>
      <w:r/>
    </w:p>
    <w:p>
      <w:pPr>
        <w:pStyle w:val="1184"/>
        <w:keepNext w:val="true"/>
        <w:keepLines w:val="true"/>
        <w:pBdr/>
        <w:spacing/>
        <w:ind/>
        <w:rPr/>
      </w:pPr>
      <w:r>
        <w:t xml:space="preserve">Historical snapshot — Dependency workstream 4: Comparative synthesis and coverage</w:t>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889"/>
        <w:gridCol w:w="7553"/>
        <w:gridCol w:w="6813"/>
      </w:tblGrid>
      <w:tr>
        <w:trPr>
          <w:cantSplit/>
          <w:tblHeader/>
        </w:trPr>
        <w:tc>
          <w:tcPr>
            <w:shd w:val="clear" w:color="auto" w:fill="1f5a73"/>
            <w:tcBorders/>
            <w:tcMar>
              <w:left w:w="70" w:type="dxa"/>
              <w:top w:w="60" w:type="dxa"/>
              <w:right w:w="70" w:type="dxa"/>
              <w:bottom w:w="60" w:type="dxa"/>
            </w:tcMar>
            <w:tcW w:w="889" w:type="dxa"/>
            <w:vAlign w:val="top"/>
          </w:tcPr>
          <w:p>
            <w:pPr>
              <w:pStyle w:val="1299"/>
              <w:pBdr/>
              <w:spacing/>
              <w:ind/>
              <w:rPr/>
            </w:pPr>
            <w:r>
              <w:t xml:space="preserve">ID</w:t>
            </w:r>
            <w:r/>
          </w:p>
        </w:tc>
        <w:tc>
          <w:tcPr>
            <w:shd w:val="clear" w:color="auto" w:fill="1f5a73"/>
            <w:tcBorders/>
            <w:tcMar>
              <w:left w:w="70" w:type="dxa"/>
              <w:top w:w="60" w:type="dxa"/>
              <w:right w:w="70" w:type="dxa"/>
              <w:bottom w:w="60" w:type="dxa"/>
            </w:tcMar>
            <w:tcW w:w="7553" w:type="dxa"/>
            <w:vAlign w:val="top"/>
          </w:tcPr>
          <w:p>
            <w:pPr>
              <w:pStyle w:val="1299"/>
              <w:pBdr/>
              <w:spacing/>
              <w:ind/>
              <w:rPr/>
            </w:pPr>
            <w:r>
              <w:t xml:space="preserve">Evidence and required action</w:t>
            </w:r>
            <w:r/>
          </w:p>
        </w:tc>
        <w:tc>
          <w:tcPr>
            <w:shd w:val="clear" w:color="auto" w:fill="1f5a73"/>
            <w:tcBorders/>
            <w:tcMar>
              <w:left w:w="70" w:type="dxa"/>
              <w:top w:w="60" w:type="dxa"/>
              <w:right w:w="70" w:type="dxa"/>
              <w:bottom w:w="60" w:type="dxa"/>
            </w:tcMar>
            <w:tcW w:w="6813" w:type="dxa"/>
            <w:vAlign w:val="top"/>
          </w:tcPr>
          <w:p>
            <w:pPr>
              <w:pStyle w:val="1299"/>
              <w:pBdr/>
              <w:spacing/>
              <w:ind/>
              <w:rPr/>
            </w:pPr>
            <w:r>
              <w:t xml:space="preserve">Unresolved consequence, handoff and architecture impact</w:t>
            </w:r>
            <w:r/>
          </w:p>
        </w:tc>
      </w:tr>
      <w:tr>
        <w:trPr>
          <w:cantSplit/>
        </w:trPr>
        <w:tc>
          <w:tcPr>
            <w:tcBorders/>
            <w:tcMar>
              <w:left w:w="70" w:type="dxa"/>
              <w:top w:w="60" w:type="dxa"/>
              <w:right w:w="70" w:type="dxa"/>
              <w:bottom w:w="60" w:type="dxa"/>
            </w:tcMar>
            <w:tcW w:w="889" w:type="dxa"/>
            <w:vAlign w:val="top"/>
          </w:tcPr>
          <w:p>
            <w:pPr>
              <w:pStyle w:val="1297"/>
              <w:pBdr/>
              <w:spacing/>
              <w:ind/>
              <w:rPr/>
            </w:pPr>
            <w:r>
              <w:t xml:space="preserve">RG-25</w:t>
            </w:r>
            <w:r/>
          </w:p>
        </w:tc>
        <w:tc>
          <w:tcPr>
            <w:tcBorders/>
            <w:tcMar>
              <w:left w:w="70" w:type="dxa"/>
              <w:top w:w="60" w:type="dxa"/>
              <w:right w:w="70" w:type="dxa"/>
              <w:bottom w:w="60" w:type="dxa"/>
            </w:tcMar>
            <w:tcW w:w="7553" w:type="dxa"/>
            <w:vAlign w:val="top"/>
          </w:tcPr>
          <w:p>
            <w:pPr>
              <w:pStyle w:val="1297"/>
              <w:pBdr/>
              <w:spacing/>
              <w:ind/>
              <w:rPr/>
            </w:pPr>
            <w:r>
              <w:rPr>
                <w:b/>
              </w:rPr>
              <w:t xml:space="preserve">Available:</w:t>
            </w:r>
            <w:r>
              <w:t xml:space="preserve"> Current pattern map + enlarged candidate set Missing: Systematic comparison-event coding and negative-case review Action: Completed core records; independent relation coding G3</w:t>
            </w:r>
            <w:r/>
          </w:p>
        </w:tc>
        <w:tc>
          <w:tcPr>
            <w:tcBorders/>
            <w:tcMar>
              <w:left w:w="70" w:type="dxa"/>
              <w:top w:w="60" w:type="dxa"/>
              <w:right w:w="70" w:type="dxa"/>
              <w:bottom w:w="60" w:type="dxa"/>
            </w:tcMar>
            <w:tcW w:w="6813" w:type="dxa"/>
            <w:vAlign w:val="top"/>
          </w:tcPr>
          <w:p>
            <w:pPr>
              <w:pStyle w:val="1297"/>
              <w:pBdr/>
              <w:spacing/>
              <w:ind/>
              <w:rPr/>
            </w:pPr>
            <w:r>
              <w:rPr>
                <w:b/>
              </w:rPr>
              <w:t xml:space="preserve">Codes:</w:t>
            </w:r>
            <w:r>
              <w:t xml:space="preserve"> C1; H1 Architecture impact: Local chapter / corpus-role. Source architecture consequence: May split/rename Ch.19 section; chapter remains.</w:t>
            </w:r>
            <w:r/>
          </w:p>
        </w:tc>
      </w:tr>
      <w:tr>
        <w:trPr>
          <w:cantSplit/>
        </w:trPr>
        <w:tc>
          <w:tcPr>
            <w:shd w:val="clear" w:color="auto" w:fill="f7f9fa"/>
            <w:tcBorders/>
            <w:tcMar>
              <w:left w:w="70" w:type="dxa"/>
              <w:top w:w="60" w:type="dxa"/>
              <w:right w:w="70" w:type="dxa"/>
              <w:bottom w:w="60" w:type="dxa"/>
            </w:tcMar>
            <w:tcW w:w="889" w:type="dxa"/>
            <w:vAlign w:val="top"/>
          </w:tcPr>
          <w:p>
            <w:pPr>
              <w:pStyle w:val="1297"/>
              <w:pBdr/>
              <w:spacing/>
              <w:ind/>
              <w:rPr/>
            </w:pPr>
            <w:r>
              <w:t xml:space="preserve">RG-26</w:t>
            </w:r>
            <w:r/>
          </w:p>
        </w:tc>
        <w:tc>
          <w:tcPr>
            <w:shd w:val="clear" w:color="auto" w:fill="f7f9fa"/>
            <w:tcBorders/>
            <w:tcMar>
              <w:left w:w="70" w:type="dxa"/>
              <w:top w:w="60" w:type="dxa"/>
              <w:right w:w="70" w:type="dxa"/>
              <w:bottom w:w="60" w:type="dxa"/>
            </w:tcMar>
            <w:tcW w:w="7553" w:type="dxa"/>
            <w:vAlign w:val="top"/>
          </w:tcPr>
          <w:p>
            <w:pPr>
              <w:pStyle w:val="1297"/>
              <w:pBdr/>
              <w:spacing/>
              <w:ind/>
              <w:rPr/>
            </w:pPr>
            <w:r>
              <w:rPr>
                <w:b/>
              </w:rPr>
              <w:t xml:space="preserve">Available:</w:t>
            </w:r>
            <w:r>
              <w:t xml:space="preserve"> Current comparison rationale + candidate source packages Missing: Term-level comparison with disanalogy and genealogy audit Action: Primary sources; specialist reviewers; G3 relation packet</w:t>
            </w:r>
            <w:r/>
          </w:p>
        </w:tc>
        <w:tc>
          <w:tcPr>
            <w:shd w:val="clear" w:color="auto" w:fill="f7f9fa"/>
            <w:tcBorders/>
            <w:tcMar>
              <w:left w:w="70" w:type="dxa"/>
              <w:top w:w="60" w:type="dxa"/>
              <w:right w:w="70" w:type="dxa"/>
              <w:bottom w:w="60" w:type="dxa"/>
            </w:tcMar>
            <w:tcW w:w="6813" w:type="dxa"/>
            <w:vAlign w:val="top"/>
          </w:tcPr>
          <w:p>
            <w:pPr>
              <w:pStyle w:val="1297"/>
              <w:pBdr/>
              <w:spacing/>
              <w:ind/>
              <w:rPr/>
            </w:pPr>
            <w:r>
              <w:rPr>
                <w:b/>
              </w:rPr>
              <w:t xml:space="preserve">Codes:</w:t>
            </w:r>
            <w:r>
              <w:t xml:space="preserve"> C1; H1 Architecture impact: Local chapter / corpus-role. Source architecture consequence: Could split or demote pattern.</w:t>
            </w:r>
            <w:r/>
          </w:p>
        </w:tc>
      </w:tr>
      <w:tr>
        <w:trPr>
          <w:cantSplit/>
        </w:trPr>
        <w:tc>
          <w:tcPr>
            <w:tcBorders/>
            <w:tcMar>
              <w:left w:w="70" w:type="dxa"/>
              <w:top w:w="60" w:type="dxa"/>
              <w:right w:w="70" w:type="dxa"/>
              <w:bottom w:w="60" w:type="dxa"/>
            </w:tcMar>
            <w:tcW w:w="889" w:type="dxa"/>
            <w:vAlign w:val="top"/>
          </w:tcPr>
          <w:p>
            <w:pPr>
              <w:pStyle w:val="1297"/>
              <w:pBdr/>
              <w:spacing/>
              <w:ind/>
              <w:rPr/>
            </w:pPr>
            <w:r>
              <w:t xml:space="preserve">RG-27</w:t>
            </w:r>
            <w:r/>
          </w:p>
        </w:tc>
        <w:tc>
          <w:tcPr>
            <w:tcBorders/>
            <w:tcMar>
              <w:left w:w="70" w:type="dxa"/>
              <w:top w:w="60" w:type="dxa"/>
              <w:right w:w="70" w:type="dxa"/>
              <w:bottom w:w="60" w:type="dxa"/>
            </w:tcMar>
            <w:tcW w:w="7553" w:type="dxa"/>
            <w:vAlign w:val="top"/>
          </w:tcPr>
          <w:p>
            <w:pPr>
              <w:pStyle w:val="1297"/>
              <w:pBdr/>
              <w:spacing/>
              <w:ind/>
              <w:rPr/>
            </w:pPr>
            <w:r>
              <w:rPr>
                <w:b/>
              </w:rPr>
              <w:t xml:space="preserve">Available:</w:t>
            </w:r>
            <w:r>
              <w:t xml:space="preserve"> Strong source packages; known separate histories Missing: Formal genealogy/independence record for each pair used Action: Intellectual histories; comparison-event records</w:t>
            </w:r>
            <w:r/>
          </w:p>
        </w:tc>
        <w:tc>
          <w:tcPr>
            <w:tcBorders/>
            <w:tcMar>
              <w:left w:w="70" w:type="dxa"/>
              <w:top w:w="60" w:type="dxa"/>
              <w:right w:w="70" w:type="dxa"/>
              <w:bottom w:w="60" w:type="dxa"/>
            </w:tcMar>
            <w:tcW w:w="6813" w:type="dxa"/>
            <w:vAlign w:val="top"/>
          </w:tcPr>
          <w:p>
            <w:pPr>
              <w:pStyle w:val="1297"/>
              <w:pBdr/>
              <w:spacing/>
              <w:ind/>
              <w:rPr/>
            </w:pPr>
            <w:r>
              <w:rPr>
                <w:b/>
              </w:rPr>
              <w:t xml:space="preserve">Codes:</w:t>
            </w:r>
            <w:r>
              <w:t xml:space="preserve"> C2; H2 Architecture impact: Local unless the evidence demonstrates a structural consequence. Source architecture consequence: Affects synthesis strength, not TOC.</w:t>
            </w:r>
            <w:r/>
          </w:p>
        </w:tc>
      </w:tr>
      <w:tr>
        <w:trPr>
          <w:cantSplit/>
        </w:trPr>
        <w:tc>
          <w:tcPr>
            <w:shd w:val="clear" w:color="auto" w:fill="f7f9fa"/>
            <w:tcBorders/>
            <w:tcMar>
              <w:left w:w="70" w:type="dxa"/>
              <w:top w:w="60" w:type="dxa"/>
              <w:right w:w="70" w:type="dxa"/>
              <w:bottom w:w="60" w:type="dxa"/>
            </w:tcMar>
            <w:tcW w:w="889" w:type="dxa"/>
            <w:vAlign w:val="top"/>
          </w:tcPr>
          <w:p>
            <w:pPr>
              <w:pStyle w:val="1297"/>
              <w:pBdr/>
              <w:spacing/>
              <w:ind/>
              <w:rPr/>
            </w:pPr>
            <w:r>
              <w:t xml:space="preserve">RG-28</w:t>
            </w:r>
            <w:r/>
          </w:p>
        </w:tc>
        <w:tc>
          <w:tcPr>
            <w:shd w:val="clear" w:color="auto" w:fill="f7f9fa"/>
            <w:tcBorders/>
            <w:tcMar>
              <w:left w:w="70" w:type="dxa"/>
              <w:top w:w="60" w:type="dxa"/>
              <w:right w:w="70" w:type="dxa"/>
              <w:bottom w:w="60" w:type="dxa"/>
            </w:tcMar>
            <w:tcW w:w="7553" w:type="dxa"/>
            <w:vAlign w:val="top"/>
          </w:tcPr>
          <w:p>
            <w:pPr>
              <w:pStyle w:val="1297"/>
              <w:pBdr/>
              <w:spacing/>
              <w:ind/>
              <w:rPr/>
            </w:pPr>
            <w:r>
              <w:rPr>
                <w:b/>
              </w:rPr>
              <w:t xml:space="preserve">Available:</w:t>
            </w:r>
            <w:r>
              <w:t xml:space="preserve"> SEP/current philosophy sources [E29,E30,E37] Missing: Historiographic terminology review Action: Specialist histories of panpsychism/process thought</w:t>
            </w:r>
            <w:r/>
          </w:p>
        </w:tc>
        <w:tc>
          <w:tcPr>
            <w:shd w:val="clear" w:color="auto" w:fill="f7f9fa"/>
            <w:tcBorders/>
            <w:tcMar>
              <w:left w:w="70" w:type="dxa"/>
              <w:top w:w="60" w:type="dxa"/>
              <w:right w:w="70" w:type="dxa"/>
              <w:bottom w:w="60" w:type="dxa"/>
            </w:tcMar>
            <w:tcW w:w="6813" w:type="dxa"/>
            <w:vAlign w:val="top"/>
          </w:tcPr>
          <w:p>
            <w:pPr>
              <w:pStyle w:val="1297"/>
              <w:pBdr/>
              <w:spacing/>
              <w:ind/>
              <w:rPr/>
            </w:pPr>
            <w:r>
              <w:rPr>
                <w:b/>
              </w:rPr>
              <w:t xml:space="preserve">Codes:</w:t>
            </w:r>
            <w:r>
              <w:t xml:space="preserve"> C2; H2 Architecture impact: Local unless the evidence demonstrates a structural consequence. Source architecture consequence: May change labels, not structure.</w:t>
            </w:r>
            <w:r/>
          </w:p>
        </w:tc>
      </w:tr>
      <w:tr>
        <w:trPr>
          <w:cantSplit/>
        </w:trPr>
        <w:tc>
          <w:tcPr>
            <w:tcBorders/>
            <w:tcMar>
              <w:left w:w="70" w:type="dxa"/>
              <w:top w:w="60" w:type="dxa"/>
              <w:right w:w="70" w:type="dxa"/>
              <w:bottom w:w="60" w:type="dxa"/>
            </w:tcMar>
            <w:tcW w:w="889" w:type="dxa"/>
            <w:vAlign w:val="top"/>
          </w:tcPr>
          <w:p>
            <w:pPr>
              <w:pStyle w:val="1297"/>
              <w:pBdr/>
              <w:spacing/>
              <w:ind/>
              <w:rPr/>
            </w:pPr>
            <w:r>
              <w:t xml:space="preserve">RG-29</w:t>
            </w:r>
            <w:r/>
          </w:p>
        </w:tc>
        <w:tc>
          <w:tcPr>
            <w:tcBorders/>
            <w:tcMar>
              <w:left w:w="70" w:type="dxa"/>
              <w:top w:w="60" w:type="dxa"/>
              <w:right w:w="70" w:type="dxa"/>
              <w:bottom w:w="60" w:type="dxa"/>
            </w:tcMar>
            <w:tcW w:w="7553" w:type="dxa"/>
            <w:vAlign w:val="top"/>
          </w:tcPr>
          <w:p>
            <w:pPr>
              <w:pStyle w:val="1297"/>
              <w:pBdr/>
              <w:spacing/>
              <w:ind/>
              <w:rPr/>
            </w:pPr>
            <w:r>
              <w:rPr>
                <w:b/>
              </w:rPr>
              <w:t xml:space="preserve">Available:</w:t>
            </w:r>
            <w:r>
              <w:t xml:space="preserve"> Preliminary comparative inference from candidate universe Missing: Source-complete praxis/telos records and counterexample search Action: Core D12/D14 records; targeted comparators</w:t>
            </w:r>
            <w:r/>
          </w:p>
        </w:tc>
        <w:tc>
          <w:tcPr>
            <w:tcBorders/>
            <w:tcMar>
              <w:left w:w="70" w:type="dxa"/>
              <w:top w:w="60" w:type="dxa"/>
              <w:right w:w="70" w:type="dxa"/>
              <w:bottom w:w="60" w:type="dxa"/>
            </w:tcMar>
            <w:tcW w:w="6813" w:type="dxa"/>
            <w:vAlign w:val="top"/>
          </w:tcPr>
          <w:p>
            <w:pPr>
              <w:pStyle w:val="1297"/>
              <w:pBdr/>
              <w:spacing/>
              <w:ind/>
              <w:rPr/>
            </w:pPr>
            <w:r>
              <w:rPr>
                <w:b/>
              </w:rPr>
              <w:t xml:space="preserve">Codes:</w:t>
            </w:r>
            <w:r>
              <w:t xml:space="preserve"> C3; H2 Architecture impact: Local unless the evidence demonstrates a structural consequence. Source architecture consequence: Could remove one synthesis subsection only.</w:t>
            </w:r>
            <w:r/>
          </w:p>
        </w:tc>
      </w:tr>
      <w:tr>
        <w:trPr>
          <w:cantSplit/>
        </w:trPr>
        <w:tc>
          <w:tcPr>
            <w:shd w:val="clear" w:color="auto" w:fill="f7f9fa"/>
            <w:tcBorders/>
            <w:tcMar>
              <w:left w:w="70" w:type="dxa"/>
              <w:top w:w="60" w:type="dxa"/>
              <w:right w:w="70" w:type="dxa"/>
              <w:bottom w:w="60" w:type="dxa"/>
            </w:tcMar>
            <w:tcW w:w="889" w:type="dxa"/>
            <w:vAlign w:val="top"/>
          </w:tcPr>
          <w:p>
            <w:pPr>
              <w:pStyle w:val="1297"/>
              <w:pBdr/>
              <w:spacing/>
              <w:ind/>
              <w:rPr/>
            </w:pPr>
            <w:r>
              <w:t xml:space="preserve">RG-30</w:t>
            </w:r>
            <w:r/>
          </w:p>
        </w:tc>
        <w:tc>
          <w:tcPr>
            <w:shd w:val="clear" w:color="auto" w:fill="f7f9fa"/>
            <w:tcBorders/>
            <w:tcMar>
              <w:left w:w="70" w:type="dxa"/>
              <w:top w:w="60" w:type="dxa"/>
              <w:right w:w="70" w:type="dxa"/>
              <w:bottom w:w="60" w:type="dxa"/>
            </w:tcMar>
            <w:tcW w:w="7553" w:type="dxa"/>
            <w:vAlign w:val="top"/>
          </w:tcPr>
          <w:p>
            <w:pPr>
              <w:pStyle w:val="1297"/>
              <w:pBdr/>
              <w:spacing/>
              <w:ind/>
              <w:rPr/>
            </w:pPr>
            <w:r>
              <w:rPr>
                <w:b/>
              </w:rPr>
              <w:t xml:space="preserve">Available:</w:t>
            </w:r>
            <w:r>
              <w:t xml:space="preserve"> 40-position candidate universe + coverage-debt matrix Missing: Final saturation audit after targeted research and any promotions/demotions Action: Coverage scoring, expert review, negative-case search</w:t>
            </w:r>
            <w:r/>
          </w:p>
        </w:tc>
        <w:tc>
          <w:tcPr>
            <w:shd w:val="clear" w:color="auto" w:fill="f7f9fa"/>
            <w:tcBorders/>
            <w:tcMar>
              <w:left w:w="70" w:type="dxa"/>
              <w:top w:w="60" w:type="dxa"/>
              <w:right w:w="70" w:type="dxa"/>
              <w:bottom w:w="60" w:type="dxa"/>
            </w:tcMar>
            <w:tcW w:w="6813" w:type="dxa"/>
            <w:vAlign w:val="top"/>
          </w:tcPr>
          <w:p>
            <w:pPr>
              <w:pStyle w:val="1297"/>
              <w:pBdr/>
              <w:spacing/>
              <w:ind/>
              <w:rPr/>
            </w:pPr>
            <w:r>
              <w:rPr>
                <w:b/>
              </w:rPr>
              <w:t xml:space="preserve">Codes:</w:t>
            </w:r>
            <w:r>
              <w:t xml:space="preserve"> C1; H1 Architecture impact: Local chapter / corpus-role. Source architecture consequence: Could cause local corpus additions or chapter rebalancing; unlikely to require new architecture.</w:t>
            </w:r>
            <w:r/>
          </w:p>
        </w:tc>
      </w:tr>
    </w:tbl>
    <w:p>
      <w:pPr>
        <w:pStyle w:val="1300"/>
        <w:pBdr/>
        <w:spacing/>
        <w:ind/>
        <w:rPr/>
      </w:pPr>
      <w:r/>
      <w:r/>
    </w:p>
    <w:p>
      <w:pPr>
        <w:pStyle w:val="1136"/>
        <w:keepNext w:val="true"/>
        <w:keepLines w:val="true"/>
        <w:pBdr/>
        <w:spacing/>
        <w:ind/>
        <w:rPr/>
      </w:pPr>
      <w:r/>
      <w:bookmarkStart w:id="222" w:name="S4_5"/>
      <w:r>
        <w:t xml:space="preserve">S4.5 Reliability, traceability, production and novelty</w:t>
      </w:r>
      <w:bookmarkEnd w:id="222"/>
      <w:r/>
      <w:r/>
    </w:p>
    <w:p>
      <w:pPr>
        <w:pStyle w:val="1184"/>
        <w:keepNext w:val="true"/>
        <w:keepLines w:val="true"/>
        <w:pBdr/>
        <w:spacing/>
        <w:ind/>
        <w:rPr/>
      </w:pPr>
      <w:r>
        <w:t xml:space="preserve">Historical snapshot — Dependency workstream 5: Reliability, traceability, production and novelty</w:t>
      </w:r>
      <w:r/>
    </w:p>
    <w:tbl>
      <w:tblPr>
        <w:jc w:val="center"/>
        <w:tblW w:w="0" w:type="auto"/>
        <w:tblBorders>
          <w:top w:val="single" w:color="b7c1c6" w:sz="4" w:space="0"/>
          <w:left w:val="single" w:color="b7c1c6" w:sz="4" w:space="0"/>
          <w:bottom w:val="single" w:color="b7c1c6" w:sz="4" w:space="0"/>
          <w:right w:val="single" w:color="b7c1c6" w:sz="4" w:space="0"/>
          <w:insideH w:val="single" w:color="b7c1c6" w:sz="4" w:space="0"/>
          <w:insideV w:val="single" w:color="b7c1c6" w:sz="4" w:space="0"/>
        </w:tblBorders>
        <w:tblLayout w:type="fixed"/>
        <w:tblLook w:val="04A0" w:firstRow="1" w:lastRow="0" w:firstColumn="1" w:lastColumn="0" w:noHBand="0" w:noVBand="1"/>
      </w:tblPr>
      <w:tblGrid>
        <w:gridCol w:w="889"/>
        <w:gridCol w:w="7553"/>
        <w:gridCol w:w="6813"/>
      </w:tblGrid>
      <w:tr>
        <w:trPr>
          <w:cantSplit/>
          <w:tblHeader/>
        </w:trPr>
        <w:tc>
          <w:tcPr>
            <w:shd w:val="clear" w:color="auto" w:fill="1f5a73"/>
            <w:tcBorders/>
            <w:tcMar>
              <w:left w:w="70" w:type="dxa"/>
              <w:top w:w="60" w:type="dxa"/>
              <w:right w:w="70" w:type="dxa"/>
              <w:bottom w:w="60" w:type="dxa"/>
            </w:tcMar>
            <w:tcW w:w="889" w:type="dxa"/>
            <w:vAlign w:val="top"/>
          </w:tcPr>
          <w:p>
            <w:pPr>
              <w:pStyle w:val="1299"/>
              <w:pBdr/>
              <w:spacing/>
              <w:ind/>
              <w:rPr/>
            </w:pPr>
            <w:r>
              <w:t xml:space="preserve">ID</w:t>
            </w:r>
            <w:r/>
          </w:p>
        </w:tc>
        <w:tc>
          <w:tcPr>
            <w:shd w:val="clear" w:color="auto" w:fill="1f5a73"/>
            <w:tcBorders/>
            <w:tcMar>
              <w:left w:w="70" w:type="dxa"/>
              <w:top w:w="60" w:type="dxa"/>
              <w:right w:w="70" w:type="dxa"/>
              <w:bottom w:w="60" w:type="dxa"/>
            </w:tcMar>
            <w:tcW w:w="7553" w:type="dxa"/>
            <w:vAlign w:val="top"/>
          </w:tcPr>
          <w:p>
            <w:pPr>
              <w:pStyle w:val="1299"/>
              <w:pBdr/>
              <w:spacing/>
              <w:ind/>
              <w:rPr/>
            </w:pPr>
            <w:r>
              <w:t xml:space="preserve">Evidence and required action</w:t>
            </w:r>
            <w:r/>
          </w:p>
        </w:tc>
        <w:tc>
          <w:tcPr>
            <w:shd w:val="clear" w:color="auto" w:fill="1f5a73"/>
            <w:tcBorders/>
            <w:tcMar>
              <w:left w:w="70" w:type="dxa"/>
              <w:top w:w="60" w:type="dxa"/>
              <w:right w:w="70" w:type="dxa"/>
              <w:bottom w:w="60" w:type="dxa"/>
            </w:tcMar>
            <w:tcW w:w="6813" w:type="dxa"/>
            <w:vAlign w:val="top"/>
          </w:tcPr>
          <w:p>
            <w:pPr>
              <w:pStyle w:val="1299"/>
              <w:pBdr/>
              <w:spacing/>
              <w:ind/>
              <w:rPr/>
            </w:pPr>
            <w:r>
              <w:t xml:space="preserve">Unresolved consequence, handoff and architecture impact</w:t>
            </w:r>
            <w:r/>
          </w:p>
        </w:tc>
      </w:tr>
      <w:tr>
        <w:trPr>
          <w:cantSplit/>
        </w:trPr>
        <w:tc>
          <w:tcPr>
            <w:tcBorders/>
            <w:tcMar>
              <w:left w:w="70" w:type="dxa"/>
              <w:top w:w="60" w:type="dxa"/>
              <w:right w:w="70" w:type="dxa"/>
              <w:bottom w:w="60" w:type="dxa"/>
            </w:tcMar>
            <w:tcW w:w="889" w:type="dxa"/>
            <w:vAlign w:val="top"/>
          </w:tcPr>
          <w:p>
            <w:pPr>
              <w:pStyle w:val="1297"/>
              <w:pBdr/>
              <w:spacing/>
              <w:ind/>
              <w:rPr/>
            </w:pPr>
            <w:r>
              <w:t xml:space="preserve">RG-31</w:t>
            </w:r>
            <w:r/>
          </w:p>
        </w:tc>
        <w:tc>
          <w:tcPr>
            <w:tcBorders/>
            <w:tcMar>
              <w:left w:w="70" w:type="dxa"/>
              <w:top w:w="60" w:type="dxa"/>
              <w:right w:w="70" w:type="dxa"/>
              <w:bottom w:w="60" w:type="dxa"/>
            </w:tcMar>
            <w:tcW w:w="7553" w:type="dxa"/>
            <w:vAlign w:val="top"/>
          </w:tcPr>
          <w:p>
            <w:pPr>
              <w:pStyle w:val="1297"/>
              <w:pBdr/>
              <w:spacing/>
              <w:ind/>
              <w:rPr/>
            </w:pPr>
            <w:r>
              <w:rPr>
                <w:b/>
              </w:rPr>
              <w:t xml:space="preserve">Available:</w:t>
            </w:r>
            <w:r>
              <w:t xml:space="preserve"> Governing all-state codebook and failure-mod</w:t>
            </w:r>
            <w:r>
              <w:t xml:space="preserve">e examples [Research Specification §4; Research Annex A §A2; Research Annex D] Missing: Independent G2 blind coding with eight-state reliability, binary CAT reliability and confusion diagnostics Action: Independent human coders; held-out reliability packet</w:t>
            </w:r>
            <w:r/>
          </w:p>
        </w:tc>
        <w:tc>
          <w:tcPr>
            <w:tcBorders/>
            <w:tcMar>
              <w:left w:w="70" w:type="dxa"/>
              <w:top w:w="60" w:type="dxa"/>
              <w:right w:w="70" w:type="dxa"/>
              <w:bottom w:w="60" w:type="dxa"/>
            </w:tcMar>
            <w:tcW w:w="6813" w:type="dxa"/>
            <w:vAlign w:val="top"/>
          </w:tcPr>
          <w:p>
            <w:pPr>
              <w:pStyle w:val="1297"/>
              <w:pBdr/>
              <w:spacing/>
              <w:ind/>
              <w:rPr/>
            </w:pPr>
            <w:r>
              <w:rPr>
                <w:b/>
              </w:rPr>
              <w:t xml:space="preserve">Codes:</w:t>
            </w:r>
            <w:r>
              <w:t xml:space="preserve"> C1; H1 Architecture impact: Structural only if evidence genuinely changes adopted architecture. Source architecture consequence: Failure requires local recoding/training; repeated structural failure could reopen framework.</w:t>
            </w:r>
            <w:r/>
          </w:p>
        </w:tc>
      </w:tr>
      <w:tr>
        <w:trPr>
          <w:cantSplit/>
        </w:trPr>
        <w:tc>
          <w:tcPr>
            <w:shd w:val="clear" w:color="auto" w:fill="f7f9fa"/>
            <w:tcBorders/>
            <w:tcMar>
              <w:left w:w="70" w:type="dxa"/>
              <w:top w:w="60" w:type="dxa"/>
              <w:right w:w="70" w:type="dxa"/>
              <w:bottom w:w="60" w:type="dxa"/>
            </w:tcMar>
            <w:tcW w:w="889" w:type="dxa"/>
            <w:vAlign w:val="top"/>
          </w:tcPr>
          <w:p>
            <w:pPr>
              <w:pStyle w:val="1297"/>
              <w:pBdr/>
              <w:spacing/>
              <w:ind/>
              <w:rPr/>
            </w:pPr>
            <w:r>
              <w:t xml:space="preserve">RG-32</w:t>
            </w:r>
            <w:r/>
          </w:p>
        </w:tc>
        <w:tc>
          <w:tcPr>
            <w:shd w:val="clear" w:color="auto" w:fill="f7f9fa"/>
            <w:tcBorders/>
            <w:tcMar>
              <w:left w:w="70" w:type="dxa"/>
              <w:top w:w="60" w:type="dxa"/>
              <w:right w:w="70" w:type="dxa"/>
              <w:bottom w:w="60" w:type="dxa"/>
            </w:tcMar>
            <w:tcW w:w="7553" w:type="dxa"/>
            <w:vAlign w:val="top"/>
          </w:tcPr>
          <w:p>
            <w:pPr>
              <w:pStyle w:val="1297"/>
              <w:pBdr/>
              <w:spacing/>
              <w:ind/>
              <w:rPr/>
            </w:pPr>
            <w:r>
              <w:rPr>
                <w:b/>
              </w:rPr>
              <w:t xml:space="preserve">Available:</w:t>
            </w:r>
            <w:r>
              <w:t xml:space="preserve"> Governing relation taxon</w:t>
            </w:r>
            <w:r>
              <w:t xml:space="preserve">omy, coherence matrix and examples [Research Specification §6; Research Annex A §A3; Research Annex D] Missing: Independent full-taxonomy G3 packet with scope, tertium and disanalogy diagnostics Action: Independent human coders; relation reliability packet</w:t>
            </w:r>
            <w:r/>
          </w:p>
        </w:tc>
        <w:tc>
          <w:tcPr>
            <w:shd w:val="clear" w:color="auto" w:fill="f7f9fa"/>
            <w:tcBorders/>
            <w:tcMar>
              <w:left w:w="70" w:type="dxa"/>
              <w:top w:w="60" w:type="dxa"/>
              <w:right w:w="70" w:type="dxa"/>
              <w:bottom w:w="60" w:type="dxa"/>
            </w:tcMar>
            <w:tcW w:w="6813" w:type="dxa"/>
            <w:vAlign w:val="top"/>
          </w:tcPr>
          <w:p>
            <w:pPr>
              <w:pStyle w:val="1297"/>
              <w:pBdr/>
              <w:spacing/>
              <w:ind/>
              <w:rPr/>
            </w:pPr>
            <w:r>
              <w:rPr>
                <w:b/>
              </w:rPr>
              <w:t xml:space="preserve">Codes:</w:t>
            </w:r>
            <w:r>
              <w:t xml:space="preserve"> C1; H1 Architecture impact: Local chapter / corpus-role. Source architecture consequence: Failure may weaken/withdraw comparison claims and redesign individual chapters; systemic failure could reopen framework.</w:t>
            </w:r>
            <w:r/>
          </w:p>
        </w:tc>
      </w:tr>
      <w:tr>
        <w:trPr>
          <w:cantSplit/>
        </w:trPr>
        <w:tc>
          <w:tcPr>
            <w:tcBorders/>
            <w:tcMar>
              <w:left w:w="70" w:type="dxa"/>
              <w:top w:w="60" w:type="dxa"/>
              <w:right w:w="70" w:type="dxa"/>
              <w:bottom w:w="60" w:type="dxa"/>
            </w:tcMar>
            <w:tcW w:w="889" w:type="dxa"/>
            <w:vAlign w:val="top"/>
          </w:tcPr>
          <w:p>
            <w:pPr>
              <w:pStyle w:val="1297"/>
              <w:pBdr/>
              <w:spacing/>
              <w:ind/>
              <w:rPr/>
            </w:pPr>
            <w:r>
              <w:t xml:space="preserve">RG-33</w:t>
            </w:r>
            <w:r/>
          </w:p>
        </w:tc>
        <w:tc>
          <w:tcPr>
            <w:tcBorders/>
            <w:tcMar>
              <w:left w:w="70" w:type="dxa"/>
              <w:top w:w="60" w:type="dxa"/>
              <w:right w:w="70" w:type="dxa"/>
              <w:bottom w:w="60" w:type="dxa"/>
            </w:tcMar>
            <w:tcW w:w="7553" w:type="dxa"/>
            <w:vAlign w:val="top"/>
          </w:tcPr>
          <w:p>
            <w:pPr>
              <w:pStyle w:val="1297"/>
              <w:pBdr/>
              <w:spacing/>
              <w:ind/>
              <w:rPr/>
            </w:pPr>
            <w:r>
              <w:rPr>
                <w:b/>
              </w:rPr>
              <w:t xml:space="preserve">Available:</w:t>
            </w:r>
            <w:r>
              <w:t xml:space="preserve"> Current canonical records and chapter-linked research Missing: G6 dual-denominator audit covering Claim traceability and PublicationClaim premise chains Action: Atomic ingestion; exact locators; premise/rationale/scope/defeater review</w:t>
            </w:r>
            <w:r/>
          </w:p>
        </w:tc>
        <w:tc>
          <w:tcPr>
            <w:tcBorders/>
            <w:tcMar>
              <w:left w:w="70" w:type="dxa"/>
              <w:top w:w="60" w:type="dxa"/>
              <w:right w:w="70" w:type="dxa"/>
              <w:bottom w:w="60" w:type="dxa"/>
            </w:tcMar>
            <w:tcW w:w="6813" w:type="dxa"/>
            <w:vAlign w:val="top"/>
          </w:tcPr>
          <w:p>
            <w:pPr>
              <w:pStyle w:val="1297"/>
              <w:pBdr/>
              <w:spacing/>
              <w:ind/>
              <w:rPr/>
            </w:pPr>
            <w:r>
              <w:rPr>
                <w:b/>
              </w:rPr>
              <w:t xml:space="preserve">Codes:</w:t>
            </w:r>
            <w:r>
              <w:t xml:space="preserve"> C1; H1 Architecture impact: Structural only if evidence genuinely changes adopted architecture. Source architecture consequence: Failure blocks claim/release, not architecture unless pervasive.</w:t>
            </w:r>
            <w:r/>
          </w:p>
        </w:tc>
      </w:tr>
      <w:tr>
        <w:trPr>
          <w:cantSplit/>
        </w:trPr>
        <w:tc>
          <w:tcPr>
            <w:shd w:val="clear" w:color="auto" w:fill="f7f9fa"/>
            <w:tcBorders/>
            <w:tcMar>
              <w:left w:w="70" w:type="dxa"/>
              <w:top w:w="60" w:type="dxa"/>
              <w:right w:w="70" w:type="dxa"/>
              <w:bottom w:w="60" w:type="dxa"/>
            </w:tcMar>
            <w:tcW w:w="889" w:type="dxa"/>
            <w:vAlign w:val="top"/>
          </w:tcPr>
          <w:p>
            <w:pPr>
              <w:pStyle w:val="1297"/>
              <w:pBdr/>
              <w:spacing/>
              <w:ind/>
              <w:rPr/>
            </w:pPr>
            <w:r>
              <w:t xml:space="preserve">RG-34</w:t>
            </w:r>
            <w:r/>
          </w:p>
        </w:tc>
        <w:tc>
          <w:tcPr>
            <w:shd w:val="clear" w:color="auto" w:fill="f7f9fa"/>
            <w:tcBorders/>
            <w:tcMar>
              <w:left w:w="70" w:type="dxa"/>
              <w:top w:w="60" w:type="dxa"/>
              <w:right w:w="70" w:type="dxa"/>
              <w:bottom w:w="60" w:type="dxa"/>
            </w:tcMar>
            <w:tcW w:w="7553" w:type="dxa"/>
            <w:vAlign w:val="top"/>
          </w:tcPr>
          <w:p>
            <w:pPr>
              <w:pStyle w:val="1297"/>
              <w:pBdr/>
              <w:spacing/>
              <w:ind/>
              <w:rPr/>
            </w:pPr>
            <w:r>
              <w:rPr>
                <w:b/>
              </w:rPr>
              <w:t xml:space="preserve">Available:</w:t>
            </w:r>
            <w:r>
              <w:t xml:space="preserve"> Gove</w:t>
            </w:r>
            <w:r>
              <w:t xml:space="preserve">rning regeneration principle [Research Specification §§8.1, 8.4 and 12; Research Annex C §C3.7] Missing: G7 production regeneration evidence and controlled-change propagation Action: Production implementation; versioned queries; build/output hash manifests</w:t>
            </w:r>
            <w:r/>
          </w:p>
        </w:tc>
        <w:tc>
          <w:tcPr>
            <w:shd w:val="clear" w:color="auto" w:fill="f7f9fa"/>
            <w:tcBorders/>
            <w:tcMar>
              <w:left w:w="70" w:type="dxa"/>
              <w:top w:w="60" w:type="dxa"/>
              <w:right w:w="70" w:type="dxa"/>
              <w:bottom w:w="60" w:type="dxa"/>
            </w:tcMar>
            <w:tcW w:w="6813" w:type="dxa"/>
            <w:vAlign w:val="top"/>
          </w:tcPr>
          <w:p>
            <w:pPr>
              <w:pStyle w:val="1297"/>
              <w:pBdr/>
              <w:spacing/>
              <w:ind/>
              <w:rPr/>
            </w:pPr>
            <w:r>
              <w:rPr>
                <w:b/>
              </w:rPr>
              <w:t xml:space="preserve">Codes:</w:t>
            </w:r>
            <w:r>
              <w:t xml:space="preserve"> C2; H2 Architecture impact: Local unless the evidence demonstrates a structural consequence. Source architecture consequence: Failure changes digital/release workflow, not conceptual TOC.</w:t>
            </w:r>
            <w:r/>
          </w:p>
        </w:tc>
      </w:tr>
      <w:tr>
        <w:trPr>
          <w:cantSplit/>
        </w:trPr>
        <w:tc>
          <w:tcPr>
            <w:tcBorders/>
            <w:tcMar>
              <w:left w:w="70" w:type="dxa"/>
              <w:top w:w="60" w:type="dxa"/>
              <w:right w:w="70" w:type="dxa"/>
              <w:bottom w:w="60" w:type="dxa"/>
            </w:tcMar>
            <w:tcW w:w="889" w:type="dxa"/>
            <w:vAlign w:val="top"/>
          </w:tcPr>
          <w:p>
            <w:pPr>
              <w:pStyle w:val="1297"/>
              <w:pBdr/>
              <w:spacing/>
              <w:ind/>
              <w:rPr/>
            </w:pPr>
            <w:r>
              <w:t xml:space="preserve">RG-35</w:t>
            </w:r>
            <w:r/>
          </w:p>
        </w:tc>
        <w:tc>
          <w:tcPr>
            <w:tcBorders/>
            <w:tcMar>
              <w:left w:w="70" w:type="dxa"/>
              <w:top w:w="60" w:type="dxa"/>
              <w:right w:w="70" w:type="dxa"/>
              <w:bottom w:w="60" w:type="dxa"/>
            </w:tcMar>
            <w:tcW w:w="7553" w:type="dxa"/>
            <w:vAlign w:val="top"/>
          </w:tcPr>
          <w:p>
            <w:pPr>
              <w:pStyle w:val="1297"/>
              <w:pBdr/>
              <w:spacing/>
              <w:ind/>
              <w:rPr/>
            </w:pPr>
            <w:r>
              <w:rPr>
                <w:b/>
              </w:rPr>
              <w:t xml:space="preserve">Available at the 28 July 2026 snapshot:</w:t>
            </w:r>
            <w:r>
              <w:t xml:space="preserve"> dated novelty baseline. Dated reference basis: [E41–E45], verified 19 August 2026 (Annex D §D2); this later verification is not evidence of inclusion in the July workstream. Missing: Fresh pre-submission search across ph</w:t>
            </w:r>
            <w:r>
              <w:t xml:space="preserve">ilosophy knowledge graphs, global reference infrastructures, comparative philosophy, philosophy-as-way-of-life, transformative philosophy, epistemic or knower transformation, contemplative or participatory knowing, embodied or situated knowing and self-cul</w:t>
            </w:r>
            <w:r>
              <w:t xml:space="preserve">tivation research. Action: Systematic current search using publisher databases, scholarly indexes and project pages; test both close integrations and universalizing countermodels; update public differentiation language only through the recorded G8 process.</w:t>
            </w:r>
            <w:r/>
          </w:p>
        </w:tc>
        <w:tc>
          <w:tcPr>
            <w:tcBorders/>
            <w:tcMar>
              <w:left w:w="70" w:type="dxa"/>
              <w:top w:w="60" w:type="dxa"/>
              <w:right w:w="70" w:type="dxa"/>
              <w:bottom w:w="60" w:type="dxa"/>
            </w:tcMar>
            <w:tcW w:w="6813" w:type="dxa"/>
            <w:vAlign w:val="top"/>
          </w:tcPr>
          <w:p>
            <w:pPr>
              <w:pStyle w:val="1297"/>
              <w:pBdr/>
              <w:spacing/>
              <w:ind/>
              <w:rPr/>
            </w:pPr>
            <w:r>
              <w:rPr>
                <w:b/>
              </w:rPr>
              <w:t xml:space="preserve">Codes:</w:t>
            </w:r>
            <w:r>
              <w:t xml:space="preserve"> C2; H2 Architecture impact: Structural only if evidence genuinely changes adopted architecture. Source architecture consequence: May change positioning language, not architecture.</w:t>
            </w:r>
            <w:r/>
          </w:p>
        </w:tc>
      </w:tr>
    </w:tbl>
    <w:p>
      <w:pPr>
        <w:pStyle w:val="1300"/>
        <w:pBdr/>
        <w:spacing/>
        <w:ind/>
        <w:rPr/>
      </w:pPr>
      <w:r/>
      <w:r/>
    </w:p>
    <w:tbl>
      <w:tblPr>
        <w:jc w:val="center"/>
        <w:tblW w:w="0" w:type="auto"/>
        <w:tblBorders>
          <w:top w:val="single" w:color="68737a" w:sz="8" w:space="0"/>
          <w:left w:val="single" w:color="68737a" w:sz="8" w:space="0"/>
          <w:bottom w:val="single" w:color="68737a" w:sz="8" w:space="0"/>
          <w:right w:val="single" w:color="68737a" w:sz="8" w:space="0"/>
          <w:insideH w:val="single" w:color="68737a" w:sz="8" w:space="0"/>
          <w:insideV w:val="single" w:color="68737a" w:sz="8" w:space="0"/>
        </w:tblBorders>
        <w:tblLayout w:type="fixed"/>
        <w:tblLook w:val="04A0" w:firstRow="1" w:lastRow="0" w:firstColumn="1" w:lastColumn="0" w:noHBand="0" w:noVBand="1"/>
      </w:tblPr>
      <w:tblGrid>
        <w:gridCol w:w="15254"/>
      </w:tblGrid>
      <w:tr>
        <w:trPr>
          <w:cantSplit/>
          <w:tblHeader/>
        </w:trPr>
        <w:tc>
          <w:tcPr>
            <w:shd w:val="clear" w:color="auto" w:fill="68737a"/>
            <w:tcBorders/>
            <w:tcMar>
              <w:left w:w="70" w:type="dxa"/>
              <w:top w:w="60" w:type="dxa"/>
              <w:right w:w="70" w:type="dxa"/>
              <w:bottom w:w="60" w:type="dxa"/>
            </w:tcMar>
            <w:tcW w:w="9936" w:type="dxa"/>
            <w:vAlign w:val="top"/>
          </w:tcPr>
          <w:p>
            <w:pPr>
              <w:pStyle w:val="1301"/>
              <w:pBdr/>
              <w:spacing/>
              <w:ind/>
              <w:rPr/>
            </w:pPr>
            <w:r>
              <w:t xml:space="preserve">Historical snapshot — Status boundary</w:t>
            </w:r>
            <w:r/>
          </w:p>
        </w:tc>
      </w:tr>
      <w:tr>
        <w:trPr>
          <w:cantSplit/>
        </w:trPr>
        <w:tc>
          <w:tcPr>
            <w:shd w:val="clear" w:color="auto" w:fill="f0f2f3"/>
            <w:tcBorders/>
            <w:tcMar>
              <w:left w:w="70" w:type="dxa"/>
              <w:top w:w="60" w:type="dxa"/>
              <w:right w:w="70" w:type="dxa"/>
              <w:bottom w:w="60" w:type="dxa"/>
            </w:tcMar>
            <w:tcW w:w="15254" w:type="dxa"/>
            <w:vAlign w:val="top"/>
          </w:tcPr>
          <w:p>
            <w:pPr>
              <w:pStyle w:val="1302"/>
              <w:pBdr/>
              <w:spacing/>
              <w:ind/>
              <w:rPr/>
            </w:pPr>
            <w:r>
              <w:t xml:space="preserve">This snapshot contains n</w:t>
            </w:r>
            <w:r>
              <w:t xml:space="preserve">o live GateRun verdicts. Current gate verdicts, evidence maturity and GO/HOLD authority are established by applicable recorded GateRuns and release records under Research Specification §10; this dated display does not independently establish a later state.</w:t>
            </w:r>
            <w:r/>
          </w:p>
        </w:tc>
      </w:tr>
    </w:tbl>
    <w:p>
      <w:pPr>
        <w:pStyle w:val="1300"/>
        <w:pBdr/>
        <w:spacing/>
        <w:ind/>
        <w:rPr/>
      </w:pPr>
      <w:r/>
      <w:r/>
    </w:p>
    <w:sectPr>
      <w:headerReference w:type="default" r:id="rId19"/>
      <w:footerReference w:type="default" r:id="rId30"/>
      <w:footnotePr/>
      <w:endnotePr/>
      <w:type w:val="nextPage"/>
      <w:pgSz w:h="11906" w:orient="landscape" w:w="16838"/>
      <w:pgMar w:top="792" w:right="792" w:bottom="792" w:left="792" w:header="403" w:footer="403"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font>
  <w:font w:name="Courier">
    <w:panose1 w:val="02070309020205020404"/>
  </w:font>
  <w:font w:name="Noto Sans">
    <w:panose1 w:val="05040102010807070707"/>
  </w:font>
  <w:font w:name="Noto Serif">
    <w:panose1 w:val="05040102010807070707"/>
  </w:font>
  <w:font w:name="Arial">
    <w:panose1 w:val="020B0604020202020204"/>
  </w:font>
  <w:font w:name="Calibri">
    <w:panose1 w:val="020F050202020403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3"/>
      <w:keepNext w:val="false"/>
      <w:keepLines w:val="false"/>
      <w:pageBreakBefore w:val="false"/>
      <w:pBdr/>
      <w:spacing w:after="0" w:before="0" w:line="240" w:lineRule="auto"/>
      <w:ind w:right="0" w:firstLine="0" w:left="0"/>
      <w:jc w:val="right"/>
      <w:rPr>
        <w:rFonts w:ascii="Noto Sans" w:hAnsi="Noto Sans" w:eastAsia="Noto Sans" w:cs="Noto Sans"/>
        <w:b w:val="0"/>
        <w:bCs w:val="0"/>
        <w:i w:val="0"/>
        <w:iCs w:val="0"/>
        <w:color w:val="4a5560"/>
        <w:sz w:val="16"/>
        <w:szCs w:val="16"/>
      </w:rPr>
    </w:pPr>
    <w:r>
      <w:rPr>
        <w:rFonts w:ascii="Noto Sans" w:hAnsi="Noto Sans" w:eastAsia="Noto Sans" w:cs="Noto Sans"/>
        <w:b w:val="0"/>
        <w:bCs w:val="0"/>
        <w:i w:val="0"/>
        <w:iCs w:val="0"/>
        <w:color w:val="4a5560"/>
        <w:sz w:val="16"/>
        <w:szCs w:val="16"/>
      </w:rPr>
      <w:fldChar w:fldCharType="begin"/>
    </w:r>
    <w:r>
      <w:rPr>
        <w:rFonts w:ascii="Noto Sans" w:hAnsi="Noto Sans" w:eastAsia="Noto Sans" w:cs="Noto Sans"/>
        <w:b w:val="0"/>
        <w:bCs w:val="0"/>
        <w:i w:val="0"/>
        <w:iCs w:val="0"/>
        <w:color w:val="4a5560"/>
        <w:sz w:val="16"/>
        <w:szCs w:val="16"/>
      </w:rPr>
      <w:instrText xml:space="preserve"> PAGE </w:instrText>
    </w:r>
    <w:r>
      <w:rPr>
        <w:rFonts w:ascii="Noto Sans" w:hAnsi="Noto Sans" w:eastAsia="Noto Sans" w:cs="Noto Sans"/>
        <w:b w:val="0"/>
        <w:bCs w:val="0"/>
        <w:i w:val="0"/>
        <w:iCs w:val="0"/>
        <w:color w:val="4a5560"/>
        <w:sz w:val="16"/>
        <w:szCs w:val="16"/>
      </w:rPr>
      <w:fldChar w:fldCharType="separate"/>
    </w:r>
    <w:r>
      <w:rPr>
        <w:rFonts w:ascii="Noto Sans" w:hAnsi="Noto Sans" w:eastAsia="Noto Sans" w:cs="Noto Sans"/>
        <w:b w:val="0"/>
        <w:bCs w:val="0"/>
        <w:i w:val="0"/>
        <w:iCs w:val="0"/>
        <w:color w:val="4a5560"/>
        <w:sz w:val="16"/>
        <w:szCs w:val="16"/>
      </w:rPr>
      <w:t xml:space="preserve">1</w:t>
    </w:r>
    <w:r>
      <w:rPr>
        <w:rFonts w:ascii="Noto Sans" w:hAnsi="Noto Sans" w:eastAsia="Noto Sans" w:cs="Noto Sans"/>
        <w:b w:val="0"/>
        <w:bCs w:val="0"/>
        <w:i w:val="0"/>
        <w:iCs w:val="0"/>
        <w:color w:val="4a5560"/>
        <w:sz w:val="16"/>
        <w:szCs w:val="16"/>
      </w:rPr>
      <w:fldChar w:fldCharType="end"/>
    </w:r>
    <w:r>
      <w:rPr>
        <w:rFonts w:ascii="Noto Sans" w:hAnsi="Noto Sans" w:eastAsia="Noto Sans" w:cs="Noto Sans"/>
        <w:b w:val="0"/>
        <w:bCs w:val="0"/>
        <w:i w:val="0"/>
        <w:iCs w:val="0"/>
        <w:color w:val="4a5560"/>
        <w:sz w:val="16"/>
        <w:szCs w:val="16"/>
      </w:rP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3"/>
      <w:keepNext w:val="false"/>
      <w:keepLines w:val="false"/>
      <w:pageBreakBefore w:val="false"/>
      <w:pBdr/>
      <w:spacing w:after="0" w:before="0" w:line="240" w:lineRule="auto"/>
      <w:ind w:right="0" w:firstLine="0" w:left="0"/>
      <w:jc w:val="right"/>
      <w:rPr>
        <w:rFonts w:ascii="Noto Sans" w:hAnsi="Noto Sans" w:eastAsia="Noto Sans" w:cs="Noto Sans"/>
        <w:b w:val="0"/>
        <w:bCs w:val="0"/>
        <w:i w:val="0"/>
        <w:iCs w:val="0"/>
        <w:color w:val="4a5560"/>
        <w:sz w:val="16"/>
        <w:szCs w:val="16"/>
      </w:rPr>
    </w:pPr>
    <w:r>
      <w:rPr>
        <w:rFonts w:ascii="Noto Sans" w:hAnsi="Noto Sans" w:eastAsia="Noto Sans" w:cs="Noto Sans"/>
        <w:b w:val="0"/>
        <w:bCs w:val="0"/>
        <w:i w:val="0"/>
        <w:iCs w:val="0"/>
        <w:color w:val="4a5560"/>
        <w:sz w:val="16"/>
        <w:szCs w:val="16"/>
      </w:rPr>
      <w:fldChar w:fldCharType="begin"/>
    </w:r>
    <w:r>
      <w:rPr>
        <w:rFonts w:ascii="Noto Sans" w:hAnsi="Noto Sans" w:eastAsia="Noto Sans" w:cs="Noto Sans"/>
        <w:b w:val="0"/>
        <w:bCs w:val="0"/>
        <w:i w:val="0"/>
        <w:iCs w:val="0"/>
        <w:color w:val="4a5560"/>
        <w:sz w:val="16"/>
        <w:szCs w:val="16"/>
      </w:rPr>
      <w:instrText xml:space="preserve"> PAGE </w:instrText>
    </w:r>
    <w:r>
      <w:rPr>
        <w:rFonts w:ascii="Noto Sans" w:hAnsi="Noto Sans" w:eastAsia="Noto Sans" w:cs="Noto Sans"/>
        <w:b w:val="0"/>
        <w:bCs w:val="0"/>
        <w:i w:val="0"/>
        <w:iCs w:val="0"/>
        <w:color w:val="4a5560"/>
        <w:sz w:val="16"/>
        <w:szCs w:val="16"/>
      </w:rPr>
      <w:fldChar w:fldCharType="separate"/>
    </w:r>
    <w:r>
      <w:rPr>
        <w:rFonts w:ascii="Noto Sans" w:hAnsi="Noto Sans" w:eastAsia="Noto Sans" w:cs="Noto Sans"/>
        <w:b w:val="0"/>
        <w:bCs w:val="0"/>
        <w:i w:val="0"/>
        <w:iCs w:val="0"/>
        <w:color w:val="4a5560"/>
        <w:sz w:val="16"/>
        <w:szCs w:val="16"/>
      </w:rPr>
      <w:t xml:space="preserve">1</w:t>
    </w:r>
    <w:r>
      <w:rPr>
        <w:rFonts w:ascii="Noto Sans" w:hAnsi="Noto Sans" w:eastAsia="Noto Sans" w:cs="Noto Sans"/>
        <w:b w:val="0"/>
        <w:bCs w:val="0"/>
        <w:i w:val="0"/>
        <w:iCs w:val="0"/>
        <w:color w:val="4a5560"/>
        <w:sz w:val="16"/>
        <w:szCs w:val="16"/>
      </w:rPr>
      <w:fldChar w:fldCharType="end"/>
    </w:r>
    <w:r>
      <w:rPr>
        <w:rFonts w:ascii="Noto Sans" w:hAnsi="Noto Sans" w:eastAsia="Noto Sans" w:cs="Noto Sans"/>
        <w:b w:val="0"/>
        <w:bCs w:val="0"/>
        <w:i w:val="0"/>
        <w:iCs w:val="0"/>
        <w:color w:val="4a5560"/>
        <w:sz w:val="16"/>
        <w:szCs w:val="16"/>
      </w:rP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3"/>
      <w:keepNext w:val="false"/>
      <w:keepLines w:val="false"/>
      <w:pageBreakBefore w:val="false"/>
      <w:pBdr/>
      <w:spacing w:after="0" w:before="0" w:line="240" w:lineRule="auto"/>
      <w:ind w:right="0" w:firstLine="0" w:left="0"/>
      <w:jc w:val="right"/>
      <w:rPr>
        <w:rFonts w:ascii="Noto Sans" w:hAnsi="Noto Sans" w:eastAsia="Noto Sans" w:cs="Noto Sans"/>
        <w:b w:val="0"/>
        <w:bCs w:val="0"/>
        <w:i w:val="0"/>
        <w:iCs w:val="0"/>
        <w:color w:val="4a5560"/>
        <w:sz w:val="16"/>
        <w:szCs w:val="16"/>
      </w:rPr>
    </w:pPr>
    <w:r>
      <w:rPr>
        <w:rFonts w:ascii="Noto Sans" w:hAnsi="Noto Sans" w:eastAsia="Noto Sans" w:cs="Noto Sans"/>
        <w:b w:val="0"/>
        <w:bCs w:val="0"/>
        <w:i w:val="0"/>
        <w:iCs w:val="0"/>
        <w:color w:val="4a5560"/>
        <w:sz w:val="16"/>
        <w:szCs w:val="16"/>
      </w:rPr>
      <w:fldChar w:fldCharType="begin"/>
    </w:r>
    <w:r>
      <w:rPr>
        <w:rFonts w:ascii="Noto Sans" w:hAnsi="Noto Sans" w:eastAsia="Noto Sans" w:cs="Noto Sans"/>
        <w:b w:val="0"/>
        <w:bCs w:val="0"/>
        <w:i w:val="0"/>
        <w:iCs w:val="0"/>
        <w:color w:val="4a5560"/>
        <w:sz w:val="16"/>
        <w:szCs w:val="16"/>
      </w:rPr>
      <w:instrText xml:space="preserve"> PAGE </w:instrText>
    </w:r>
    <w:r>
      <w:rPr>
        <w:rFonts w:ascii="Noto Sans" w:hAnsi="Noto Sans" w:eastAsia="Noto Sans" w:cs="Noto Sans"/>
        <w:b w:val="0"/>
        <w:bCs w:val="0"/>
        <w:i w:val="0"/>
        <w:iCs w:val="0"/>
        <w:color w:val="4a5560"/>
        <w:sz w:val="16"/>
        <w:szCs w:val="16"/>
      </w:rPr>
      <w:fldChar w:fldCharType="separate"/>
    </w:r>
    <w:r>
      <w:rPr>
        <w:rFonts w:ascii="Noto Sans" w:hAnsi="Noto Sans" w:eastAsia="Noto Sans" w:cs="Noto Sans"/>
        <w:b w:val="0"/>
        <w:bCs w:val="0"/>
        <w:i w:val="0"/>
        <w:iCs w:val="0"/>
        <w:color w:val="4a5560"/>
        <w:sz w:val="16"/>
        <w:szCs w:val="16"/>
      </w:rPr>
      <w:t xml:space="preserve">1</w:t>
    </w:r>
    <w:r>
      <w:rPr>
        <w:rFonts w:ascii="Noto Sans" w:hAnsi="Noto Sans" w:eastAsia="Noto Sans" w:cs="Noto Sans"/>
        <w:b w:val="0"/>
        <w:bCs w:val="0"/>
        <w:i w:val="0"/>
        <w:iCs w:val="0"/>
        <w:color w:val="4a5560"/>
        <w:sz w:val="16"/>
        <w:szCs w:val="16"/>
      </w:rPr>
      <w:fldChar w:fldCharType="end"/>
    </w:r>
    <w:r>
      <w:rPr>
        <w:rFonts w:ascii="Noto Sans" w:hAnsi="Noto Sans" w:eastAsia="Noto Sans" w:cs="Noto Sans"/>
        <w:b w:val="0"/>
        <w:bCs w:val="0"/>
        <w:i w:val="0"/>
        <w:iCs w:val="0"/>
        <w:color w:val="4a5560"/>
        <w:sz w:val="16"/>
        <w:szCs w:val="16"/>
      </w:rPr>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3"/>
      <w:keepNext w:val="false"/>
      <w:keepLines w:val="false"/>
      <w:pageBreakBefore w:val="false"/>
      <w:pBdr/>
      <w:spacing w:after="0" w:before="0" w:line="240" w:lineRule="auto"/>
      <w:ind w:right="0" w:firstLine="0" w:left="0"/>
      <w:jc w:val="right"/>
      <w:rPr>
        <w:rFonts w:ascii="Noto Sans" w:hAnsi="Noto Sans" w:eastAsia="Noto Sans" w:cs="Noto Sans"/>
        <w:b w:val="0"/>
        <w:bCs w:val="0"/>
        <w:i w:val="0"/>
        <w:iCs w:val="0"/>
        <w:color w:val="4a5560"/>
        <w:sz w:val="16"/>
        <w:szCs w:val="16"/>
      </w:rPr>
    </w:pPr>
    <w:r>
      <w:rPr>
        <w:rFonts w:ascii="Noto Sans" w:hAnsi="Noto Sans" w:eastAsia="Noto Sans" w:cs="Noto Sans"/>
        <w:b w:val="0"/>
        <w:bCs w:val="0"/>
        <w:i w:val="0"/>
        <w:iCs w:val="0"/>
        <w:color w:val="4a5560"/>
        <w:sz w:val="16"/>
        <w:szCs w:val="16"/>
      </w:rPr>
      <w:fldChar w:fldCharType="begin"/>
    </w:r>
    <w:r>
      <w:rPr>
        <w:rFonts w:ascii="Noto Sans" w:hAnsi="Noto Sans" w:eastAsia="Noto Sans" w:cs="Noto Sans"/>
        <w:b w:val="0"/>
        <w:bCs w:val="0"/>
        <w:i w:val="0"/>
        <w:iCs w:val="0"/>
        <w:color w:val="4a5560"/>
        <w:sz w:val="16"/>
        <w:szCs w:val="16"/>
      </w:rPr>
      <w:instrText xml:space="preserve"> PAGE </w:instrText>
    </w:r>
    <w:r>
      <w:rPr>
        <w:rFonts w:ascii="Noto Sans" w:hAnsi="Noto Sans" w:eastAsia="Noto Sans" w:cs="Noto Sans"/>
        <w:b w:val="0"/>
        <w:bCs w:val="0"/>
        <w:i w:val="0"/>
        <w:iCs w:val="0"/>
        <w:color w:val="4a5560"/>
        <w:sz w:val="16"/>
        <w:szCs w:val="16"/>
      </w:rPr>
      <w:fldChar w:fldCharType="separate"/>
    </w:r>
    <w:r>
      <w:rPr>
        <w:rFonts w:ascii="Noto Sans" w:hAnsi="Noto Sans" w:eastAsia="Noto Sans" w:cs="Noto Sans"/>
        <w:b w:val="0"/>
        <w:bCs w:val="0"/>
        <w:i w:val="0"/>
        <w:iCs w:val="0"/>
        <w:color w:val="4a5560"/>
        <w:sz w:val="16"/>
        <w:szCs w:val="16"/>
      </w:rPr>
      <w:t xml:space="preserve">1</w:t>
    </w:r>
    <w:r>
      <w:rPr>
        <w:rFonts w:ascii="Noto Sans" w:hAnsi="Noto Sans" w:eastAsia="Noto Sans" w:cs="Noto Sans"/>
        <w:b w:val="0"/>
        <w:bCs w:val="0"/>
        <w:i w:val="0"/>
        <w:iCs w:val="0"/>
        <w:color w:val="4a5560"/>
        <w:sz w:val="16"/>
        <w:szCs w:val="16"/>
      </w:rPr>
      <w:fldChar w:fldCharType="end"/>
    </w:r>
    <w:r>
      <w:rPr>
        <w:rFonts w:ascii="Noto Sans" w:hAnsi="Noto Sans" w:eastAsia="Noto Sans" w:cs="Noto Sans"/>
        <w:b w:val="0"/>
        <w:bCs w:val="0"/>
        <w:i w:val="0"/>
        <w:iCs w:val="0"/>
        <w:color w:val="4a5560"/>
        <w:sz w:val="16"/>
        <w:szCs w:val="16"/>
      </w:rPr>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3"/>
      <w:keepNext w:val="false"/>
      <w:keepLines w:val="false"/>
      <w:pageBreakBefore w:val="false"/>
      <w:pBdr/>
      <w:spacing w:after="0" w:before="0" w:line="240" w:lineRule="auto"/>
      <w:ind w:right="0" w:firstLine="0" w:left="0"/>
      <w:jc w:val="right"/>
      <w:rPr>
        <w:rFonts w:ascii="Noto Sans" w:hAnsi="Noto Sans" w:eastAsia="Noto Sans" w:cs="Noto Sans"/>
        <w:b w:val="0"/>
        <w:bCs w:val="0"/>
        <w:i w:val="0"/>
        <w:iCs w:val="0"/>
        <w:color w:val="4a5560"/>
        <w:sz w:val="16"/>
        <w:szCs w:val="16"/>
      </w:rPr>
    </w:pPr>
    <w:r>
      <w:rPr>
        <w:rFonts w:ascii="Noto Sans" w:hAnsi="Noto Sans" w:eastAsia="Noto Sans" w:cs="Noto Sans"/>
        <w:b w:val="0"/>
        <w:bCs w:val="0"/>
        <w:i w:val="0"/>
        <w:iCs w:val="0"/>
        <w:color w:val="4a5560"/>
        <w:sz w:val="16"/>
        <w:szCs w:val="16"/>
      </w:rPr>
      <w:fldChar w:fldCharType="begin"/>
    </w:r>
    <w:r>
      <w:rPr>
        <w:rFonts w:ascii="Noto Sans" w:hAnsi="Noto Sans" w:eastAsia="Noto Sans" w:cs="Noto Sans"/>
        <w:b w:val="0"/>
        <w:bCs w:val="0"/>
        <w:i w:val="0"/>
        <w:iCs w:val="0"/>
        <w:color w:val="4a5560"/>
        <w:sz w:val="16"/>
        <w:szCs w:val="16"/>
      </w:rPr>
      <w:instrText xml:space="preserve"> PAGE </w:instrText>
    </w:r>
    <w:r>
      <w:rPr>
        <w:rFonts w:ascii="Noto Sans" w:hAnsi="Noto Sans" w:eastAsia="Noto Sans" w:cs="Noto Sans"/>
        <w:b w:val="0"/>
        <w:bCs w:val="0"/>
        <w:i w:val="0"/>
        <w:iCs w:val="0"/>
        <w:color w:val="4a5560"/>
        <w:sz w:val="16"/>
        <w:szCs w:val="16"/>
      </w:rPr>
      <w:fldChar w:fldCharType="separate"/>
    </w:r>
    <w:r>
      <w:rPr>
        <w:rFonts w:ascii="Noto Sans" w:hAnsi="Noto Sans" w:eastAsia="Noto Sans" w:cs="Noto Sans"/>
        <w:b w:val="0"/>
        <w:bCs w:val="0"/>
        <w:i w:val="0"/>
        <w:iCs w:val="0"/>
        <w:color w:val="4a5560"/>
        <w:sz w:val="16"/>
        <w:szCs w:val="16"/>
      </w:rPr>
      <w:t xml:space="preserve">1</w:t>
    </w:r>
    <w:r>
      <w:rPr>
        <w:rFonts w:ascii="Noto Sans" w:hAnsi="Noto Sans" w:eastAsia="Noto Sans" w:cs="Noto Sans"/>
        <w:b w:val="0"/>
        <w:bCs w:val="0"/>
        <w:i w:val="0"/>
        <w:iCs w:val="0"/>
        <w:color w:val="4a5560"/>
        <w:sz w:val="16"/>
        <w:szCs w:val="16"/>
      </w:rPr>
      <w:fldChar w:fldCharType="end"/>
    </w:r>
    <w:r>
      <w:rPr>
        <w:rFonts w:ascii="Noto Sans" w:hAnsi="Noto Sans" w:eastAsia="Noto Sans" w:cs="Noto Sans"/>
        <w:b w:val="0"/>
        <w:bCs w:val="0"/>
        <w:i w:val="0"/>
        <w:iCs w:val="0"/>
        <w:color w:val="4a5560"/>
        <w:sz w:val="16"/>
        <w:szCs w:val="16"/>
      </w:rPr>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3"/>
      <w:keepNext w:val="false"/>
      <w:keepLines w:val="false"/>
      <w:pageBreakBefore w:val="false"/>
      <w:pBdr/>
      <w:spacing w:after="0" w:before="0" w:line="240" w:lineRule="auto"/>
      <w:ind w:right="0" w:firstLine="0" w:left="0"/>
      <w:jc w:val="right"/>
      <w:rPr>
        <w:rFonts w:ascii="Noto Sans" w:hAnsi="Noto Sans" w:eastAsia="Noto Sans" w:cs="Noto Sans"/>
        <w:b w:val="0"/>
        <w:bCs w:val="0"/>
        <w:i w:val="0"/>
        <w:iCs w:val="0"/>
        <w:color w:val="4a5560"/>
        <w:sz w:val="16"/>
        <w:szCs w:val="16"/>
      </w:rPr>
    </w:pPr>
    <w:r>
      <w:rPr>
        <w:rFonts w:ascii="Noto Sans" w:hAnsi="Noto Sans" w:eastAsia="Noto Sans" w:cs="Noto Sans"/>
        <w:b w:val="0"/>
        <w:bCs w:val="0"/>
        <w:i w:val="0"/>
        <w:iCs w:val="0"/>
        <w:color w:val="4a5560"/>
        <w:sz w:val="16"/>
        <w:szCs w:val="16"/>
      </w:rPr>
      <w:fldChar w:fldCharType="begin"/>
    </w:r>
    <w:r>
      <w:rPr>
        <w:rFonts w:ascii="Noto Sans" w:hAnsi="Noto Sans" w:eastAsia="Noto Sans" w:cs="Noto Sans"/>
        <w:b w:val="0"/>
        <w:bCs w:val="0"/>
        <w:i w:val="0"/>
        <w:iCs w:val="0"/>
        <w:color w:val="4a5560"/>
        <w:sz w:val="16"/>
        <w:szCs w:val="16"/>
      </w:rPr>
      <w:instrText xml:space="preserve"> PAGE </w:instrText>
    </w:r>
    <w:r>
      <w:rPr>
        <w:rFonts w:ascii="Noto Sans" w:hAnsi="Noto Sans" w:eastAsia="Noto Sans" w:cs="Noto Sans"/>
        <w:b w:val="0"/>
        <w:bCs w:val="0"/>
        <w:i w:val="0"/>
        <w:iCs w:val="0"/>
        <w:color w:val="4a5560"/>
        <w:sz w:val="16"/>
        <w:szCs w:val="16"/>
      </w:rPr>
      <w:fldChar w:fldCharType="separate"/>
    </w:r>
    <w:r>
      <w:rPr>
        <w:rFonts w:ascii="Noto Sans" w:hAnsi="Noto Sans" w:eastAsia="Noto Sans" w:cs="Noto Sans"/>
        <w:b w:val="0"/>
        <w:bCs w:val="0"/>
        <w:i w:val="0"/>
        <w:iCs w:val="0"/>
        <w:color w:val="4a5560"/>
        <w:sz w:val="16"/>
        <w:szCs w:val="16"/>
      </w:rPr>
      <w:t xml:space="preserve">1</w:t>
    </w:r>
    <w:r>
      <w:rPr>
        <w:rFonts w:ascii="Noto Sans" w:hAnsi="Noto Sans" w:eastAsia="Noto Sans" w:cs="Noto Sans"/>
        <w:b w:val="0"/>
        <w:bCs w:val="0"/>
        <w:i w:val="0"/>
        <w:iCs w:val="0"/>
        <w:color w:val="4a5560"/>
        <w:sz w:val="16"/>
        <w:szCs w:val="16"/>
      </w:rPr>
      <w:fldChar w:fldCharType="end"/>
    </w:r>
    <w:r>
      <w:rPr>
        <w:rFonts w:ascii="Noto Sans" w:hAnsi="Noto Sans" w:eastAsia="Noto Sans" w:cs="Noto Sans"/>
        <w:b w:val="0"/>
        <w:bCs w:val="0"/>
        <w:i w:val="0"/>
        <w:iCs w:val="0"/>
        <w:color w:val="4a5560"/>
        <w:sz w:val="16"/>
        <w:szCs w:val="16"/>
      </w:rPr>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3"/>
      <w:keepNext w:val="false"/>
      <w:keepLines w:val="false"/>
      <w:pageBreakBefore w:val="false"/>
      <w:pBdr/>
      <w:spacing w:after="0" w:before="0" w:line="240" w:lineRule="auto"/>
      <w:ind w:right="0" w:firstLine="0" w:left="0"/>
      <w:jc w:val="right"/>
      <w:rPr>
        <w:rFonts w:ascii="Noto Sans" w:hAnsi="Noto Sans" w:eastAsia="Noto Sans" w:cs="Noto Sans"/>
        <w:b w:val="0"/>
        <w:bCs w:val="0"/>
        <w:i w:val="0"/>
        <w:iCs w:val="0"/>
        <w:color w:val="4a5560"/>
        <w:sz w:val="16"/>
        <w:szCs w:val="16"/>
      </w:rPr>
    </w:pPr>
    <w:r>
      <w:rPr>
        <w:rFonts w:ascii="Noto Sans" w:hAnsi="Noto Sans" w:eastAsia="Noto Sans" w:cs="Noto Sans"/>
        <w:b w:val="0"/>
        <w:bCs w:val="0"/>
        <w:i w:val="0"/>
        <w:iCs w:val="0"/>
        <w:color w:val="4a5560"/>
        <w:sz w:val="16"/>
        <w:szCs w:val="16"/>
      </w:rPr>
      <w:fldChar w:fldCharType="begin"/>
    </w:r>
    <w:r>
      <w:rPr>
        <w:rFonts w:ascii="Noto Sans" w:hAnsi="Noto Sans" w:eastAsia="Noto Sans" w:cs="Noto Sans"/>
        <w:b w:val="0"/>
        <w:bCs w:val="0"/>
        <w:i w:val="0"/>
        <w:iCs w:val="0"/>
        <w:color w:val="4a5560"/>
        <w:sz w:val="16"/>
        <w:szCs w:val="16"/>
      </w:rPr>
      <w:instrText xml:space="preserve"> PAGE </w:instrText>
    </w:r>
    <w:r>
      <w:rPr>
        <w:rFonts w:ascii="Noto Sans" w:hAnsi="Noto Sans" w:eastAsia="Noto Sans" w:cs="Noto Sans"/>
        <w:b w:val="0"/>
        <w:bCs w:val="0"/>
        <w:i w:val="0"/>
        <w:iCs w:val="0"/>
        <w:color w:val="4a5560"/>
        <w:sz w:val="16"/>
        <w:szCs w:val="16"/>
      </w:rPr>
      <w:fldChar w:fldCharType="separate"/>
    </w:r>
    <w:r>
      <w:rPr>
        <w:rFonts w:ascii="Noto Sans" w:hAnsi="Noto Sans" w:eastAsia="Noto Sans" w:cs="Noto Sans"/>
        <w:b w:val="0"/>
        <w:bCs w:val="0"/>
        <w:i w:val="0"/>
        <w:iCs w:val="0"/>
        <w:color w:val="4a5560"/>
        <w:sz w:val="16"/>
        <w:szCs w:val="16"/>
      </w:rPr>
      <w:t xml:space="preserve">1</w:t>
    </w:r>
    <w:r>
      <w:rPr>
        <w:rFonts w:ascii="Noto Sans" w:hAnsi="Noto Sans" w:eastAsia="Noto Sans" w:cs="Noto Sans"/>
        <w:b w:val="0"/>
        <w:bCs w:val="0"/>
        <w:i w:val="0"/>
        <w:iCs w:val="0"/>
        <w:color w:val="4a5560"/>
        <w:sz w:val="16"/>
        <w:szCs w:val="16"/>
      </w:rPr>
      <w:fldChar w:fldCharType="end"/>
    </w:r>
    <w:r>
      <w:rPr>
        <w:rFonts w:ascii="Noto Sans" w:hAnsi="Noto Sans" w:eastAsia="Noto Sans" w:cs="Noto Sans"/>
        <w:b w:val="0"/>
        <w:bCs w:val="0"/>
        <w:i w:val="0"/>
        <w:iCs w:val="0"/>
        <w:color w:val="4a5560"/>
        <w:sz w:val="16"/>
        <w:szCs w:val="16"/>
      </w:rPr>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3"/>
      <w:keepNext w:val="false"/>
      <w:keepLines w:val="false"/>
      <w:pageBreakBefore w:val="false"/>
      <w:pBdr/>
      <w:spacing w:after="0" w:before="0" w:line="240" w:lineRule="auto"/>
      <w:ind w:right="0" w:firstLine="0" w:left="0"/>
      <w:jc w:val="right"/>
      <w:rPr>
        <w:rFonts w:ascii="Noto Sans" w:hAnsi="Noto Sans" w:eastAsia="Noto Sans" w:cs="Noto Sans"/>
        <w:b w:val="0"/>
        <w:bCs w:val="0"/>
        <w:i w:val="0"/>
        <w:iCs w:val="0"/>
        <w:color w:val="4a5560"/>
        <w:sz w:val="16"/>
        <w:szCs w:val="16"/>
      </w:rPr>
    </w:pPr>
    <w:r>
      <w:rPr>
        <w:rFonts w:ascii="Noto Sans" w:hAnsi="Noto Sans" w:eastAsia="Noto Sans" w:cs="Noto Sans"/>
        <w:b w:val="0"/>
        <w:bCs w:val="0"/>
        <w:i w:val="0"/>
        <w:iCs w:val="0"/>
        <w:color w:val="4a5560"/>
        <w:sz w:val="16"/>
        <w:szCs w:val="16"/>
      </w:rPr>
      <w:fldChar w:fldCharType="begin"/>
    </w:r>
    <w:r>
      <w:rPr>
        <w:rFonts w:ascii="Noto Sans" w:hAnsi="Noto Sans" w:eastAsia="Noto Sans" w:cs="Noto Sans"/>
        <w:b w:val="0"/>
        <w:bCs w:val="0"/>
        <w:i w:val="0"/>
        <w:iCs w:val="0"/>
        <w:color w:val="4a5560"/>
        <w:sz w:val="16"/>
        <w:szCs w:val="16"/>
      </w:rPr>
      <w:instrText xml:space="preserve"> PAGE </w:instrText>
    </w:r>
    <w:r>
      <w:rPr>
        <w:rFonts w:ascii="Noto Sans" w:hAnsi="Noto Sans" w:eastAsia="Noto Sans" w:cs="Noto Sans"/>
        <w:b w:val="0"/>
        <w:bCs w:val="0"/>
        <w:i w:val="0"/>
        <w:iCs w:val="0"/>
        <w:color w:val="4a5560"/>
        <w:sz w:val="16"/>
        <w:szCs w:val="16"/>
      </w:rPr>
      <w:fldChar w:fldCharType="separate"/>
    </w:r>
    <w:r>
      <w:rPr>
        <w:rFonts w:ascii="Noto Sans" w:hAnsi="Noto Sans" w:eastAsia="Noto Sans" w:cs="Noto Sans"/>
        <w:b w:val="0"/>
        <w:bCs w:val="0"/>
        <w:i w:val="0"/>
        <w:iCs w:val="0"/>
        <w:color w:val="4a5560"/>
        <w:sz w:val="16"/>
        <w:szCs w:val="16"/>
      </w:rPr>
      <w:t xml:space="preserve">1</w:t>
    </w:r>
    <w:r>
      <w:rPr>
        <w:rFonts w:ascii="Noto Sans" w:hAnsi="Noto Sans" w:eastAsia="Noto Sans" w:cs="Noto Sans"/>
        <w:b w:val="0"/>
        <w:bCs w:val="0"/>
        <w:i w:val="0"/>
        <w:iCs w:val="0"/>
        <w:color w:val="4a5560"/>
        <w:sz w:val="16"/>
        <w:szCs w:val="16"/>
      </w:rPr>
      <w:fldChar w:fldCharType="end"/>
    </w:r>
    <w:r>
      <w:rPr>
        <w:rFonts w:ascii="Noto Sans" w:hAnsi="Noto Sans" w:eastAsia="Noto Sans" w:cs="Noto Sans"/>
        <w:b w:val="0"/>
        <w:bCs w:val="0"/>
        <w:i w:val="0"/>
        <w:iCs w:val="0"/>
        <w:color w:val="4a5560"/>
        <w:sz w:val="16"/>
        <w:szCs w:val="16"/>
      </w:rPr>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3"/>
      <w:keepNext w:val="false"/>
      <w:keepLines w:val="false"/>
      <w:pageBreakBefore w:val="false"/>
      <w:pBdr/>
      <w:spacing w:after="0" w:before="0" w:line="240" w:lineRule="auto"/>
      <w:ind w:right="0" w:firstLine="0" w:left="0"/>
      <w:jc w:val="right"/>
      <w:rPr>
        <w:rFonts w:ascii="Noto Sans" w:hAnsi="Noto Sans" w:eastAsia="Noto Sans" w:cs="Noto Sans"/>
        <w:b w:val="0"/>
        <w:bCs w:val="0"/>
        <w:i w:val="0"/>
        <w:iCs w:val="0"/>
        <w:color w:val="4a5560"/>
        <w:sz w:val="16"/>
        <w:szCs w:val="16"/>
      </w:rPr>
    </w:pPr>
    <w:r>
      <w:rPr>
        <w:rFonts w:ascii="Noto Sans" w:hAnsi="Noto Sans" w:eastAsia="Noto Sans" w:cs="Noto Sans"/>
        <w:b w:val="0"/>
        <w:bCs w:val="0"/>
        <w:i w:val="0"/>
        <w:iCs w:val="0"/>
        <w:color w:val="4a5560"/>
        <w:sz w:val="16"/>
        <w:szCs w:val="16"/>
      </w:rPr>
      <w:fldChar w:fldCharType="begin"/>
    </w:r>
    <w:r>
      <w:rPr>
        <w:rFonts w:ascii="Noto Sans" w:hAnsi="Noto Sans" w:eastAsia="Noto Sans" w:cs="Noto Sans"/>
        <w:b w:val="0"/>
        <w:bCs w:val="0"/>
        <w:i w:val="0"/>
        <w:iCs w:val="0"/>
        <w:color w:val="4a5560"/>
        <w:sz w:val="16"/>
        <w:szCs w:val="16"/>
      </w:rPr>
      <w:instrText xml:space="preserve"> PAGE </w:instrText>
    </w:r>
    <w:r>
      <w:rPr>
        <w:rFonts w:ascii="Noto Sans" w:hAnsi="Noto Sans" w:eastAsia="Noto Sans" w:cs="Noto Sans"/>
        <w:b w:val="0"/>
        <w:bCs w:val="0"/>
        <w:i w:val="0"/>
        <w:iCs w:val="0"/>
        <w:color w:val="4a5560"/>
        <w:sz w:val="16"/>
        <w:szCs w:val="16"/>
      </w:rPr>
      <w:fldChar w:fldCharType="separate"/>
    </w:r>
    <w:r>
      <w:rPr>
        <w:rFonts w:ascii="Noto Sans" w:hAnsi="Noto Sans" w:eastAsia="Noto Sans" w:cs="Noto Sans"/>
        <w:b w:val="0"/>
        <w:bCs w:val="0"/>
        <w:i w:val="0"/>
        <w:iCs w:val="0"/>
        <w:color w:val="4a5560"/>
        <w:sz w:val="16"/>
        <w:szCs w:val="16"/>
      </w:rPr>
      <w:t xml:space="preserve">1</w:t>
    </w:r>
    <w:r>
      <w:rPr>
        <w:rFonts w:ascii="Noto Sans" w:hAnsi="Noto Sans" w:eastAsia="Noto Sans" w:cs="Noto Sans"/>
        <w:b w:val="0"/>
        <w:bCs w:val="0"/>
        <w:i w:val="0"/>
        <w:iCs w:val="0"/>
        <w:color w:val="4a5560"/>
        <w:sz w:val="16"/>
        <w:szCs w:val="16"/>
      </w:rPr>
      <w:fldChar w:fldCharType="end"/>
    </w:r>
    <w:r>
      <w:rPr>
        <w:rFonts w:ascii="Noto Sans" w:hAnsi="Noto Sans" w:eastAsia="Noto Sans" w:cs="Noto Sans"/>
        <w:b w:val="0"/>
        <w:bCs w:val="0"/>
        <w:i w:val="0"/>
        <w:iCs w:val="0"/>
        <w:color w:val="4a5560"/>
        <w:sz w:val="16"/>
        <w:szCs w:val="16"/>
      </w:rPr>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3"/>
      <w:keepNext w:val="false"/>
      <w:keepLines w:val="false"/>
      <w:pageBreakBefore w:val="false"/>
      <w:pBdr/>
      <w:spacing w:after="0" w:before="0" w:line="240" w:lineRule="auto"/>
      <w:ind w:right="0" w:firstLine="0" w:left="0"/>
      <w:jc w:val="right"/>
      <w:rPr>
        <w:rFonts w:ascii="Noto Sans" w:hAnsi="Noto Sans" w:eastAsia="Noto Sans" w:cs="Noto Sans"/>
        <w:b w:val="0"/>
        <w:bCs w:val="0"/>
        <w:i w:val="0"/>
        <w:iCs w:val="0"/>
        <w:color w:val="4a5560"/>
        <w:sz w:val="16"/>
        <w:szCs w:val="16"/>
      </w:rPr>
    </w:pPr>
    <w:r>
      <w:rPr>
        <w:rFonts w:ascii="Noto Sans" w:hAnsi="Noto Sans" w:eastAsia="Noto Sans" w:cs="Noto Sans"/>
        <w:b w:val="0"/>
        <w:bCs w:val="0"/>
        <w:i w:val="0"/>
        <w:iCs w:val="0"/>
        <w:color w:val="4a5560"/>
        <w:sz w:val="16"/>
        <w:szCs w:val="16"/>
      </w:rPr>
      <w:fldChar w:fldCharType="begin"/>
    </w:r>
    <w:r>
      <w:rPr>
        <w:rFonts w:ascii="Noto Sans" w:hAnsi="Noto Sans" w:eastAsia="Noto Sans" w:cs="Noto Sans"/>
        <w:b w:val="0"/>
        <w:bCs w:val="0"/>
        <w:i w:val="0"/>
        <w:iCs w:val="0"/>
        <w:color w:val="4a5560"/>
        <w:sz w:val="16"/>
        <w:szCs w:val="16"/>
      </w:rPr>
      <w:instrText xml:space="preserve"> PAGE </w:instrText>
    </w:r>
    <w:r>
      <w:rPr>
        <w:rFonts w:ascii="Noto Sans" w:hAnsi="Noto Sans" w:eastAsia="Noto Sans" w:cs="Noto Sans"/>
        <w:b w:val="0"/>
        <w:bCs w:val="0"/>
        <w:i w:val="0"/>
        <w:iCs w:val="0"/>
        <w:color w:val="4a5560"/>
        <w:sz w:val="16"/>
        <w:szCs w:val="16"/>
      </w:rPr>
      <w:fldChar w:fldCharType="separate"/>
    </w:r>
    <w:r>
      <w:rPr>
        <w:rFonts w:ascii="Noto Sans" w:hAnsi="Noto Sans" w:eastAsia="Noto Sans" w:cs="Noto Sans"/>
        <w:b w:val="0"/>
        <w:bCs w:val="0"/>
        <w:i w:val="0"/>
        <w:iCs w:val="0"/>
        <w:color w:val="4a5560"/>
        <w:sz w:val="16"/>
        <w:szCs w:val="16"/>
      </w:rPr>
      <w:t xml:space="preserve">1</w:t>
    </w:r>
    <w:r>
      <w:rPr>
        <w:rFonts w:ascii="Noto Sans" w:hAnsi="Noto Sans" w:eastAsia="Noto Sans" w:cs="Noto Sans"/>
        <w:b w:val="0"/>
        <w:bCs w:val="0"/>
        <w:i w:val="0"/>
        <w:iCs w:val="0"/>
        <w:color w:val="4a5560"/>
        <w:sz w:val="16"/>
        <w:szCs w:val="16"/>
      </w:rPr>
      <w:fldChar w:fldCharType="end"/>
    </w:r>
    <w:r>
      <w:rPr>
        <w:rFonts w:ascii="Noto Sans" w:hAnsi="Noto Sans" w:eastAsia="Noto Sans" w:cs="Noto Sans"/>
        <w:b w:val="0"/>
        <w:bCs w:val="0"/>
        <w:i w:val="0"/>
        <w:iCs w:val="0"/>
        <w:color w:val="4a5560"/>
        <w:sz w:val="16"/>
        <w:szCs w:val="16"/>
      </w:rPr>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3"/>
      <w:keepNext w:val="false"/>
      <w:keepLines w:val="false"/>
      <w:pageBreakBefore w:val="false"/>
      <w:pBdr/>
      <w:spacing w:after="0" w:before="0" w:line="240" w:lineRule="auto"/>
      <w:ind w:right="0" w:firstLine="0" w:left="0"/>
      <w:jc w:val="right"/>
      <w:rPr>
        <w:rFonts w:ascii="Noto Sans" w:hAnsi="Noto Sans" w:eastAsia="Noto Sans" w:cs="Noto Sans"/>
        <w:b w:val="0"/>
        <w:bCs w:val="0"/>
        <w:i w:val="0"/>
        <w:iCs w:val="0"/>
        <w:color w:val="4a5560"/>
        <w:sz w:val="16"/>
        <w:szCs w:val="16"/>
      </w:rPr>
    </w:pPr>
    <w:r>
      <w:rPr>
        <w:rFonts w:ascii="Noto Sans" w:hAnsi="Noto Sans" w:eastAsia="Noto Sans" w:cs="Noto Sans"/>
        <w:b w:val="0"/>
        <w:bCs w:val="0"/>
        <w:i w:val="0"/>
        <w:iCs w:val="0"/>
        <w:color w:val="4a5560"/>
        <w:sz w:val="16"/>
        <w:szCs w:val="16"/>
      </w:rPr>
      <w:fldChar w:fldCharType="begin"/>
    </w:r>
    <w:r>
      <w:rPr>
        <w:rFonts w:ascii="Noto Sans" w:hAnsi="Noto Sans" w:eastAsia="Noto Sans" w:cs="Noto Sans"/>
        <w:b w:val="0"/>
        <w:bCs w:val="0"/>
        <w:i w:val="0"/>
        <w:iCs w:val="0"/>
        <w:color w:val="4a5560"/>
        <w:sz w:val="16"/>
        <w:szCs w:val="16"/>
      </w:rPr>
      <w:instrText xml:space="preserve"> PAGE </w:instrText>
    </w:r>
    <w:r>
      <w:rPr>
        <w:rFonts w:ascii="Noto Sans" w:hAnsi="Noto Sans" w:eastAsia="Noto Sans" w:cs="Noto Sans"/>
        <w:b w:val="0"/>
        <w:bCs w:val="0"/>
        <w:i w:val="0"/>
        <w:iCs w:val="0"/>
        <w:color w:val="4a5560"/>
        <w:sz w:val="16"/>
        <w:szCs w:val="16"/>
      </w:rPr>
      <w:fldChar w:fldCharType="separate"/>
    </w:r>
    <w:r>
      <w:rPr>
        <w:rFonts w:ascii="Noto Sans" w:hAnsi="Noto Sans" w:eastAsia="Noto Sans" w:cs="Noto Sans"/>
        <w:b w:val="0"/>
        <w:bCs w:val="0"/>
        <w:i w:val="0"/>
        <w:iCs w:val="0"/>
        <w:color w:val="4a5560"/>
        <w:sz w:val="16"/>
        <w:szCs w:val="16"/>
      </w:rPr>
      <w:t xml:space="preserve">1</w:t>
    </w:r>
    <w:r>
      <w:rPr>
        <w:rFonts w:ascii="Noto Sans" w:hAnsi="Noto Sans" w:eastAsia="Noto Sans" w:cs="Noto Sans"/>
        <w:b w:val="0"/>
        <w:bCs w:val="0"/>
        <w:i w:val="0"/>
        <w:iCs w:val="0"/>
        <w:color w:val="4a5560"/>
        <w:sz w:val="16"/>
        <w:szCs w:val="16"/>
      </w:rPr>
      <w:fldChar w:fldCharType="end"/>
    </w:r>
    <w:r>
      <w:rPr>
        <w:rFonts w:ascii="Noto Sans" w:hAnsi="Noto Sans" w:eastAsia="Noto Sans" w:cs="Noto Sans"/>
        <w:b w:val="0"/>
        <w:bCs w:val="0"/>
        <w:i w:val="0"/>
        <w:iCs w:val="0"/>
        <w:color w:val="4a5560"/>
        <w:sz w:val="16"/>
        <w:szCs w:val="16"/>
      </w:r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1"/>
      <w:keepNext w:val="false"/>
      <w:keepLines w:val="false"/>
      <w:pageBreakBefore w:val="false"/>
      <w:pBdr/>
      <w:spacing w:after="0" w:before="0" w:line="240" w:lineRule="auto"/>
      <w:ind w:right="0" w:firstLine="0" w:left="0"/>
      <w:jc w:val="left"/>
      <w:rPr>
        <w:rFonts w:ascii="Noto Sans" w:hAnsi="Noto Sans" w:eastAsia="Noto Sans" w:cs="Noto Sans"/>
        <w:b w:val="0"/>
        <w:bCs w:val="0"/>
        <w:i w:val="0"/>
        <w:iCs w:val="0"/>
        <w:color w:val="4a5560"/>
        <w:sz w:val="16"/>
        <w:szCs w:val="16"/>
      </w:rPr>
    </w:pPr>
    <w:r>
      <w:rPr>
        <w:rFonts w:ascii="Noto Sans" w:hAnsi="Noto Sans" w:eastAsia="Noto Sans" w:cs="Noto Sans"/>
        <w:b w:val="0"/>
        <w:bCs w:val="0"/>
        <w:i w:val="0"/>
        <w:iCs w:val="0"/>
        <w:color w:val="4a5560"/>
        <w:sz w:val="16"/>
        <w:szCs w:val="16"/>
      </w:rPr>
      <w:t xml:space="preserve">Atlas | Publication Architecture</w:t>
    </w:r>
    <w:r>
      <w:rPr>
        <w:rFonts w:ascii="Noto Sans" w:hAnsi="Noto Sans" w:eastAsia="Noto Sans" w:cs="Noto Sans"/>
        <w:b w:val="0"/>
        <w:bCs w:val="0"/>
        <w:i w:val="0"/>
        <w:iCs w:val="0"/>
        <w:color w:val="4a5560"/>
        <w:sz w:val="16"/>
        <w:szCs w:val="16"/>
      </w:rP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1"/>
      <w:keepNext w:val="false"/>
      <w:keepLines w:val="false"/>
      <w:pageBreakBefore w:val="false"/>
      <w:pBdr/>
      <w:spacing w:after="0" w:before="0" w:line="240" w:lineRule="auto"/>
      <w:ind w:right="0" w:firstLine="0" w:left="0"/>
      <w:jc w:val="left"/>
      <w:rPr>
        <w:rFonts w:ascii="Noto Sans" w:hAnsi="Noto Sans" w:eastAsia="Noto Sans" w:cs="Noto Sans"/>
        <w:b w:val="0"/>
        <w:bCs w:val="0"/>
        <w:i w:val="0"/>
        <w:iCs w:val="0"/>
        <w:color w:val="4a5560"/>
        <w:sz w:val="16"/>
        <w:szCs w:val="16"/>
      </w:rPr>
    </w:pPr>
    <w:r>
      <w:rPr>
        <w:rFonts w:ascii="Noto Sans" w:hAnsi="Noto Sans" w:eastAsia="Noto Sans" w:cs="Noto Sans"/>
        <w:b w:val="0"/>
        <w:bCs w:val="0"/>
        <w:i w:val="0"/>
        <w:iCs w:val="0"/>
        <w:color w:val="4a5560"/>
        <w:sz w:val="16"/>
        <w:szCs w:val="16"/>
      </w:rPr>
      <w:t xml:space="preserve">Atlas | Publication Architecture</w:t>
    </w:r>
    <w:r>
      <w:rPr>
        <w:rFonts w:ascii="Noto Sans" w:hAnsi="Noto Sans" w:eastAsia="Noto Sans" w:cs="Noto Sans"/>
        <w:b w:val="0"/>
        <w:bCs w:val="0"/>
        <w:i w:val="0"/>
        <w:iCs w:val="0"/>
        <w:color w:val="4a5560"/>
        <w:sz w:val="16"/>
        <w:szCs w:val="16"/>
      </w:rP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1"/>
      <w:keepNext w:val="false"/>
      <w:keepLines w:val="false"/>
      <w:pageBreakBefore w:val="false"/>
      <w:pBdr/>
      <w:spacing w:after="0" w:before="0" w:line="240" w:lineRule="auto"/>
      <w:ind w:right="0" w:firstLine="0" w:left="0"/>
      <w:jc w:val="left"/>
      <w:rPr>
        <w:rFonts w:ascii="Noto Sans" w:hAnsi="Noto Sans" w:eastAsia="Noto Sans" w:cs="Noto Sans"/>
        <w:b w:val="0"/>
        <w:bCs w:val="0"/>
        <w:i w:val="0"/>
        <w:iCs w:val="0"/>
        <w:color w:val="4a5560"/>
        <w:sz w:val="16"/>
        <w:szCs w:val="16"/>
      </w:rPr>
    </w:pPr>
    <w:r>
      <w:rPr>
        <w:rFonts w:ascii="Noto Sans" w:hAnsi="Noto Sans" w:eastAsia="Noto Sans" w:cs="Noto Sans"/>
        <w:b w:val="0"/>
        <w:bCs w:val="0"/>
        <w:i w:val="0"/>
        <w:iCs w:val="0"/>
        <w:color w:val="4a5560"/>
        <w:sz w:val="16"/>
        <w:szCs w:val="16"/>
      </w:rPr>
    </w:r>
    <w:r>
      <w:rPr>
        <w:rFonts w:ascii="Noto Sans" w:hAnsi="Noto Sans" w:eastAsia="Noto Sans" w:cs="Noto Sans"/>
        <w:b w:val="0"/>
        <w:bCs w:val="0"/>
        <w:i w:val="0"/>
        <w:iCs w:val="0"/>
        <w:color w:val="4a5560"/>
        <w:sz w:val="16"/>
        <w:szCs w:val="16"/>
      </w:rPr>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1"/>
      <w:keepNext w:val="false"/>
      <w:keepLines w:val="false"/>
      <w:pageBreakBefore w:val="false"/>
      <w:pBdr/>
      <w:spacing w:after="0" w:before="0" w:line="240" w:lineRule="auto"/>
      <w:ind w:right="0" w:firstLine="0" w:left="0"/>
      <w:jc w:val="left"/>
      <w:rPr>
        <w:rFonts w:ascii="Noto Sans" w:hAnsi="Noto Sans" w:eastAsia="Noto Sans" w:cs="Noto Sans"/>
        <w:b w:val="0"/>
        <w:bCs w:val="0"/>
        <w:i w:val="0"/>
        <w:iCs w:val="0"/>
        <w:color w:val="4a5560"/>
        <w:sz w:val="16"/>
        <w:szCs w:val="16"/>
      </w:rPr>
    </w:pPr>
    <w:r>
      <w:rPr>
        <w:rFonts w:ascii="Noto Sans" w:hAnsi="Noto Sans" w:eastAsia="Noto Sans" w:cs="Noto Sans"/>
        <w:b w:val="0"/>
        <w:bCs w:val="0"/>
        <w:i w:val="0"/>
        <w:iCs w:val="0"/>
        <w:color w:val="4a5560"/>
        <w:sz w:val="16"/>
        <w:szCs w:val="16"/>
      </w:rPr>
      <w:t xml:space="preserve">Atlas | Publication Architecture</w:t>
    </w:r>
    <w:r>
      <w:rPr>
        <w:rFonts w:ascii="Noto Sans" w:hAnsi="Noto Sans" w:eastAsia="Noto Sans" w:cs="Noto Sans"/>
        <w:b w:val="0"/>
        <w:bCs w:val="0"/>
        <w:i w:val="0"/>
        <w:iCs w:val="0"/>
        <w:color w:val="4a5560"/>
        <w:sz w:val="16"/>
        <w:szCs w:val="16"/>
      </w:rPr>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1"/>
      <w:keepNext w:val="false"/>
      <w:keepLines w:val="false"/>
      <w:pageBreakBefore w:val="false"/>
      <w:pBdr/>
      <w:spacing w:after="0" w:before="0" w:line="240" w:lineRule="auto"/>
      <w:ind w:right="0" w:firstLine="0" w:left="0"/>
      <w:jc w:val="left"/>
      <w:rPr>
        <w:rFonts w:ascii="Noto Sans" w:hAnsi="Noto Sans" w:eastAsia="Noto Sans" w:cs="Noto Sans"/>
        <w:b w:val="0"/>
        <w:bCs w:val="0"/>
        <w:i w:val="0"/>
        <w:iCs w:val="0"/>
        <w:color w:val="4a5560"/>
        <w:sz w:val="16"/>
        <w:szCs w:val="16"/>
      </w:rPr>
    </w:pPr>
    <w:r>
      <w:rPr>
        <w:rFonts w:ascii="Noto Sans" w:hAnsi="Noto Sans" w:eastAsia="Noto Sans" w:cs="Noto Sans"/>
        <w:b w:val="0"/>
        <w:bCs w:val="0"/>
        <w:i w:val="0"/>
        <w:iCs w:val="0"/>
        <w:color w:val="4a5560"/>
        <w:sz w:val="16"/>
        <w:szCs w:val="16"/>
      </w:rPr>
      <w:t xml:space="preserve">Atlas | Publication Architecture</w:t>
    </w:r>
    <w:r>
      <w:rPr>
        <w:rFonts w:ascii="Noto Sans" w:hAnsi="Noto Sans" w:eastAsia="Noto Sans" w:cs="Noto Sans"/>
        <w:b w:val="0"/>
        <w:bCs w:val="0"/>
        <w:i w:val="0"/>
        <w:iCs w:val="0"/>
        <w:color w:val="4a5560"/>
        <w:sz w:val="16"/>
        <w:szCs w:val="16"/>
      </w:rPr>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1"/>
      <w:keepNext w:val="false"/>
      <w:keepLines w:val="false"/>
      <w:pageBreakBefore w:val="false"/>
      <w:pBdr/>
      <w:spacing w:after="0" w:before="0" w:line="240" w:lineRule="auto"/>
      <w:ind w:right="0" w:firstLine="0" w:left="0"/>
      <w:jc w:val="left"/>
      <w:rPr>
        <w:rFonts w:ascii="Noto Sans" w:hAnsi="Noto Sans" w:eastAsia="Noto Sans" w:cs="Noto Sans"/>
        <w:b w:val="0"/>
        <w:bCs w:val="0"/>
        <w:i w:val="0"/>
        <w:iCs w:val="0"/>
        <w:color w:val="4a5560"/>
        <w:sz w:val="16"/>
        <w:szCs w:val="16"/>
      </w:rPr>
    </w:pPr>
    <w:r>
      <w:rPr>
        <w:rFonts w:ascii="Noto Sans" w:hAnsi="Noto Sans" w:eastAsia="Noto Sans" w:cs="Noto Sans"/>
        <w:b w:val="0"/>
        <w:bCs w:val="0"/>
        <w:i w:val="0"/>
        <w:iCs w:val="0"/>
        <w:color w:val="4a5560"/>
        <w:sz w:val="16"/>
        <w:szCs w:val="16"/>
      </w:rPr>
      <w:t xml:space="preserve">Atlas | Publication Architecture</w:t>
    </w:r>
    <w:r>
      <w:rPr>
        <w:rFonts w:ascii="Noto Sans" w:hAnsi="Noto Sans" w:eastAsia="Noto Sans" w:cs="Noto Sans"/>
        <w:b w:val="0"/>
        <w:bCs w:val="0"/>
        <w:i w:val="0"/>
        <w:iCs w:val="0"/>
        <w:color w:val="4a5560"/>
        <w:sz w:val="16"/>
        <w:szCs w:val="16"/>
      </w:rPr>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1"/>
      <w:keepNext w:val="false"/>
      <w:keepLines w:val="false"/>
      <w:pageBreakBefore w:val="false"/>
      <w:pBdr/>
      <w:spacing w:after="0" w:before="0" w:line="240" w:lineRule="auto"/>
      <w:ind w:right="0" w:firstLine="0" w:left="0"/>
      <w:jc w:val="left"/>
      <w:rPr>
        <w:rFonts w:ascii="Noto Sans" w:hAnsi="Noto Sans" w:eastAsia="Noto Sans" w:cs="Noto Sans"/>
        <w:b w:val="0"/>
        <w:bCs w:val="0"/>
        <w:i w:val="0"/>
        <w:iCs w:val="0"/>
        <w:color w:val="4a5560"/>
        <w:sz w:val="16"/>
        <w:szCs w:val="16"/>
      </w:rPr>
    </w:pPr>
    <w:r>
      <w:rPr>
        <w:rFonts w:ascii="Noto Sans" w:hAnsi="Noto Sans" w:eastAsia="Noto Sans" w:cs="Noto Sans"/>
        <w:b w:val="0"/>
        <w:bCs w:val="0"/>
        <w:i w:val="0"/>
        <w:iCs w:val="0"/>
        <w:color w:val="4a5560"/>
        <w:sz w:val="16"/>
        <w:szCs w:val="16"/>
      </w:rPr>
      <w:t xml:space="preserve">Atlas | Publication Architecture</w:t>
    </w:r>
    <w:r>
      <w:rPr>
        <w:rFonts w:ascii="Noto Sans" w:hAnsi="Noto Sans" w:eastAsia="Noto Sans" w:cs="Noto Sans"/>
        <w:b w:val="0"/>
        <w:bCs w:val="0"/>
        <w:i w:val="0"/>
        <w:iCs w:val="0"/>
        <w:color w:val="4a5560"/>
        <w:sz w:val="16"/>
        <w:szCs w:val="16"/>
      </w:rPr>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1"/>
      <w:keepNext w:val="false"/>
      <w:keepLines w:val="false"/>
      <w:pageBreakBefore w:val="false"/>
      <w:pBdr/>
      <w:spacing w:after="0" w:before="0" w:line="240" w:lineRule="auto"/>
      <w:ind w:right="0" w:firstLine="0" w:left="0"/>
      <w:jc w:val="left"/>
      <w:rPr>
        <w:rFonts w:ascii="Noto Sans" w:hAnsi="Noto Sans" w:eastAsia="Noto Sans" w:cs="Noto Sans"/>
        <w:b w:val="0"/>
        <w:bCs w:val="0"/>
        <w:i w:val="0"/>
        <w:iCs w:val="0"/>
        <w:color w:val="4a5560"/>
        <w:sz w:val="16"/>
        <w:szCs w:val="16"/>
      </w:rPr>
    </w:pPr>
    <w:r>
      <w:rPr>
        <w:rFonts w:ascii="Noto Sans" w:hAnsi="Noto Sans" w:eastAsia="Noto Sans" w:cs="Noto Sans"/>
        <w:b w:val="0"/>
        <w:bCs w:val="0"/>
        <w:i w:val="0"/>
        <w:iCs w:val="0"/>
        <w:color w:val="4a5560"/>
        <w:sz w:val="16"/>
        <w:szCs w:val="16"/>
      </w:rPr>
      <w:t xml:space="preserve">Atlas | Publication Architecture</w:t>
    </w:r>
    <w:r>
      <w:rPr>
        <w:rFonts w:ascii="Noto Sans" w:hAnsi="Noto Sans" w:eastAsia="Noto Sans" w:cs="Noto Sans"/>
        <w:b w:val="0"/>
        <w:bCs w:val="0"/>
        <w:i w:val="0"/>
        <w:iCs w:val="0"/>
        <w:color w:val="4a5560"/>
        <w:sz w:val="16"/>
        <w:szCs w:val="16"/>
      </w:rPr>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1"/>
      <w:keepNext w:val="false"/>
      <w:keepLines w:val="false"/>
      <w:pageBreakBefore w:val="false"/>
      <w:pBdr/>
      <w:spacing w:after="0" w:before="0" w:line="240" w:lineRule="auto"/>
      <w:ind w:right="0" w:firstLine="0" w:left="0"/>
      <w:jc w:val="left"/>
      <w:rPr>
        <w:rFonts w:ascii="Noto Sans" w:hAnsi="Noto Sans" w:eastAsia="Noto Sans" w:cs="Noto Sans"/>
        <w:b w:val="0"/>
        <w:bCs w:val="0"/>
        <w:i w:val="0"/>
        <w:iCs w:val="0"/>
        <w:color w:val="4a5560"/>
        <w:sz w:val="16"/>
        <w:szCs w:val="16"/>
      </w:rPr>
    </w:pPr>
    <w:r>
      <w:rPr>
        <w:rFonts w:ascii="Noto Sans" w:hAnsi="Noto Sans" w:eastAsia="Noto Sans" w:cs="Noto Sans"/>
        <w:b w:val="0"/>
        <w:bCs w:val="0"/>
        <w:i w:val="0"/>
        <w:iCs w:val="0"/>
        <w:color w:val="4a5560"/>
        <w:sz w:val="16"/>
        <w:szCs w:val="16"/>
      </w:rPr>
      <w:t xml:space="preserve">Atlas | Publication Architecture</w:t>
    </w:r>
    <w:r>
      <w:rPr>
        <w:rFonts w:ascii="Noto Sans" w:hAnsi="Noto Sans" w:eastAsia="Noto Sans" w:cs="Noto Sans"/>
        <w:b w:val="0"/>
        <w:bCs w:val="0"/>
        <w:i w:val="0"/>
        <w:iCs w:val="0"/>
        <w:color w:val="4a5560"/>
        <w:sz w:val="16"/>
        <w:szCs w:val="16"/>
      </w:rPr>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1"/>
      <w:keepNext w:val="false"/>
      <w:keepLines w:val="false"/>
      <w:pageBreakBefore w:val="false"/>
      <w:pBdr/>
      <w:spacing w:after="0" w:before="0" w:line="240" w:lineRule="auto"/>
      <w:ind w:right="0" w:firstLine="0" w:left="0"/>
      <w:jc w:val="left"/>
      <w:rPr>
        <w:rFonts w:ascii="Noto Sans" w:hAnsi="Noto Sans" w:eastAsia="Noto Sans" w:cs="Noto Sans"/>
        <w:b w:val="0"/>
        <w:bCs w:val="0"/>
        <w:i w:val="0"/>
        <w:iCs w:val="0"/>
        <w:color w:val="4a5560"/>
        <w:sz w:val="16"/>
        <w:szCs w:val="16"/>
      </w:rPr>
    </w:pPr>
    <w:r>
      <w:rPr>
        <w:rFonts w:ascii="Noto Sans" w:hAnsi="Noto Sans" w:eastAsia="Noto Sans" w:cs="Noto Sans"/>
        <w:b w:val="0"/>
        <w:bCs w:val="0"/>
        <w:i w:val="0"/>
        <w:iCs w:val="0"/>
        <w:color w:val="4a5560"/>
        <w:sz w:val="16"/>
        <w:szCs w:val="16"/>
      </w:rPr>
      <w:t xml:space="preserve">Atlas | Publication Architecture</w:t>
    </w:r>
    <w:r>
      <w:rPr>
        <w:rFonts w:ascii="Noto Sans" w:hAnsi="Noto Sans" w:eastAsia="Noto Sans" w:cs="Noto Sans"/>
        <w:b w:val="0"/>
        <w:bCs w:val="0"/>
        <w:i w:val="0"/>
        <w:iCs w:val="0"/>
        <w:color w:val="4a5560"/>
        <w:sz w:val="16"/>
        <w:szCs w:val="16"/>
      </w:rPr>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1"/>
      <w:keepNext w:val="false"/>
      <w:keepLines w:val="false"/>
      <w:pageBreakBefore w:val="false"/>
      <w:pBdr/>
      <w:spacing w:after="0" w:before="0" w:line="240" w:lineRule="auto"/>
      <w:ind w:right="0" w:firstLine="0" w:left="0"/>
      <w:jc w:val="left"/>
      <w:rPr>
        <w:rFonts w:ascii="Noto Sans" w:hAnsi="Noto Sans" w:eastAsia="Noto Sans" w:cs="Noto Sans"/>
        <w:b w:val="0"/>
        <w:bCs w:val="0"/>
        <w:i w:val="0"/>
        <w:iCs w:val="0"/>
        <w:color w:val="4a5560"/>
        <w:sz w:val="16"/>
        <w:szCs w:val="16"/>
      </w:rPr>
    </w:pPr>
    <w:r>
      <w:rPr>
        <w:rFonts w:ascii="Noto Sans" w:hAnsi="Noto Sans" w:eastAsia="Noto Sans" w:cs="Noto Sans"/>
        <w:b w:val="0"/>
        <w:bCs w:val="0"/>
        <w:i w:val="0"/>
        <w:iCs w:val="0"/>
        <w:color w:val="4a5560"/>
        <w:sz w:val="16"/>
        <w:szCs w:val="16"/>
      </w:rPr>
      <w:t xml:space="preserve">Atlas | Publication Architecture</w:t>
    </w:r>
    <w:r>
      <w:rPr>
        <w:rFonts w:ascii="Noto Sans" w:hAnsi="Noto Sans" w:eastAsia="Noto Sans" w:cs="Noto Sans"/>
        <w:b w:val="0"/>
        <w:bCs w:val="0"/>
        <w:i w:val="0"/>
        <w:iCs w:val="0"/>
        <w:color w:val="4a5560"/>
        <w:sz w:val="16"/>
        <w:szCs w:val="16"/>
      </w:r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lvl w:ilvl="0">
      <w:isLgl w:val="false"/>
      <w:lvlJc w:val="left"/>
      <w:lvlText w:val="%1."/>
      <w:numFmt w:val="decimal"/>
      <w:pPr>
        <w:pBdr/>
        <w:tabs>
          <w:tab w:val="num" w:leader="none" w:pos="1800"/>
        </w:tabs>
        <w:spacing/>
        <w:ind w:hanging="360" w:left="180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
    <w:nsid w:val="FFFFFF7D"/>
    <w:lvl w:ilvl="0">
      <w:isLgl w:val="false"/>
      <w:lvlJc w:val="left"/>
      <w:lvlText w:val="%1."/>
      <w:numFmt w:val="decimal"/>
      <w:pPr>
        <w:pBdr/>
        <w:tabs>
          <w:tab w:val="num" w:leader="none" w:pos="1440"/>
        </w:tabs>
        <w:spacing/>
        <w:ind w:hanging="360" w:left="144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
    <w:nsid w:val="FFFFFF7E"/>
    <w:lvl w:ilvl="0">
      <w:isLgl w:val="false"/>
      <w:lvlJc w:val="left"/>
      <w:lvlText w:val="%1."/>
      <w:numFmt w:val="decimal"/>
      <w:pPr>
        <w:pBdr/>
        <w:tabs>
          <w:tab w:val="num" w:leader="none" w:pos="1080"/>
        </w:tabs>
        <w:spacing/>
        <w:ind w:hanging="360" w:left="1080"/>
      </w:pPr>
      <w:pStyle w:val="1170"/>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
    <w:nsid w:val="FFFFFF7F"/>
    <w:lvl w:ilvl="0">
      <w:isLgl w:val="false"/>
      <w:lvlJc w:val="left"/>
      <w:lvlText w:val="%1."/>
      <w:numFmt w:val="decimal"/>
      <w:pPr>
        <w:pBdr/>
        <w:tabs>
          <w:tab w:val="num" w:leader="none" w:pos="720"/>
        </w:tabs>
        <w:spacing/>
        <w:ind w:hanging="360" w:left="720"/>
      </w:pPr>
      <w:pStyle w:val="1169"/>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
    <w:nsid w:val="FFFFFF81"/>
    <w:lvl w:ilvl="0">
      <w:isLgl w:val="false"/>
      <w:lvlJc w:val="left"/>
      <w:lvlText w:val=""/>
      <w:numFmt w:val="bullet"/>
      <w:pPr>
        <w:pBdr/>
        <w:tabs>
          <w:tab w:val="num" w:leader="none" w:pos="1440"/>
        </w:tabs>
        <w:spacing/>
        <w:ind w:hanging="360" w:left="1440"/>
      </w:pPr>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5">
    <w:nsid w:val="FFFFFF82"/>
    <w:lvl w:ilvl="0">
      <w:isLgl w:val="false"/>
      <w:lvlJc w:val="left"/>
      <w:lvlText w:val=""/>
      <w:numFmt w:val="bullet"/>
      <w:pPr>
        <w:pBdr/>
        <w:tabs>
          <w:tab w:val="num" w:leader="none" w:pos="1080"/>
        </w:tabs>
        <w:spacing/>
        <w:ind w:hanging="360" w:left="1080"/>
      </w:pPr>
      <w:pStyle w:val="1167"/>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6">
    <w:nsid w:val="FFFFFF83"/>
    <w:lvl w:ilvl="0">
      <w:isLgl w:val="false"/>
      <w:lvlJc w:val="left"/>
      <w:lvlText w:val=""/>
      <w:numFmt w:val="bullet"/>
      <w:pPr>
        <w:pBdr/>
        <w:tabs>
          <w:tab w:val="num" w:leader="none" w:pos="720"/>
        </w:tabs>
        <w:spacing/>
        <w:ind w:hanging="360" w:left="720"/>
      </w:pPr>
      <w:pStyle w:val="1166"/>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7">
    <w:nsid w:val="FFFFFF88"/>
    <w:lvl w:ilvl="0">
      <w:isLgl w:val="false"/>
      <w:lvlJc w:val="left"/>
      <w:lvlText w:val="%1."/>
      <w:numFmt w:val="decimal"/>
      <w:pPr>
        <w:pBdr/>
        <w:tabs>
          <w:tab w:val="num" w:leader="none" w:pos="360"/>
        </w:tabs>
        <w:spacing/>
        <w:ind w:hanging="360" w:left="360"/>
      </w:pPr>
      <w:pStyle w:val="1168"/>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8">
    <w:nsid w:val="FFFFFF89"/>
    <w:lvl w:ilvl="0">
      <w:isLgl w:val="false"/>
      <w:lvlJc w:val="left"/>
      <w:lvlText w:val=""/>
      <w:numFmt w:val="bullet"/>
      <w:pPr>
        <w:pBdr/>
        <w:tabs>
          <w:tab w:val="num" w:leader="none" w:pos="360"/>
        </w:tabs>
        <w:spacing/>
        <w:ind w:hanging="360" w:left="360"/>
      </w:pPr>
      <w:pStyle w:val="1165"/>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seFELayout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989">
    <w:name w:val="Table Grid Light"/>
    <w:basedOn w:val="114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0">
    <w:name w:val="Plain Table 1"/>
    <w:basedOn w:val="114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1">
    <w:name w:val="Plain Table 2"/>
    <w:basedOn w:val="114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2">
    <w:name w:val="Plain Table 3"/>
    <w:basedOn w:val="114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3">
    <w:name w:val="Plain Table 4"/>
    <w:basedOn w:val="114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4">
    <w:name w:val="Plain Table 5"/>
    <w:basedOn w:val="114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5">
    <w:name w:val="Grid Table 1 Light"/>
    <w:basedOn w:val="114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6">
    <w:name w:val="Grid Table 1 Light - Accent 1"/>
    <w:basedOn w:val="114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7">
    <w:name w:val="Grid Table 1 Light - Accent 2"/>
    <w:basedOn w:val="114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8">
    <w:name w:val="Grid Table 1 Light - Accent 3"/>
    <w:basedOn w:val="114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9">
    <w:name w:val="Grid Table 1 Light - Accent 4"/>
    <w:basedOn w:val="114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0">
    <w:name w:val="Grid Table 1 Light - Accent 5"/>
    <w:basedOn w:val="114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1">
    <w:name w:val="Grid Table 1 Light - Accent 6"/>
    <w:basedOn w:val="114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2">
    <w:name w:val="Grid Table 2"/>
    <w:basedOn w:val="114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3">
    <w:name w:val="Grid Table 2 - Accent 1"/>
    <w:basedOn w:val="114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4">
    <w:name w:val="Grid Table 2 - Accent 2"/>
    <w:basedOn w:val="114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5">
    <w:name w:val="Grid Table 2 - Accent 3"/>
    <w:basedOn w:val="114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6">
    <w:name w:val="Grid Table 2 - Accent 4"/>
    <w:basedOn w:val="114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7">
    <w:name w:val="Grid Table 2 - Accent 5"/>
    <w:basedOn w:val="114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8">
    <w:name w:val="Grid Table 2 - Accent 6"/>
    <w:basedOn w:val="114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9">
    <w:name w:val="Grid Table 3"/>
    <w:basedOn w:val="114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0">
    <w:name w:val="Grid Table 3 - Accent 1"/>
    <w:basedOn w:val="114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1">
    <w:name w:val="Grid Table 3 - Accent 2"/>
    <w:basedOn w:val="114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2">
    <w:name w:val="Grid Table 3 - Accent 3"/>
    <w:basedOn w:val="114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3">
    <w:name w:val="Grid Table 3 - Accent 4"/>
    <w:basedOn w:val="114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4">
    <w:name w:val="Grid Table 3 - Accent 5"/>
    <w:basedOn w:val="114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5">
    <w:name w:val="Grid Table 3 - Accent 6"/>
    <w:basedOn w:val="114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6">
    <w:name w:val="Grid Table 4"/>
    <w:basedOn w:val="114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7">
    <w:name w:val="Grid Table 4 - Accent 1"/>
    <w:basedOn w:val="114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8">
    <w:name w:val="Grid Table 4 - Accent 2"/>
    <w:basedOn w:val="114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9">
    <w:name w:val="Grid Table 4 - Accent 3"/>
    <w:basedOn w:val="114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0">
    <w:name w:val="Grid Table 4 - Accent 4"/>
    <w:basedOn w:val="114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1">
    <w:name w:val="Grid Table 4 - Accent 5"/>
    <w:basedOn w:val="114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2">
    <w:name w:val="Grid Table 4 - Accent 6"/>
    <w:basedOn w:val="114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3">
    <w:name w:val="Grid Table 5 Dark"/>
    <w:basedOn w:val="114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4">
    <w:name w:val="Grid Table 5 Dark- Accent 1"/>
    <w:basedOn w:val="114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5">
    <w:name w:val="Grid Table 5 Dark - Accent 2"/>
    <w:basedOn w:val="114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6">
    <w:name w:val="Grid Table 5 Dark - Accent 3"/>
    <w:basedOn w:val="114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7">
    <w:name w:val="Grid Table 5 Dark- Accent 4"/>
    <w:basedOn w:val="114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8">
    <w:name w:val="Grid Table 5 Dark - Accent 5"/>
    <w:basedOn w:val="114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9">
    <w:name w:val="Grid Table 5 Dark - Accent 6"/>
    <w:basedOn w:val="114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0">
    <w:name w:val="Grid Table 6 Colorful"/>
    <w:basedOn w:val="114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1031">
    <w:name w:val="Grid Table 6 Colorful - Accent 1"/>
    <w:basedOn w:val="114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1032">
    <w:name w:val="Grid Table 6 Colorful - Accent 2"/>
    <w:basedOn w:val="114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1033">
    <w:name w:val="Grid Table 6 Colorful - Accent 3"/>
    <w:basedOn w:val="114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1034">
    <w:name w:val="Grid Table 6 Colorful - Accent 4"/>
    <w:basedOn w:val="114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1035">
    <w:name w:val="Grid Table 6 Colorful - Accent 5"/>
    <w:basedOn w:val="114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036">
    <w:name w:val="Grid Table 6 Colorful - Accent 6"/>
    <w:basedOn w:val="114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037">
    <w:name w:val="Grid Table 7 Colorful"/>
    <w:basedOn w:val="114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Grid Table 7 Colorful - Accent 1"/>
    <w:basedOn w:val="114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Grid Table 7 Colorful - Accent 2"/>
    <w:basedOn w:val="114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Grid Table 7 Colorful - Accent 3"/>
    <w:basedOn w:val="114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Grid Table 7 Colorful - Accent 4"/>
    <w:basedOn w:val="114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Grid Table 7 Colorful - Accent 5"/>
    <w:basedOn w:val="114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name w:val="Grid Table 7 Colorful - Accent 6"/>
    <w:basedOn w:val="114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name w:val="List Table 1 Light"/>
    <w:basedOn w:val="114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name w:val="List Table 1 Light - Accent 1"/>
    <w:basedOn w:val="114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name w:val="List Table 1 Light - Accent 2"/>
    <w:basedOn w:val="114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name w:val="List Table 1 Light - Accent 3"/>
    <w:basedOn w:val="114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name w:val="List Table 1 Light - Accent 4"/>
    <w:basedOn w:val="114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name w:val="List Table 1 Light - Accent 5"/>
    <w:basedOn w:val="114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name w:val="List Table 1 Light - Accent 6"/>
    <w:basedOn w:val="114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name w:val="List Table 2"/>
    <w:basedOn w:val="114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name w:val="List Table 2 - Accent 1"/>
    <w:basedOn w:val="114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name w:val="List Table 2 - Accent 2"/>
    <w:basedOn w:val="114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name w:val="List Table 2 - Accent 3"/>
    <w:basedOn w:val="114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name w:val="List Table 2 - Accent 4"/>
    <w:basedOn w:val="114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name w:val="List Table 2 - Accent 5"/>
    <w:basedOn w:val="114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name w:val="List Table 2 - Accent 6"/>
    <w:basedOn w:val="114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name w:val="List Table 3"/>
    <w:basedOn w:val="114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name w:val="List Table 3 - Accent 1"/>
    <w:basedOn w:val="114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name w:val="List Table 3 - Accent 2"/>
    <w:basedOn w:val="114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name w:val="List Table 3 - Accent 3"/>
    <w:basedOn w:val="114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2">
    <w:name w:val="List Table 3 - Accent 4"/>
    <w:basedOn w:val="114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3">
    <w:name w:val="List Table 3 - Accent 5"/>
    <w:basedOn w:val="114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4">
    <w:name w:val="List Table 3 - Accent 6"/>
    <w:basedOn w:val="114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5">
    <w:name w:val="List Table 4"/>
    <w:basedOn w:val="114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6">
    <w:name w:val="List Table 4 - Accent 1"/>
    <w:basedOn w:val="114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7">
    <w:name w:val="List Table 4 - Accent 2"/>
    <w:basedOn w:val="114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8">
    <w:name w:val="List Table 4 - Accent 3"/>
    <w:basedOn w:val="114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9">
    <w:name w:val="List Table 4 - Accent 4"/>
    <w:basedOn w:val="114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0">
    <w:name w:val="List Table 4 - Accent 5"/>
    <w:basedOn w:val="114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1">
    <w:name w:val="List Table 4 - Accent 6"/>
    <w:basedOn w:val="114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2">
    <w:name w:val="List Table 5 Dark"/>
    <w:basedOn w:val="114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73">
    <w:name w:val="List Table 5 Dark - Accent 1"/>
    <w:basedOn w:val="114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74">
    <w:name w:val="List Table 5 Dark - Accent 2"/>
    <w:basedOn w:val="114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75">
    <w:name w:val="List Table 5 Dark - Accent 3"/>
    <w:basedOn w:val="114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76">
    <w:name w:val="List Table 5 Dark - Accent 4"/>
    <w:basedOn w:val="114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77">
    <w:name w:val="List Table 5 Dark - Accent 5"/>
    <w:basedOn w:val="114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78">
    <w:name w:val="List Table 5 Dark - Accent 6"/>
    <w:basedOn w:val="114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79">
    <w:name w:val="List Table 6 Colorful"/>
    <w:basedOn w:val="114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0">
    <w:name w:val="List Table 6 Colorful - Accent 1"/>
    <w:basedOn w:val="114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1">
    <w:name w:val="List Table 6 Colorful - Accent 2"/>
    <w:basedOn w:val="114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2">
    <w:name w:val="List Table 6 Colorful - Accent 3"/>
    <w:basedOn w:val="114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3">
    <w:name w:val="List Table 6 Colorful - Accent 4"/>
    <w:basedOn w:val="114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4">
    <w:name w:val="List Table 6 Colorful - Accent 5"/>
    <w:basedOn w:val="114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5">
    <w:name w:val="List Table 6 Colorful - Accent 6"/>
    <w:basedOn w:val="114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6">
    <w:name w:val="List Table 7 Colorful"/>
    <w:basedOn w:val="114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087">
    <w:name w:val="List Table 7 Colorful - Accent 1"/>
    <w:basedOn w:val="114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088">
    <w:name w:val="List Table 7 Colorful - Accent 2"/>
    <w:basedOn w:val="114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089">
    <w:name w:val="List Table 7 Colorful - Accent 3"/>
    <w:basedOn w:val="114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090">
    <w:name w:val="List Table 7 Colorful - Accent 4"/>
    <w:basedOn w:val="114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091">
    <w:name w:val="List Table 7 Colorful - Accent 5"/>
    <w:basedOn w:val="114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092">
    <w:name w:val="List Table 7 Colorful - Accent 6"/>
    <w:basedOn w:val="114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093">
    <w:name w:val="Lined - Accent"/>
    <w:basedOn w:val="114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4">
    <w:name w:val="Lined - Accent 1"/>
    <w:basedOn w:val="114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5">
    <w:name w:val="Lined - Accent 2"/>
    <w:basedOn w:val="114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6">
    <w:name w:val="Lined - Accent 3"/>
    <w:basedOn w:val="114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7">
    <w:name w:val="Lined - Accent 4"/>
    <w:basedOn w:val="114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8">
    <w:name w:val="Lined - Accent 5"/>
    <w:basedOn w:val="114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9">
    <w:name w:val="Lined - Accent 6"/>
    <w:basedOn w:val="114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0">
    <w:name w:val="Bordered &amp; Lined - Accent"/>
    <w:basedOn w:val="114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1">
    <w:name w:val="Bordered &amp; Lined - Accent 1"/>
    <w:basedOn w:val="114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2">
    <w:name w:val="Bordered &amp; Lined - Accent 2"/>
    <w:basedOn w:val="114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3">
    <w:name w:val="Bordered &amp; Lined - Accent 3"/>
    <w:basedOn w:val="114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4">
    <w:name w:val="Bordered &amp; Lined - Accent 4"/>
    <w:basedOn w:val="114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5">
    <w:name w:val="Bordered &amp; Lined - Accent 5"/>
    <w:basedOn w:val="114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6">
    <w:name w:val="Bordered &amp; Lined - Accent 6"/>
    <w:basedOn w:val="114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7">
    <w:name w:val="Bordered"/>
    <w:basedOn w:val="114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8">
    <w:name w:val="Bordered - Accent 1"/>
    <w:basedOn w:val="114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9">
    <w:name w:val="Bordered - Accent 2"/>
    <w:basedOn w:val="114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0">
    <w:name w:val="Bordered - Accent 3"/>
    <w:basedOn w:val="114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1">
    <w:name w:val="Bordered - Accent 4"/>
    <w:basedOn w:val="114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2">
    <w:name w:val="Bordered - Accent 5"/>
    <w:basedOn w:val="114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3">
    <w:name w:val="Bordered - Accent 6"/>
    <w:basedOn w:val="114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114">
    <w:name w:val="footnote text"/>
    <w:basedOn w:val="1130"/>
    <w:link w:val="1115"/>
    <w:uiPriority w:val="99"/>
    <w:semiHidden/>
    <w:unhideWhenUsed/>
    <w:pPr>
      <w:pBdr/>
      <w:spacing w:after="0" w:line="240" w:lineRule="auto"/>
      <w:ind/>
    </w:pPr>
    <w:rPr>
      <w:sz w:val="20"/>
      <w:szCs w:val="20"/>
    </w:rPr>
  </w:style>
  <w:style w:type="character" w:styleId="1115">
    <w:name w:val="Footnote Text Char"/>
    <w:basedOn w:val="1144"/>
    <w:link w:val="1114"/>
    <w:uiPriority w:val="99"/>
    <w:semiHidden/>
    <w:pPr>
      <w:pBdr/>
      <w:spacing/>
      <w:ind/>
    </w:pPr>
    <w:rPr>
      <w:sz w:val="20"/>
      <w:szCs w:val="20"/>
    </w:rPr>
  </w:style>
  <w:style w:type="character" w:styleId="1116">
    <w:name w:val="footnote reference"/>
    <w:basedOn w:val="1144"/>
    <w:uiPriority w:val="99"/>
    <w:semiHidden/>
    <w:unhideWhenUsed/>
    <w:pPr>
      <w:pBdr/>
      <w:spacing/>
      <w:ind/>
    </w:pPr>
    <w:rPr>
      <w:vertAlign w:val="superscript"/>
    </w:rPr>
  </w:style>
  <w:style w:type="paragraph" w:styleId="1117">
    <w:name w:val="endnote text"/>
    <w:basedOn w:val="1130"/>
    <w:link w:val="1118"/>
    <w:uiPriority w:val="99"/>
    <w:semiHidden/>
    <w:unhideWhenUsed/>
    <w:pPr>
      <w:pBdr/>
      <w:spacing w:after="0" w:line="240" w:lineRule="auto"/>
      <w:ind/>
    </w:pPr>
    <w:rPr>
      <w:sz w:val="20"/>
      <w:szCs w:val="20"/>
    </w:rPr>
  </w:style>
  <w:style w:type="character" w:styleId="1118">
    <w:name w:val="Endnote Text Char"/>
    <w:basedOn w:val="1144"/>
    <w:link w:val="1117"/>
    <w:uiPriority w:val="99"/>
    <w:semiHidden/>
    <w:pPr>
      <w:pBdr/>
      <w:spacing/>
      <w:ind/>
    </w:pPr>
    <w:rPr>
      <w:sz w:val="20"/>
      <w:szCs w:val="20"/>
    </w:rPr>
  </w:style>
  <w:style w:type="character" w:styleId="1119">
    <w:name w:val="endnote reference"/>
    <w:basedOn w:val="1144"/>
    <w:uiPriority w:val="99"/>
    <w:semiHidden/>
    <w:unhideWhenUsed/>
    <w:pPr>
      <w:pBdr/>
      <w:spacing/>
      <w:ind/>
    </w:pPr>
    <w:rPr>
      <w:vertAlign w:val="superscript"/>
    </w:rPr>
  </w:style>
  <w:style w:type="character" w:styleId="1120">
    <w:name w:val="Hyperlink"/>
    <w:basedOn w:val="1144"/>
    <w:uiPriority w:val="99"/>
    <w:unhideWhenUsed/>
    <w:pPr>
      <w:pBdr/>
      <w:spacing/>
      <w:ind/>
    </w:pPr>
    <w:rPr>
      <w:color w:val="0563c1" w:themeColor="hyperlink"/>
      <w:u w:val="single"/>
    </w:rPr>
  </w:style>
  <w:style w:type="character" w:styleId="1121">
    <w:name w:val="FollowedHyperlink"/>
    <w:basedOn w:val="1144"/>
    <w:uiPriority w:val="99"/>
    <w:semiHidden/>
    <w:unhideWhenUsed/>
    <w:pPr>
      <w:pBdr/>
      <w:spacing/>
      <w:ind/>
    </w:pPr>
    <w:rPr>
      <w:color w:val="954f72" w:themeColor="followedHyperlink"/>
      <w:u w:val="single"/>
    </w:rPr>
  </w:style>
  <w:style w:type="paragraph" w:styleId="1122">
    <w:name w:val="toc 4"/>
    <w:basedOn w:val="1130"/>
    <w:next w:val="1130"/>
    <w:uiPriority w:val="39"/>
    <w:unhideWhenUsed/>
    <w:pPr>
      <w:pBdr/>
      <w:spacing w:after="100"/>
      <w:ind w:left="660"/>
    </w:pPr>
  </w:style>
  <w:style w:type="paragraph" w:styleId="1123">
    <w:name w:val="toc 5"/>
    <w:basedOn w:val="1130"/>
    <w:next w:val="1130"/>
    <w:uiPriority w:val="39"/>
    <w:unhideWhenUsed/>
    <w:pPr>
      <w:pBdr/>
      <w:spacing w:after="100"/>
      <w:ind w:left="880"/>
    </w:pPr>
  </w:style>
  <w:style w:type="paragraph" w:styleId="1124">
    <w:name w:val="toc 6"/>
    <w:basedOn w:val="1130"/>
    <w:next w:val="1130"/>
    <w:uiPriority w:val="39"/>
    <w:unhideWhenUsed/>
    <w:pPr>
      <w:pBdr/>
      <w:spacing w:after="100"/>
      <w:ind w:left="1100"/>
    </w:pPr>
  </w:style>
  <w:style w:type="paragraph" w:styleId="1125">
    <w:name w:val="toc 7"/>
    <w:basedOn w:val="1130"/>
    <w:next w:val="1130"/>
    <w:uiPriority w:val="39"/>
    <w:unhideWhenUsed/>
    <w:pPr>
      <w:pBdr/>
      <w:spacing w:after="100"/>
      <w:ind w:left="1320"/>
    </w:pPr>
  </w:style>
  <w:style w:type="paragraph" w:styleId="1126">
    <w:name w:val="toc 8"/>
    <w:basedOn w:val="1130"/>
    <w:next w:val="1130"/>
    <w:uiPriority w:val="39"/>
    <w:unhideWhenUsed/>
    <w:pPr>
      <w:pBdr/>
      <w:spacing w:after="100"/>
      <w:ind w:left="1540"/>
    </w:pPr>
  </w:style>
  <w:style w:type="paragraph" w:styleId="1127">
    <w:name w:val="toc 9"/>
    <w:basedOn w:val="1130"/>
    <w:next w:val="1130"/>
    <w:uiPriority w:val="39"/>
    <w:unhideWhenUsed/>
    <w:pPr>
      <w:pBdr/>
      <w:spacing w:after="100"/>
      <w:ind w:left="1760"/>
    </w:pPr>
  </w:style>
  <w:style w:type="character" w:styleId="1128">
    <w:name w:val="Placeholder Text"/>
    <w:basedOn w:val="1144"/>
    <w:uiPriority w:val="99"/>
    <w:semiHidden/>
    <w:pPr>
      <w:pBdr/>
      <w:spacing/>
      <w:ind/>
    </w:pPr>
    <w:rPr>
      <w:color w:val="666666"/>
    </w:rPr>
  </w:style>
  <w:style w:type="paragraph" w:styleId="1129">
    <w:name w:val="table of figures"/>
    <w:basedOn w:val="1130"/>
    <w:next w:val="1130"/>
    <w:uiPriority w:val="99"/>
    <w:unhideWhenUsed/>
    <w:pPr>
      <w:pBdr/>
      <w:spacing w:after="0" w:afterAutospacing="0"/>
      <w:ind/>
    </w:pPr>
  </w:style>
  <w:style w:type="paragraph" w:styleId="1130" w:default="1">
    <w:name w:val="Normal"/>
    <w:qFormat/>
    <w:pPr>
      <w:widowControl w:val="true"/>
      <w:pBdr/>
      <w:spacing w:after="70" w:line="259" w:lineRule="auto"/>
      <w:ind/>
    </w:pPr>
    <w:rPr>
      <w:rFonts w:ascii="Noto Serif" w:hAnsi="Noto Serif" w:eastAsia="Noto Serif" w:cs="Noto Serif"/>
      <w:color w:val="1f2326"/>
      <w:sz w:val="18"/>
      <w:szCs w:val="18"/>
    </w:rPr>
  </w:style>
  <w:style w:type="paragraph" w:styleId="1131">
    <w:name w:val="Header"/>
    <w:basedOn w:val="1130"/>
    <w:link w:val="1132"/>
    <w:uiPriority w:val="99"/>
    <w:unhideWhenUsed/>
    <w:pPr>
      <w:pBdr/>
      <w:tabs>
        <w:tab w:val="center" w:leader="none" w:pos="4680"/>
        <w:tab w:val="right" w:leader="none" w:pos="9360"/>
      </w:tabs>
      <w:spacing w:after="0" w:line="240" w:lineRule="auto"/>
      <w:ind/>
    </w:pPr>
    <w:rPr>
      <w:rFonts w:ascii="Noto Serif" w:hAnsi="Noto Serif" w:eastAsia="Noto Serif" w:cs="Noto Serif"/>
      <w:sz w:val="16"/>
      <w:szCs w:val="16"/>
    </w:rPr>
  </w:style>
  <w:style w:type="character" w:styleId="1132" w:customStyle="1">
    <w:name w:val="Header Char"/>
    <w:basedOn w:val="1144"/>
    <w:link w:val="1131"/>
    <w:uiPriority w:val="99"/>
    <w:pPr>
      <w:pBdr/>
      <w:spacing/>
      <w:ind/>
    </w:pPr>
    <w:rPr>
      <w:rFonts w:ascii="Noto Serif" w:hAnsi="Noto Serif" w:eastAsia="Noto Serif" w:cs="Noto Serif"/>
      <w:sz w:val="16"/>
      <w:szCs w:val="16"/>
    </w:rPr>
  </w:style>
  <w:style w:type="paragraph" w:styleId="1133">
    <w:name w:val="Footer"/>
    <w:basedOn w:val="1130"/>
    <w:link w:val="1134"/>
    <w:uiPriority w:val="99"/>
    <w:unhideWhenUsed/>
    <w:pPr>
      <w:pBdr/>
      <w:tabs>
        <w:tab w:val="center" w:leader="none" w:pos="4680"/>
        <w:tab w:val="right" w:leader="none" w:pos="9360"/>
      </w:tabs>
      <w:spacing w:after="0" w:line="240" w:lineRule="auto"/>
      <w:ind/>
    </w:pPr>
    <w:rPr>
      <w:rFonts w:ascii="Noto Serif" w:hAnsi="Noto Serif" w:eastAsia="Noto Serif" w:cs="Noto Serif"/>
      <w:color w:val="464e52"/>
      <w:sz w:val="16"/>
      <w:szCs w:val="16"/>
    </w:rPr>
  </w:style>
  <w:style w:type="character" w:styleId="1134" w:customStyle="1">
    <w:name w:val="Footer Char"/>
    <w:basedOn w:val="1144"/>
    <w:link w:val="1133"/>
    <w:uiPriority w:val="99"/>
    <w:pPr>
      <w:pBdr/>
      <w:spacing/>
      <w:ind/>
    </w:pPr>
    <w:rPr>
      <w:rFonts w:ascii="Noto Serif" w:hAnsi="Noto Serif" w:eastAsia="Noto Serif" w:cs="Noto Serif"/>
      <w:sz w:val="16"/>
      <w:szCs w:val="16"/>
    </w:rPr>
  </w:style>
  <w:style w:type="paragraph" w:styleId="1135">
    <w:name w:val="Heading 1"/>
    <w:basedOn w:val="1130"/>
    <w:next w:val="1130"/>
    <w:link w:val="1148"/>
    <w:uiPriority w:val="9"/>
    <w:qFormat/>
    <w:pPr>
      <w:keepNext w:val="true"/>
      <w:keepLines w:val="true"/>
      <w:pageBreakBefore w:val="true"/>
      <w:pBdr/>
      <w:spacing w:after="70" w:before="200"/>
      <w:ind/>
      <w:outlineLvl w:val="0"/>
    </w:pPr>
    <w:rPr>
      <w:rFonts w:ascii="Noto Sans" w:hAnsi="Noto Sans" w:eastAsia="Noto Sans" w:cs="Noto Sans"/>
      <w:b/>
      <w:bCs/>
      <w:color w:val="163f52"/>
      <w:sz w:val="28"/>
      <w:szCs w:val="28"/>
    </w:rPr>
  </w:style>
  <w:style w:type="paragraph" w:styleId="1136">
    <w:name w:val="Heading 2"/>
    <w:basedOn w:val="1130"/>
    <w:next w:val="1130"/>
    <w:link w:val="1149"/>
    <w:uiPriority w:val="9"/>
    <w:unhideWhenUsed/>
    <w:qFormat/>
    <w:pPr>
      <w:keepNext w:val="true"/>
      <w:keepLines w:val="true"/>
      <w:pBdr/>
      <w:spacing w:after="70" w:before="140"/>
      <w:ind/>
      <w:outlineLvl w:val="1"/>
    </w:pPr>
    <w:rPr>
      <w:rFonts w:ascii="Noto Sans" w:hAnsi="Noto Sans" w:eastAsia="Noto Sans" w:cs="Noto Sans"/>
      <w:b/>
      <w:bCs/>
      <w:color w:val="163f52"/>
      <w:sz w:val="22"/>
      <w:szCs w:val="22"/>
    </w:rPr>
  </w:style>
  <w:style w:type="paragraph" w:styleId="1137">
    <w:name w:val="Heading 3"/>
    <w:basedOn w:val="1130"/>
    <w:next w:val="1130"/>
    <w:link w:val="1150"/>
    <w:uiPriority w:val="9"/>
    <w:unhideWhenUsed/>
    <w:qFormat/>
    <w:pPr>
      <w:keepNext w:val="true"/>
      <w:keepLines w:val="true"/>
      <w:pBdr/>
      <w:spacing w:after="70" w:before="140"/>
      <w:ind/>
      <w:outlineLvl w:val="2"/>
    </w:pPr>
    <w:rPr>
      <w:rFonts w:ascii="Noto Sans" w:hAnsi="Noto Sans" w:eastAsia="Noto Sans" w:cs="Noto Sans"/>
      <w:b/>
      <w:bCs/>
      <w:color w:val="163f52"/>
      <w:sz w:val="20"/>
      <w:szCs w:val="20"/>
    </w:rPr>
  </w:style>
  <w:style w:type="paragraph" w:styleId="1138">
    <w:name w:val="Heading 4"/>
    <w:basedOn w:val="1130"/>
    <w:next w:val="1130"/>
    <w:link w:val="1178"/>
    <w:uiPriority w:val="9"/>
    <w:semiHidden/>
    <w:unhideWhenUsed/>
    <w:qFormat/>
    <w:pPr>
      <w:keepNext w:val="true"/>
      <w:keepLines w:val="true"/>
      <w:pBdr/>
      <w:spacing w:after="70" w:before="140"/>
      <w:ind/>
      <w:outlineLvl w:val="3"/>
    </w:pPr>
    <w:rPr>
      <w:rFonts w:ascii="Noto Sans" w:hAnsi="Noto Sans" w:eastAsia="Noto Sans" w:cs="Noto Sans"/>
      <w:b/>
      <w:bCs/>
      <w:color w:val="163f52"/>
      <w:sz w:val="18"/>
      <w:szCs w:val="18"/>
    </w:rPr>
  </w:style>
  <w:style w:type="paragraph" w:styleId="1139">
    <w:name w:val="Heading 5"/>
    <w:basedOn w:val="1130"/>
    <w:next w:val="1130"/>
    <w:link w:val="1179"/>
    <w:uiPriority w:val="9"/>
    <w:semiHidden/>
    <w:unhideWhenUsed/>
    <w:qFormat/>
    <w:pPr>
      <w:keepNext w:val="true"/>
      <w:keepLines w:val="true"/>
      <w:pBdr/>
      <w:spacing w:after="0" w:before="200"/>
      <w:ind/>
      <w:outlineLvl w:val="4"/>
    </w:pPr>
    <w:rPr>
      <w:rFonts w:asciiTheme="majorHAnsi" w:hAnsiTheme="majorHAnsi" w:eastAsiaTheme="majorEastAsia" w:cstheme="majorBidi"/>
      <w:color w:val="243f60" w:themeColor="accent1" w:themeShade="7F"/>
    </w:rPr>
  </w:style>
  <w:style w:type="paragraph" w:styleId="1140">
    <w:name w:val="Heading 6"/>
    <w:basedOn w:val="1130"/>
    <w:next w:val="1130"/>
    <w:link w:val="1180"/>
    <w:uiPriority w:val="9"/>
    <w:semiHidden/>
    <w:unhideWhenUsed/>
    <w:qFormat/>
    <w:pPr>
      <w:keepNext w:val="true"/>
      <w:keepLines w:val="true"/>
      <w:pBdr/>
      <w:spacing w:after="0" w:before="200"/>
      <w:ind/>
      <w:outlineLvl w:val="5"/>
    </w:pPr>
    <w:rPr>
      <w:rFonts w:asciiTheme="majorHAnsi" w:hAnsiTheme="majorHAnsi" w:eastAsiaTheme="majorEastAsia" w:cstheme="majorBidi"/>
      <w:i/>
      <w:iCs/>
      <w:color w:val="243f60" w:themeColor="accent1" w:themeShade="7F"/>
    </w:rPr>
  </w:style>
  <w:style w:type="paragraph" w:styleId="1141">
    <w:name w:val="Heading 7"/>
    <w:basedOn w:val="1130"/>
    <w:next w:val="1130"/>
    <w:link w:val="1181"/>
    <w:uiPriority w:val="9"/>
    <w:semiHidden/>
    <w:unhideWhenUsed/>
    <w:qFormat/>
    <w:pPr>
      <w:keepNext w:val="true"/>
      <w:keepLines w:val="true"/>
      <w:pBdr/>
      <w:spacing w:after="0" w:before="200"/>
      <w:ind/>
      <w:outlineLvl w:val="6"/>
    </w:pPr>
    <w:rPr>
      <w:rFonts w:asciiTheme="majorHAnsi" w:hAnsiTheme="majorHAnsi" w:eastAsiaTheme="majorEastAsia" w:cstheme="majorBidi"/>
      <w:i/>
      <w:iCs/>
      <w:color w:val="404040" w:themeColor="text1" w:themeTint="BF"/>
    </w:rPr>
  </w:style>
  <w:style w:type="paragraph" w:styleId="1142">
    <w:name w:val="Heading 8"/>
    <w:basedOn w:val="1130"/>
    <w:next w:val="1130"/>
    <w:link w:val="1182"/>
    <w:uiPriority w:val="9"/>
    <w:semiHidden/>
    <w:unhideWhenUsed/>
    <w:qFormat/>
    <w:pPr>
      <w:keepNext w:val="true"/>
      <w:keepLines w:val="true"/>
      <w:pBdr/>
      <w:spacing w:after="0" w:before="200"/>
      <w:ind/>
      <w:outlineLvl w:val="7"/>
    </w:pPr>
    <w:rPr>
      <w:rFonts w:asciiTheme="majorHAnsi" w:hAnsiTheme="majorHAnsi" w:eastAsiaTheme="majorEastAsia" w:cstheme="majorBidi"/>
      <w:color w:val="4f81bd" w:themeColor="accent1"/>
      <w:sz w:val="20"/>
      <w:szCs w:val="20"/>
    </w:rPr>
  </w:style>
  <w:style w:type="paragraph" w:styleId="1143">
    <w:name w:val="Heading 9"/>
    <w:basedOn w:val="1130"/>
    <w:next w:val="1130"/>
    <w:link w:val="1183"/>
    <w:uiPriority w:val="9"/>
    <w:semiHidden/>
    <w:unhideWhenUsed/>
    <w:qFormat/>
    <w:pPr>
      <w:keepNext w:val="true"/>
      <w:keepLines w:val="true"/>
      <w:pBdr/>
      <w:spacing w:after="0" w:before="200"/>
      <w:ind/>
      <w:outlineLvl w:val="8"/>
    </w:pPr>
    <w:rPr>
      <w:rFonts w:asciiTheme="majorHAnsi" w:hAnsiTheme="majorHAnsi" w:eastAsiaTheme="majorEastAsia" w:cstheme="majorBidi"/>
      <w:i/>
      <w:iCs/>
      <w:color w:val="404040" w:themeColor="text1" w:themeTint="BF"/>
      <w:sz w:val="20"/>
      <w:szCs w:val="20"/>
    </w:rPr>
  </w:style>
  <w:style w:type="character" w:styleId="1144" w:default="1">
    <w:name w:val="Default Paragraph Font"/>
    <w:uiPriority w:val="1"/>
    <w:semiHidden/>
    <w:unhideWhenUsed/>
    <w:pPr>
      <w:pBdr/>
      <w:spacing/>
      <w:ind/>
    </w:pPr>
  </w:style>
  <w:style w:type="table" w:styleId="114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146" w:default="1">
    <w:name w:val="No List"/>
    <w:uiPriority w:val="99"/>
    <w:semiHidden/>
    <w:unhideWhenUsed/>
    <w:pPr>
      <w:pBdr/>
      <w:spacing/>
      <w:ind/>
    </w:pPr>
  </w:style>
  <w:style w:type="paragraph" w:styleId="1147">
    <w:name w:val="No Spacing"/>
    <w:uiPriority w:val="1"/>
    <w:qFormat/>
    <w:pPr>
      <w:pBdr/>
      <w:spacing w:after="0" w:line="240" w:lineRule="auto"/>
      <w:ind/>
    </w:pPr>
  </w:style>
  <w:style w:type="character" w:styleId="1148" w:customStyle="1">
    <w:name w:val="Heading 1 Char"/>
    <w:basedOn w:val="1144"/>
    <w:link w:val="1135"/>
    <w:uiPriority w:val="9"/>
    <w:pPr>
      <w:pBdr/>
      <w:spacing/>
      <w:ind/>
    </w:pPr>
    <w:rPr>
      <w:rFonts w:ascii="Noto Sans" w:hAnsi="Noto Sans" w:eastAsia="Noto Sans" w:cs="Noto Sans"/>
      <w:b/>
      <w:bCs/>
      <w:color w:val="365f91" w:themeColor="accent1" w:themeShade="BF"/>
      <w:sz w:val="28"/>
      <w:szCs w:val="28"/>
    </w:rPr>
  </w:style>
  <w:style w:type="character" w:styleId="1149" w:customStyle="1">
    <w:name w:val="Heading 2 Char"/>
    <w:basedOn w:val="1144"/>
    <w:link w:val="1136"/>
    <w:uiPriority w:val="9"/>
    <w:pPr>
      <w:pBdr/>
      <w:spacing/>
      <w:ind/>
    </w:pPr>
    <w:rPr>
      <w:rFonts w:ascii="Noto Sans" w:hAnsi="Noto Sans" w:eastAsia="Noto Sans" w:cs="Noto Sans"/>
      <w:b/>
      <w:bCs/>
      <w:color w:val="4f81bd" w:themeColor="accent1"/>
      <w:sz w:val="22"/>
      <w:szCs w:val="22"/>
    </w:rPr>
  </w:style>
  <w:style w:type="character" w:styleId="1150" w:customStyle="1">
    <w:name w:val="Heading 3 Char"/>
    <w:basedOn w:val="1144"/>
    <w:link w:val="1137"/>
    <w:uiPriority w:val="9"/>
    <w:pPr>
      <w:pBdr/>
      <w:spacing/>
      <w:ind/>
    </w:pPr>
    <w:rPr>
      <w:rFonts w:ascii="Noto Sans" w:hAnsi="Noto Sans" w:eastAsia="Noto Sans" w:cs="Noto Sans"/>
      <w:b/>
      <w:bCs/>
      <w:color w:val="4f81bd" w:themeColor="accent1"/>
      <w:sz w:val="20"/>
      <w:szCs w:val="20"/>
    </w:rPr>
  </w:style>
  <w:style w:type="paragraph" w:styleId="1151">
    <w:name w:val="Title"/>
    <w:basedOn w:val="1130"/>
    <w:next w:val="1130"/>
    <w:link w:val="1152"/>
    <w:uiPriority w:val="10"/>
    <w:qFormat/>
    <w:pPr>
      <w:pBdr>
        <w:bottom w:val="single" w:color="4f81bd" w:themeColor="accent1" w:sz="8" w:space="4"/>
      </w:pBdr>
      <w:spacing w:after="140" w:line="240" w:lineRule="auto"/>
      <w:ind/>
      <w:contextualSpacing w:val="true"/>
      <w:jc w:val="center"/>
    </w:pPr>
    <w:rPr>
      <w:rFonts w:ascii="Noto Sans" w:hAnsi="Noto Sans" w:eastAsia="Noto Sans" w:cs="Noto Sans"/>
      <w:b/>
      <w:bCs/>
      <w:color w:val="163f52"/>
      <w:spacing w:val="5"/>
      <w:sz w:val="38"/>
      <w:szCs w:val="38"/>
    </w:rPr>
  </w:style>
  <w:style w:type="character" w:styleId="1152" w:customStyle="1">
    <w:name w:val="Title Char"/>
    <w:basedOn w:val="1144"/>
    <w:link w:val="1151"/>
    <w:uiPriority w:val="10"/>
    <w:pPr>
      <w:pBdr/>
      <w:spacing/>
      <w:ind/>
    </w:pPr>
    <w:rPr>
      <w:rFonts w:ascii="Noto Sans" w:hAnsi="Noto Sans" w:eastAsia="Noto Sans" w:cs="Noto Sans"/>
      <w:b/>
      <w:bCs/>
      <w:color w:val="17365d" w:themeColor="text2" w:themeShade="BF"/>
      <w:spacing w:val="5"/>
      <w:sz w:val="38"/>
      <w:szCs w:val="38"/>
    </w:rPr>
  </w:style>
  <w:style w:type="paragraph" w:styleId="1153">
    <w:name w:val="Subtitle"/>
    <w:basedOn w:val="1130"/>
    <w:next w:val="1130"/>
    <w:link w:val="1154"/>
    <w:uiPriority w:val="11"/>
    <w:qFormat/>
    <w:pPr>
      <w:numPr>
        <w:ilvl w:val="1"/>
      </w:numPr>
      <w:pBdr/>
      <w:spacing w:after="120"/>
      <w:ind/>
      <w:jc w:val="center"/>
    </w:pPr>
    <w:rPr>
      <w:rFonts w:ascii="Noto Serif" w:hAnsi="Noto Serif" w:eastAsia="Noto Serif" w:cs="Noto Serif"/>
      <w:i/>
      <w:iCs/>
      <w:color w:val="464e52"/>
      <w:spacing w:val="15"/>
      <w:sz w:val="20"/>
      <w:szCs w:val="20"/>
    </w:rPr>
  </w:style>
  <w:style w:type="character" w:styleId="1154" w:customStyle="1">
    <w:name w:val="Subtitle Char"/>
    <w:basedOn w:val="1144"/>
    <w:link w:val="1153"/>
    <w:uiPriority w:val="11"/>
    <w:pPr>
      <w:pBdr/>
      <w:spacing/>
      <w:ind/>
    </w:pPr>
    <w:rPr>
      <w:rFonts w:ascii="Noto Serif" w:hAnsi="Noto Serif" w:eastAsia="Noto Serif" w:cs="Noto Serif"/>
      <w:i/>
      <w:iCs/>
      <w:color w:val="4f81bd" w:themeColor="accent1"/>
      <w:spacing w:val="15"/>
      <w:sz w:val="20"/>
      <w:szCs w:val="20"/>
    </w:rPr>
  </w:style>
  <w:style w:type="paragraph" w:styleId="1155">
    <w:name w:val="List Paragraph"/>
    <w:basedOn w:val="1130"/>
    <w:uiPriority w:val="34"/>
    <w:qFormat/>
    <w:pPr>
      <w:pBdr/>
      <w:spacing/>
      <w:ind w:left="720"/>
      <w:contextualSpacing w:val="true"/>
    </w:pPr>
  </w:style>
  <w:style w:type="paragraph" w:styleId="1156">
    <w:name w:val="Body Text"/>
    <w:basedOn w:val="1130"/>
    <w:link w:val="1157"/>
    <w:uiPriority w:val="99"/>
    <w:unhideWhenUsed/>
    <w:pPr>
      <w:pBdr/>
      <w:spacing w:after="120"/>
      <w:ind/>
    </w:pPr>
  </w:style>
  <w:style w:type="character" w:styleId="1157" w:customStyle="1">
    <w:name w:val="Body Text Char"/>
    <w:basedOn w:val="1144"/>
    <w:link w:val="1156"/>
    <w:uiPriority w:val="99"/>
    <w:pPr>
      <w:pBdr/>
      <w:spacing/>
      <w:ind/>
    </w:pPr>
  </w:style>
  <w:style w:type="paragraph" w:styleId="1158">
    <w:name w:val="Body Text 2"/>
    <w:basedOn w:val="1130"/>
    <w:link w:val="1159"/>
    <w:uiPriority w:val="99"/>
    <w:unhideWhenUsed/>
    <w:pPr>
      <w:pBdr/>
      <w:spacing w:after="120" w:line="480" w:lineRule="auto"/>
      <w:ind/>
    </w:pPr>
  </w:style>
  <w:style w:type="character" w:styleId="1159" w:customStyle="1">
    <w:name w:val="Body Text 2 Char"/>
    <w:basedOn w:val="1144"/>
    <w:link w:val="1158"/>
    <w:uiPriority w:val="99"/>
    <w:pPr>
      <w:pBdr/>
      <w:spacing/>
      <w:ind/>
    </w:pPr>
  </w:style>
  <w:style w:type="paragraph" w:styleId="1160">
    <w:name w:val="Body Text 3"/>
    <w:basedOn w:val="1130"/>
    <w:link w:val="1161"/>
    <w:uiPriority w:val="99"/>
    <w:unhideWhenUsed/>
    <w:pPr>
      <w:pBdr/>
      <w:spacing w:after="120"/>
      <w:ind/>
    </w:pPr>
    <w:rPr>
      <w:rFonts w:ascii="Noto Serif" w:hAnsi="Noto Serif" w:eastAsia="Noto Serif" w:cs="Noto Serif"/>
      <w:sz w:val="16"/>
      <w:szCs w:val="16"/>
    </w:rPr>
  </w:style>
  <w:style w:type="character" w:styleId="1161" w:customStyle="1">
    <w:name w:val="Body Text 3 Char"/>
    <w:basedOn w:val="1144"/>
    <w:link w:val="1160"/>
    <w:uiPriority w:val="99"/>
    <w:pPr>
      <w:pBdr/>
      <w:spacing/>
      <w:ind/>
    </w:pPr>
    <w:rPr>
      <w:rFonts w:ascii="Noto Serif" w:hAnsi="Noto Serif" w:eastAsia="Noto Serif" w:cs="Noto Serif"/>
      <w:sz w:val="16"/>
      <w:szCs w:val="16"/>
    </w:rPr>
  </w:style>
  <w:style w:type="paragraph" w:styleId="1162">
    <w:name w:val="List"/>
    <w:basedOn w:val="1130"/>
    <w:uiPriority w:val="99"/>
    <w:unhideWhenUsed/>
    <w:pPr>
      <w:pBdr/>
      <w:spacing/>
      <w:ind w:hanging="360" w:left="360"/>
      <w:contextualSpacing w:val="true"/>
    </w:pPr>
  </w:style>
  <w:style w:type="paragraph" w:styleId="1163">
    <w:name w:val="List 2"/>
    <w:basedOn w:val="1130"/>
    <w:uiPriority w:val="99"/>
    <w:unhideWhenUsed/>
    <w:pPr>
      <w:pBdr/>
      <w:spacing/>
      <w:ind w:hanging="360" w:left="720"/>
      <w:contextualSpacing w:val="true"/>
    </w:pPr>
  </w:style>
  <w:style w:type="paragraph" w:styleId="1164">
    <w:name w:val="List 3"/>
    <w:basedOn w:val="1130"/>
    <w:uiPriority w:val="99"/>
    <w:unhideWhenUsed/>
    <w:pPr>
      <w:pBdr/>
      <w:spacing/>
      <w:ind w:hanging="360" w:left="1080"/>
      <w:contextualSpacing w:val="true"/>
    </w:pPr>
  </w:style>
  <w:style w:type="paragraph" w:styleId="1165">
    <w:name w:val="List Bullet"/>
    <w:basedOn w:val="1130"/>
    <w:uiPriority w:val="99"/>
    <w:unhideWhenUsed/>
    <w:pPr>
      <w:numPr>
        <w:numId w:val="1"/>
      </w:numPr>
      <w:pBdr/>
      <w:spacing w:after="40" w:line="259" w:lineRule="auto"/>
      <w:ind/>
      <w:contextualSpacing w:val="true"/>
    </w:pPr>
    <w:rPr>
      <w:rFonts w:ascii="Noto Serif" w:hAnsi="Noto Serif" w:eastAsia="Noto Serif" w:cs="Noto Serif"/>
      <w:color w:val="1f2326"/>
      <w:sz w:val="18"/>
      <w:szCs w:val="18"/>
    </w:rPr>
  </w:style>
  <w:style w:type="paragraph" w:styleId="1166">
    <w:name w:val="List Bullet 2"/>
    <w:basedOn w:val="1130"/>
    <w:uiPriority w:val="99"/>
    <w:unhideWhenUsed/>
    <w:pPr>
      <w:numPr>
        <w:numId w:val="2"/>
      </w:numPr>
      <w:pBdr/>
      <w:spacing/>
      <w:ind/>
      <w:contextualSpacing w:val="true"/>
    </w:pPr>
  </w:style>
  <w:style w:type="paragraph" w:styleId="1167">
    <w:name w:val="List Bullet 3"/>
    <w:basedOn w:val="1130"/>
    <w:uiPriority w:val="99"/>
    <w:unhideWhenUsed/>
    <w:pPr>
      <w:numPr>
        <w:numId w:val="3"/>
      </w:numPr>
      <w:pBdr/>
      <w:spacing/>
      <w:ind/>
      <w:contextualSpacing w:val="true"/>
    </w:pPr>
  </w:style>
  <w:style w:type="paragraph" w:styleId="1168">
    <w:name w:val="List Number"/>
    <w:basedOn w:val="1130"/>
    <w:uiPriority w:val="99"/>
    <w:unhideWhenUsed/>
    <w:pPr>
      <w:numPr>
        <w:numId w:val="5"/>
      </w:numPr>
      <w:pBdr/>
      <w:spacing w:after="40" w:line="259" w:lineRule="auto"/>
      <w:ind/>
      <w:contextualSpacing w:val="true"/>
    </w:pPr>
    <w:rPr>
      <w:rFonts w:ascii="Noto Serif" w:hAnsi="Noto Serif" w:eastAsia="Noto Serif" w:cs="Noto Serif"/>
      <w:color w:val="1f2326"/>
      <w:sz w:val="18"/>
      <w:szCs w:val="18"/>
    </w:rPr>
  </w:style>
  <w:style w:type="paragraph" w:styleId="1169">
    <w:name w:val="List Number 2"/>
    <w:basedOn w:val="1130"/>
    <w:uiPriority w:val="99"/>
    <w:unhideWhenUsed/>
    <w:pPr>
      <w:numPr>
        <w:numId w:val="6"/>
      </w:numPr>
      <w:pBdr/>
      <w:spacing/>
      <w:ind/>
      <w:contextualSpacing w:val="true"/>
    </w:pPr>
  </w:style>
  <w:style w:type="paragraph" w:styleId="1170">
    <w:name w:val="List Number 3"/>
    <w:basedOn w:val="1130"/>
    <w:uiPriority w:val="99"/>
    <w:unhideWhenUsed/>
    <w:pPr>
      <w:numPr>
        <w:numId w:val="7"/>
      </w:numPr>
      <w:pBdr/>
      <w:spacing/>
      <w:ind/>
      <w:contextualSpacing w:val="true"/>
    </w:pPr>
  </w:style>
  <w:style w:type="paragraph" w:styleId="1171">
    <w:name w:val="List Continue"/>
    <w:basedOn w:val="1130"/>
    <w:uiPriority w:val="99"/>
    <w:unhideWhenUsed/>
    <w:pPr>
      <w:pBdr/>
      <w:spacing w:after="120"/>
      <w:ind w:left="360"/>
      <w:contextualSpacing w:val="true"/>
    </w:pPr>
  </w:style>
  <w:style w:type="paragraph" w:styleId="1172">
    <w:name w:val="List Continue 2"/>
    <w:basedOn w:val="1130"/>
    <w:uiPriority w:val="99"/>
    <w:unhideWhenUsed/>
    <w:pPr>
      <w:pBdr/>
      <w:spacing w:after="120"/>
      <w:ind w:left="720"/>
      <w:contextualSpacing w:val="true"/>
    </w:pPr>
  </w:style>
  <w:style w:type="paragraph" w:styleId="1173">
    <w:name w:val="List Continue 3"/>
    <w:basedOn w:val="1130"/>
    <w:uiPriority w:val="99"/>
    <w:unhideWhenUsed/>
    <w:pPr>
      <w:pBdr/>
      <w:spacing w:after="120"/>
      <w:ind w:left="1080"/>
      <w:contextualSpacing w:val="true"/>
    </w:pPr>
  </w:style>
  <w:style w:type="paragraph" w:styleId="1174">
    <w:name w:val="macro"/>
    <w:link w:val="1175"/>
    <w:uiPriority w:val="99"/>
    <w:unhideWhenUsed/>
    <w:pPr>
      <w:pBdr/>
      <w:tabs>
        <w:tab w:val="left" w:leader="none" w:pos="576"/>
        <w:tab w:val="left" w:leader="none" w:pos="1152"/>
        <w:tab w:val="left" w:leader="none" w:pos="1728"/>
        <w:tab w:val="left" w:leader="none" w:pos="2304"/>
        <w:tab w:val="left" w:leader="none" w:pos="2880"/>
        <w:tab w:val="left" w:leader="none" w:pos="3456"/>
        <w:tab w:val="left" w:leader="none" w:pos="4032"/>
      </w:tabs>
      <w:spacing/>
      <w:ind/>
    </w:pPr>
    <w:rPr>
      <w:rFonts w:ascii="Courier" w:hAnsi="Courier"/>
      <w:sz w:val="20"/>
      <w:szCs w:val="20"/>
    </w:rPr>
  </w:style>
  <w:style w:type="character" w:styleId="1175" w:customStyle="1">
    <w:name w:val="Macro Text Char"/>
    <w:basedOn w:val="1144"/>
    <w:link w:val="1174"/>
    <w:uiPriority w:val="99"/>
    <w:pPr>
      <w:pBdr/>
      <w:spacing/>
      <w:ind/>
    </w:pPr>
    <w:rPr>
      <w:rFonts w:ascii="Courier" w:hAnsi="Courier"/>
      <w:sz w:val="20"/>
      <w:szCs w:val="20"/>
    </w:rPr>
  </w:style>
  <w:style w:type="paragraph" w:styleId="1176">
    <w:name w:val="Quote"/>
    <w:basedOn w:val="1130"/>
    <w:next w:val="1130"/>
    <w:link w:val="1177"/>
    <w:uiPriority w:val="29"/>
    <w:qFormat/>
    <w:pPr>
      <w:pBdr/>
      <w:spacing/>
      <w:ind/>
    </w:pPr>
    <w:rPr>
      <w:i/>
      <w:iCs/>
      <w:color w:val="000000" w:themeColor="text1"/>
    </w:rPr>
  </w:style>
  <w:style w:type="character" w:styleId="1177" w:customStyle="1">
    <w:name w:val="Quote Char"/>
    <w:basedOn w:val="1144"/>
    <w:link w:val="1176"/>
    <w:uiPriority w:val="29"/>
    <w:pPr>
      <w:pBdr/>
      <w:spacing/>
      <w:ind/>
    </w:pPr>
    <w:rPr>
      <w:i/>
      <w:iCs/>
      <w:color w:val="000000" w:themeColor="text1"/>
    </w:rPr>
  </w:style>
  <w:style w:type="character" w:styleId="1178" w:customStyle="1">
    <w:name w:val="Heading 4 Char"/>
    <w:basedOn w:val="1144"/>
    <w:link w:val="1138"/>
    <w:uiPriority w:val="9"/>
    <w:semiHidden/>
    <w:pPr>
      <w:pBdr/>
      <w:spacing/>
      <w:ind/>
    </w:pPr>
    <w:rPr>
      <w:rFonts w:ascii="Noto Sans" w:hAnsi="Noto Sans" w:eastAsia="Noto Sans" w:cs="Noto Sans"/>
      <w:b/>
      <w:bCs/>
      <w:color w:val="4f81bd" w:themeColor="accent1"/>
      <w:sz w:val="18"/>
      <w:szCs w:val="18"/>
    </w:rPr>
  </w:style>
  <w:style w:type="character" w:styleId="1179" w:customStyle="1">
    <w:name w:val="Heading 5 Char"/>
    <w:basedOn w:val="1144"/>
    <w:link w:val="1139"/>
    <w:uiPriority w:val="9"/>
    <w:semiHidden/>
    <w:pPr>
      <w:pBdr/>
      <w:spacing/>
      <w:ind/>
    </w:pPr>
    <w:rPr>
      <w:rFonts w:asciiTheme="majorHAnsi" w:hAnsiTheme="majorHAnsi" w:eastAsiaTheme="majorEastAsia" w:cstheme="majorBidi"/>
      <w:color w:val="243f60" w:themeColor="accent1" w:themeShade="7F"/>
    </w:rPr>
  </w:style>
  <w:style w:type="character" w:styleId="1180" w:customStyle="1">
    <w:name w:val="Heading 6 Char"/>
    <w:basedOn w:val="1144"/>
    <w:link w:val="1140"/>
    <w:uiPriority w:val="9"/>
    <w:semiHidden/>
    <w:pPr>
      <w:pBdr/>
      <w:spacing/>
      <w:ind/>
    </w:pPr>
    <w:rPr>
      <w:rFonts w:asciiTheme="majorHAnsi" w:hAnsiTheme="majorHAnsi" w:eastAsiaTheme="majorEastAsia" w:cstheme="majorBidi"/>
      <w:i/>
      <w:iCs/>
      <w:color w:val="243f60" w:themeColor="accent1" w:themeShade="7F"/>
    </w:rPr>
  </w:style>
  <w:style w:type="character" w:styleId="1181" w:customStyle="1">
    <w:name w:val="Heading 7 Char"/>
    <w:basedOn w:val="1144"/>
    <w:link w:val="1141"/>
    <w:uiPriority w:val="9"/>
    <w:semiHidden/>
    <w:pPr>
      <w:pBdr/>
      <w:spacing/>
      <w:ind/>
    </w:pPr>
    <w:rPr>
      <w:rFonts w:asciiTheme="majorHAnsi" w:hAnsiTheme="majorHAnsi" w:eastAsiaTheme="majorEastAsia" w:cstheme="majorBidi"/>
      <w:i/>
      <w:iCs/>
      <w:color w:val="404040" w:themeColor="text1" w:themeTint="BF"/>
    </w:rPr>
  </w:style>
  <w:style w:type="character" w:styleId="1182" w:customStyle="1">
    <w:name w:val="Heading 8 Char"/>
    <w:basedOn w:val="1144"/>
    <w:link w:val="1142"/>
    <w:uiPriority w:val="9"/>
    <w:semiHidden/>
    <w:pPr>
      <w:pBdr/>
      <w:spacing/>
      <w:ind/>
    </w:pPr>
    <w:rPr>
      <w:rFonts w:asciiTheme="majorHAnsi" w:hAnsiTheme="majorHAnsi" w:eastAsiaTheme="majorEastAsia" w:cstheme="majorBidi"/>
      <w:color w:val="4f81bd" w:themeColor="accent1"/>
      <w:sz w:val="20"/>
      <w:szCs w:val="20"/>
    </w:rPr>
  </w:style>
  <w:style w:type="character" w:styleId="1183" w:customStyle="1">
    <w:name w:val="Heading 9 Char"/>
    <w:basedOn w:val="1144"/>
    <w:link w:val="1143"/>
    <w:uiPriority w:val="9"/>
    <w:semiHidden/>
    <w:pPr>
      <w:pBdr/>
      <w:spacing/>
      <w:ind/>
    </w:pPr>
    <w:rPr>
      <w:rFonts w:asciiTheme="majorHAnsi" w:hAnsiTheme="majorHAnsi" w:eastAsiaTheme="majorEastAsia" w:cstheme="majorBidi"/>
      <w:i/>
      <w:iCs/>
      <w:color w:val="404040" w:themeColor="text1" w:themeTint="BF"/>
      <w:sz w:val="20"/>
      <w:szCs w:val="20"/>
    </w:rPr>
  </w:style>
  <w:style w:type="paragraph" w:styleId="1184">
    <w:name w:val="Caption"/>
    <w:basedOn w:val="1130"/>
    <w:next w:val="1130"/>
    <w:uiPriority w:val="35"/>
    <w:semiHidden/>
    <w:unhideWhenUsed/>
    <w:qFormat/>
    <w:pPr>
      <w:keepNext w:val="true"/>
      <w:pBdr/>
      <w:spacing w:after="40" w:before="40" w:line="240" w:lineRule="auto"/>
      <w:ind/>
    </w:pPr>
    <w:rPr>
      <w:rFonts w:ascii="Noto Serif" w:hAnsi="Noto Serif" w:eastAsia="Noto Serif" w:cs="Noto Serif"/>
      <w:i/>
      <w:iCs/>
      <w:color w:val="2a6f83"/>
      <w:sz w:val="16"/>
      <w:szCs w:val="16"/>
    </w:rPr>
  </w:style>
  <w:style w:type="character" w:styleId="1185">
    <w:name w:val="Strong"/>
    <w:basedOn w:val="1144"/>
    <w:uiPriority w:val="22"/>
    <w:qFormat/>
    <w:pPr>
      <w:pBdr/>
      <w:spacing/>
      <w:ind/>
    </w:pPr>
    <w:rPr>
      <w:b/>
      <w:bCs/>
    </w:rPr>
  </w:style>
  <w:style w:type="character" w:styleId="1186">
    <w:name w:val="Emphasis"/>
    <w:basedOn w:val="1144"/>
    <w:uiPriority w:val="20"/>
    <w:qFormat/>
    <w:pPr>
      <w:pBdr/>
      <w:spacing/>
      <w:ind/>
    </w:pPr>
    <w:rPr>
      <w:i/>
      <w:iCs/>
    </w:rPr>
  </w:style>
  <w:style w:type="paragraph" w:styleId="1187">
    <w:name w:val="Intense Quote"/>
    <w:basedOn w:val="1130"/>
    <w:next w:val="1130"/>
    <w:link w:val="1188"/>
    <w:uiPriority w:val="30"/>
    <w:qFormat/>
    <w:pPr>
      <w:pBdr>
        <w:bottom w:val="single" w:color="4f81bd" w:themeColor="accent1" w:sz="4" w:space="4"/>
      </w:pBdr>
      <w:spacing w:after="280" w:before="200"/>
      <w:ind w:right="936" w:left="936"/>
    </w:pPr>
    <w:rPr>
      <w:b/>
      <w:bCs/>
      <w:i/>
      <w:iCs/>
      <w:color w:val="4f81bd" w:themeColor="accent1"/>
    </w:rPr>
  </w:style>
  <w:style w:type="character" w:styleId="1188" w:customStyle="1">
    <w:name w:val="Intense Quote Char"/>
    <w:basedOn w:val="1144"/>
    <w:link w:val="1187"/>
    <w:uiPriority w:val="30"/>
    <w:pPr>
      <w:pBdr/>
      <w:spacing/>
      <w:ind/>
    </w:pPr>
    <w:rPr>
      <w:b/>
      <w:bCs/>
      <w:i/>
      <w:iCs/>
      <w:color w:val="4f81bd" w:themeColor="accent1"/>
    </w:rPr>
  </w:style>
  <w:style w:type="character" w:styleId="1189">
    <w:name w:val="Subtle Emphasis"/>
    <w:basedOn w:val="1144"/>
    <w:uiPriority w:val="19"/>
    <w:qFormat/>
    <w:pPr>
      <w:pBdr/>
      <w:spacing/>
      <w:ind/>
    </w:pPr>
    <w:rPr>
      <w:i/>
      <w:iCs/>
      <w:color w:val="808080" w:themeColor="text1" w:themeTint="7F"/>
    </w:rPr>
  </w:style>
  <w:style w:type="character" w:styleId="1190">
    <w:name w:val="Intense Emphasis"/>
    <w:basedOn w:val="1144"/>
    <w:uiPriority w:val="21"/>
    <w:qFormat/>
    <w:pPr>
      <w:pBdr/>
      <w:spacing/>
      <w:ind/>
    </w:pPr>
    <w:rPr>
      <w:b/>
      <w:bCs/>
      <w:i/>
      <w:iCs/>
      <w:color w:val="4f81bd" w:themeColor="accent1"/>
    </w:rPr>
  </w:style>
  <w:style w:type="character" w:styleId="1191">
    <w:name w:val="Subtle Reference"/>
    <w:basedOn w:val="1144"/>
    <w:uiPriority w:val="31"/>
    <w:qFormat/>
    <w:pPr>
      <w:pBdr/>
      <w:spacing/>
      <w:ind/>
    </w:pPr>
    <w:rPr>
      <w:smallCaps/>
      <w:color w:val="c0504d" w:themeColor="accent2"/>
      <w:u w:val="single"/>
    </w:rPr>
  </w:style>
  <w:style w:type="character" w:styleId="1192">
    <w:name w:val="Intense Reference"/>
    <w:basedOn w:val="1144"/>
    <w:uiPriority w:val="32"/>
    <w:qFormat/>
    <w:pPr>
      <w:pBdr/>
      <w:spacing/>
      <w:ind/>
    </w:pPr>
    <w:rPr>
      <w:b/>
      <w:bCs/>
      <w:smallCaps/>
      <w:color w:val="c0504d" w:themeColor="accent2"/>
      <w:spacing w:val="5"/>
      <w:u w:val="single"/>
    </w:rPr>
  </w:style>
  <w:style w:type="character" w:styleId="1193">
    <w:name w:val="Book Title"/>
    <w:basedOn w:val="1144"/>
    <w:uiPriority w:val="33"/>
    <w:qFormat/>
    <w:pPr>
      <w:pBdr/>
      <w:spacing/>
      <w:ind/>
    </w:pPr>
    <w:rPr>
      <w:b/>
      <w:bCs/>
      <w:smallCaps/>
      <w:spacing w:val="5"/>
    </w:rPr>
  </w:style>
  <w:style w:type="paragraph" w:styleId="1194">
    <w:name w:val="TOC Heading"/>
    <w:basedOn w:val="1135"/>
    <w:next w:val="1130"/>
    <w:uiPriority w:val="39"/>
    <w:semiHidden/>
    <w:unhideWhenUsed/>
    <w:qFormat/>
    <w:pPr>
      <w:pBdr/>
      <w:spacing/>
      <w:ind/>
      <w:outlineLvl w:val="9"/>
    </w:pPr>
  </w:style>
  <w:style w:type="table" w:styleId="1195">
    <w:name w:val="Table Grid"/>
    <w:basedOn w:val="1145"/>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6">
    <w:name w:val="Light Shading"/>
    <w:basedOn w:val="1145"/>
    <w:uiPriority w:val="60"/>
    <w:pPr>
      <w:pBdr/>
      <w:spacing w:after="0" w:line="240" w:lineRule="auto"/>
      <w:ind/>
    </w:pPr>
    <w:rPr>
      <w:color w:val="000000" w:themeColor="text1" w:themeShade="BF"/>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left w:val="none" w:color="000000" w:sz="4" w:space="0"/>
          <w:right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7">
    <w:name w:val="Light Shading Accent 1"/>
    <w:basedOn w:val="1145"/>
    <w:uiPriority w:val="60"/>
    <w:pPr>
      <w:pBdr/>
      <w:spacing w:after="0" w:line="240" w:lineRule="auto"/>
      <w:ind/>
    </w:pPr>
    <w:rPr>
      <w:color w:val="365f91" w:themeColor="accent1" w:themeShade="BF"/>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8">
    <w:name w:val="Light Shading Accent 2"/>
    <w:basedOn w:val="1145"/>
    <w:uiPriority w:val="60"/>
    <w:pPr>
      <w:pBdr/>
      <w:spacing w:after="0" w:line="240" w:lineRule="auto"/>
      <w:ind/>
    </w:pPr>
    <w:rPr>
      <w:color w:val="943634" w:themeColor="accent2" w:themeShade="BF"/>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9">
    <w:name w:val="Light Shading Accent 3"/>
    <w:basedOn w:val="1145"/>
    <w:uiPriority w:val="60"/>
    <w:pPr>
      <w:pBdr/>
      <w:spacing w:after="0" w:line="240" w:lineRule="auto"/>
      <w:ind/>
    </w:pPr>
    <w:rPr>
      <w:color w:val="76923c" w:themeColor="accent3" w:themeShade="BF"/>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0">
    <w:name w:val="Light Shading Accent 4"/>
    <w:basedOn w:val="1145"/>
    <w:uiPriority w:val="60"/>
    <w:pPr>
      <w:pBdr/>
      <w:spacing w:after="0" w:line="240" w:lineRule="auto"/>
      <w:ind/>
    </w:pPr>
    <w:rPr>
      <w:color w:val="5f497a" w:themeColor="accent4" w:themeShade="BF"/>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1">
    <w:name w:val="Light Shading Accent 5"/>
    <w:basedOn w:val="1145"/>
    <w:uiPriority w:val="60"/>
    <w:pPr>
      <w:pBdr/>
      <w:spacing w:after="0" w:line="240" w:lineRule="auto"/>
      <w:ind/>
    </w:pPr>
    <w:rPr>
      <w:color w:val="31849b" w:themeColor="accent5" w:themeShade="BF"/>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2">
    <w:name w:val="Light Shading Accent 6"/>
    <w:basedOn w:val="1145"/>
    <w:uiPriority w:val="60"/>
    <w:pPr>
      <w:pBdr/>
      <w:spacing w:after="0" w:line="240" w:lineRule="auto"/>
      <w:ind/>
    </w:pPr>
    <w:rPr>
      <w:color w:val="e36c0a" w:themeColor="accent6" w:themeShade="BF"/>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3">
    <w:name w:val="Light List"/>
    <w:basedOn w:val="1145"/>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4">
    <w:name w:val="Light List Accent 1"/>
    <w:basedOn w:val="1145"/>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5">
    <w:name w:val="Light List Accent 2"/>
    <w:basedOn w:val="1145"/>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6">
    <w:name w:val="Light List Accent 3"/>
    <w:basedOn w:val="1145"/>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7">
    <w:name w:val="Light List Accent 4"/>
    <w:basedOn w:val="1145"/>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8">
    <w:name w:val="Light List Accent 5"/>
    <w:basedOn w:val="1145"/>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9">
    <w:name w:val="Light List Accent 6"/>
    <w:basedOn w:val="1145"/>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0">
    <w:name w:val="Light Grid"/>
    <w:basedOn w:val="1145"/>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tcBorders/>
    </w:tcPr>
    <w:tblStylePr w:type="band1Horz">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8" w:space="0"/>
          <w:left w:val="single" w:color="000000" w:themeColor="text1" w:sz="8" w:space="0"/>
          <w:bottom w:val="single" w:color="000000" w:themeColor="text1" w:sz="18" w:space="0"/>
          <w:right w:val="single" w:color="000000" w:themeColor="tex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1">
    <w:name w:val="Light Grid Accent 1"/>
    <w:basedOn w:val="1145"/>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8" w:space="0"/>
          <w:left w:val="single" w:color="4f81bd" w:themeColor="accent1" w:sz="8" w:space="0"/>
          <w:bottom w:val="single" w:color="4f81bd" w:themeColor="accent1" w:sz="18" w:space="0"/>
          <w:right w:val="single" w:color="4f81bd" w:themeColor="accen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2">
    <w:name w:val="Light Grid Accent 2"/>
    <w:basedOn w:val="1145"/>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8" w:space="0"/>
          <w:left w:val="single" w:color="c0504d" w:themeColor="accent2" w:sz="8" w:space="0"/>
          <w:bottom w:val="single" w:color="c0504d" w:themeColor="accent2" w:sz="18" w:space="0"/>
          <w:right w:val="single" w:color="c0504d" w:themeColor="accent2" w:sz="8" w:space="0"/>
        </w:tcBorders>
      </w:tcPr>
    </w:tblStylePr>
    <w:tblStylePr w:type="lastCol">
      <w:rPr>
        <w:rFonts w:asciiTheme="majorHAnsi" w:hAnsiTheme="majorHAnsi" w:eastAsiaTheme="majorEastAsia" w:cstheme="majorBidi"/>
        <w:b/>
        <w:bCs/>
      </w:rPr>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3">
    <w:name w:val="Light Grid Accent 3"/>
    <w:basedOn w:val="1145"/>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8" w:space="0"/>
          <w:left w:val="single" w:color="9bbb59" w:themeColor="accent3" w:sz="8" w:space="0"/>
          <w:bottom w:val="single" w:color="9bbb59" w:themeColor="accent3" w:sz="18" w:space="0"/>
          <w:right w:val="single" w:color="9bbb59" w:themeColor="accent3" w:sz="8" w:space="0"/>
        </w:tcBorders>
      </w:tcPr>
    </w:tblStylePr>
    <w:tblStylePr w:type="lastCol">
      <w:rPr>
        <w:rFonts w:asciiTheme="majorHAnsi" w:hAnsiTheme="majorHAnsi" w:eastAsiaTheme="majorEastAsia" w:cstheme="majorBidi"/>
        <w:b/>
        <w:bCs/>
      </w:rPr>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4">
    <w:name w:val="Light Grid Accent 4"/>
    <w:basedOn w:val="1145"/>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8" w:space="0"/>
          <w:left w:val="single" w:color="8064a2" w:themeColor="accent4" w:sz="8" w:space="0"/>
          <w:bottom w:val="single" w:color="8064a2" w:themeColor="accent4" w:sz="18" w:space="0"/>
          <w:right w:val="single" w:color="8064a2" w:themeColor="accent4" w:sz="8" w:space="0"/>
        </w:tcBorders>
      </w:tcPr>
    </w:tblStylePr>
    <w:tblStylePr w:type="lastCol">
      <w:rPr>
        <w:rFonts w:asciiTheme="majorHAnsi" w:hAnsiTheme="majorHAnsi" w:eastAsiaTheme="majorEastAsia" w:cstheme="majorBidi"/>
        <w:b/>
        <w:bCs/>
      </w:rPr>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5">
    <w:name w:val="Light Grid Accent 5"/>
    <w:basedOn w:val="1145"/>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8" w:space="0"/>
          <w:left w:val="single" w:color="4bacc6" w:themeColor="accent5" w:sz="8" w:space="0"/>
          <w:bottom w:val="single" w:color="4bacc6" w:themeColor="accent5" w:sz="18" w:space="0"/>
          <w:right w:val="single" w:color="4bacc6" w:themeColor="accent5"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6">
    <w:name w:val="Light Grid Accent 6"/>
    <w:basedOn w:val="1145"/>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8" w:space="0"/>
          <w:left w:val="single" w:color="f79646" w:themeColor="accent6" w:sz="8" w:space="0"/>
          <w:bottom w:val="single" w:color="f79646" w:themeColor="accent6" w:sz="18" w:space="0"/>
          <w:right w:val="single" w:color="f79646" w:themeColor="accent6" w:sz="8" w:space="0"/>
        </w:tcBorders>
      </w:tcPr>
    </w:tblStylePr>
    <w:tblStylePr w:type="lastCol">
      <w:rPr>
        <w:rFonts w:asciiTheme="majorHAnsi" w:hAnsiTheme="majorHAnsi" w:eastAsiaTheme="majorEastAsia" w:cstheme="majorBidi"/>
        <w:b/>
        <w:bCs/>
      </w:rPr>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7">
    <w:name w:val="Medium Shading 1"/>
    <w:basedOn w:val="1145"/>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8">
    <w:name w:val="Medium Shading 1 Accent 1"/>
    <w:basedOn w:val="1145"/>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9">
    <w:name w:val="Medium Shading 1 Accent 2"/>
    <w:basedOn w:val="1145"/>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0">
    <w:name w:val="Medium Shading 1 Accent 3"/>
    <w:basedOn w:val="1145"/>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1">
    <w:name w:val="Medium Shading 1 Accent 4"/>
    <w:basedOn w:val="1145"/>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2">
    <w:name w:val="Medium Shading 1 Accent 5"/>
    <w:basedOn w:val="1145"/>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3">
    <w:name w:val="Medium Shading 1 Accent 6"/>
    <w:basedOn w:val="1145"/>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4">
    <w:name w:val="Medium Shading 2"/>
    <w:basedOn w:val="1145"/>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000000" w:themeFill="tex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000000" w:themeFill="tex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5">
    <w:name w:val="Medium Shading 2 Accent 1"/>
    <w:basedOn w:val="1145"/>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f81bd" w:themeFill="accen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f81bd" w:themeFill="accen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6">
    <w:name w:val="Medium Shading 2 Accent 2"/>
    <w:basedOn w:val="1145"/>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c0504d" w:themeFill="accent2"/>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c0504d" w:themeFill="accent2"/>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7">
    <w:name w:val="Medium Shading 2 Accent 3"/>
    <w:basedOn w:val="1145"/>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9bbb59" w:themeFill="accent3"/>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9bbb59" w:themeFill="accent3"/>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8">
    <w:name w:val="Medium Shading 2 Accent 4"/>
    <w:basedOn w:val="1145"/>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8064a2" w:themeFill="accent4"/>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8064a2" w:themeFill="accent4"/>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9">
    <w:name w:val="Medium Shading 2 Accent 5"/>
    <w:basedOn w:val="1145"/>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bacc6" w:themeFill="accent5"/>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bacc6" w:themeFill="accent5"/>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0">
    <w:name w:val="Medium Shading 2 Accent 6"/>
    <w:basedOn w:val="1145"/>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f79646" w:themeFill="accent6"/>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f79646" w:themeFill="accent6"/>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1">
    <w:name w:val="Medium List 1"/>
    <w:basedOn w:val="1145"/>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000000" w:themeColor="text1" w:sz="8" w:space="0"/>
        </w:tcBorders>
      </w:tcPr>
    </w:tblStylePr>
    <w:tblStylePr w:type="lastCol">
      <w:rPr>
        <w:b/>
        <w:bCs/>
      </w:rPr>
      <w:pPr>
        <w:pBdr/>
        <w:spacing/>
        <w:ind/>
      </w:pPr>
      <w:tblPr>
        <w:tblBorders/>
      </w:tblPr>
      <w:tcPr>
        <w:tcBorders>
          <w:top w:val="single" w:color="000000" w:themeColor="text1" w:sz="8" w:space="0"/>
          <w:bottom w:val="single" w:color="000000" w:themeColor="text1" w:sz="8" w:space="0"/>
        </w:tcBorders>
      </w:tcPr>
    </w:tblStylePr>
    <w:tblStylePr w:type="lastRow">
      <w:rPr>
        <w:b/>
        <w:bCs/>
        <w:color w:val="1f497d" w:themeColor="text2"/>
      </w:rPr>
      <w:pPr>
        <w:pBdr/>
        <w:spacing/>
        <w:ind/>
      </w:pPr>
      <w:tblPr>
        <w:tblBorders/>
      </w:tblPr>
      <w:tcPr>
        <w:tcBorders>
          <w:top w:val="single" w:color="000000" w:themeColor="text1" w:sz="8" w:space="0"/>
          <w:bottom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2">
    <w:name w:val="Medium List 1 Accent 1"/>
    <w:basedOn w:val="1145"/>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f81bd" w:themeColor="accent1" w:sz="8" w:space="0"/>
        </w:tcBorders>
      </w:tcPr>
    </w:tblStylePr>
    <w:tblStylePr w:type="lastCol">
      <w:rPr>
        <w:b/>
        <w:bCs/>
      </w:rPr>
      <w:pPr>
        <w:pBdr/>
        <w:spacing/>
        <w:ind/>
      </w:pPr>
      <w:tblPr>
        <w:tblBorders/>
      </w:tblPr>
      <w:tcPr>
        <w:tcBorders>
          <w:top w:val="single" w:color="4f81bd" w:themeColor="accent1" w:sz="8" w:space="0"/>
          <w:bottom w:val="single" w:color="4f81bd" w:themeColor="accent1" w:sz="8" w:space="0"/>
        </w:tcBorders>
      </w:tcPr>
    </w:tblStylePr>
    <w:tblStylePr w:type="lastRow">
      <w:rPr>
        <w:b/>
        <w:bCs/>
        <w:color w:val="1f497d" w:themeColor="text2"/>
      </w:rPr>
      <w:pPr>
        <w:pBdr/>
        <w:spacing/>
        <w:ind/>
      </w:pPr>
      <w:tblPr>
        <w:tblBorders/>
      </w:tblPr>
      <w:tcPr>
        <w:tcBorders>
          <w:top w:val="single" w:color="4f81bd" w:themeColor="accent1" w:sz="8" w:space="0"/>
          <w:bottom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3">
    <w:name w:val="Medium List 1 Accent 2"/>
    <w:basedOn w:val="1145"/>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c0504d" w:themeColor="accent2" w:sz="8" w:space="0"/>
        </w:tcBorders>
      </w:tcPr>
    </w:tblStylePr>
    <w:tblStylePr w:type="lastCol">
      <w:rPr>
        <w:b/>
        <w:bCs/>
      </w:rPr>
      <w:pPr>
        <w:pBdr/>
        <w:spacing/>
        <w:ind/>
      </w:pPr>
      <w:tblPr>
        <w:tblBorders/>
      </w:tblPr>
      <w:tcPr>
        <w:tcBorders>
          <w:top w:val="single" w:color="c0504d" w:themeColor="accent2" w:sz="8" w:space="0"/>
          <w:bottom w:val="single" w:color="c0504d" w:themeColor="accent2" w:sz="8" w:space="0"/>
        </w:tcBorders>
      </w:tcPr>
    </w:tblStylePr>
    <w:tblStylePr w:type="lastRow">
      <w:rPr>
        <w:b/>
        <w:bCs/>
        <w:color w:val="1f497d" w:themeColor="text2"/>
      </w:rPr>
      <w:pPr>
        <w:pBdr/>
        <w:spacing/>
        <w:ind/>
      </w:pPr>
      <w:tblPr>
        <w:tblBorders/>
      </w:tblPr>
      <w:tcPr>
        <w:tcBorders>
          <w:top w:val="single" w:color="c0504d" w:themeColor="accent2" w:sz="8" w:space="0"/>
          <w:bottom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4">
    <w:name w:val="Medium List 1 Accent 3"/>
    <w:basedOn w:val="1145"/>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9bbb59" w:themeColor="accent3" w:sz="8" w:space="0"/>
        </w:tcBorders>
      </w:tcPr>
    </w:tblStylePr>
    <w:tblStylePr w:type="lastCol">
      <w:rPr>
        <w:b/>
        <w:bCs/>
      </w:rPr>
      <w:pPr>
        <w:pBdr/>
        <w:spacing/>
        <w:ind/>
      </w:pPr>
      <w:tblPr>
        <w:tblBorders/>
      </w:tblPr>
      <w:tcPr>
        <w:tcBorders>
          <w:top w:val="single" w:color="9bbb59" w:themeColor="accent3" w:sz="8" w:space="0"/>
          <w:bottom w:val="single" w:color="9bbb59" w:themeColor="accent3" w:sz="8" w:space="0"/>
        </w:tcBorders>
      </w:tcPr>
    </w:tblStylePr>
    <w:tblStylePr w:type="lastRow">
      <w:rPr>
        <w:b/>
        <w:bCs/>
        <w:color w:val="1f497d" w:themeColor="text2"/>
      </w:rPr>
      <w:pPr>
        <w:pBdr/>
        <w:spacing/>
        <w:ind/>
      </w:pPr>
      <w:tblPr>
        <w:tblBorders/>
      </w:tblPr>
      <w:tcPr>
        <w:tcBorders>
          <w:top w:val="single" w:color="9bbb59" w:themeColor="accent3" w:sz="8" w:space="0"/>
          <w:bottom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5">
    <w:name w:val="Medium List 1 Accent 4"/>
    <w:basedOn w:val="1145"/>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8064a2" w:themeColor="accent4" w:sz="8" w:space="0"/>
        </w:tcBorders>
      </w:tcPr>
    </w:tblStylePr>
    <w:tblStylePr w:type="lastCol">
      <w:rPr>
        <w:b/>
        <w:bCs/>
      </w:rPr>
      <w:pPr>
        <w:pBdr/>
        <w:spacing/>
        <w:ind/>
      </w:pPr>
      <w:tblPr>
        <w:tblBorders/>
      </w:tblPr>
      <w:tcPr>
        <w:tcBorders>
          <w:top w:val="single" w:color="8064a2" w:themeColor="accent4" w:sz="8" w:space="0"/>
          <w:bottom w:val="single" w:color="8064a2" w:themeColor="accent4" w:sz="8" w:space="0"/>
        </w:tcBorders>
      </w:tcPr>
    </w:tblStylePr>
    <w:tblStylePr w:type="lastRow">
      <w:rPr>
        <w:b/>
        <w:bCs/>
        <w:color w:val="1f497d" w:themeColor="text2"/>
      </w:rPr>
      <w:pPr>
        <w:pBdr/>
        <w:spacing/>
        <w:ind/>
      </w:pPr>
      <w:tblPr>
        <w:tblBorders/>
      </w:tblPr>
      <w:tcPr>
        <w:tcBorders>
          <w:top w:val="single" w:color="8064a2" w:themeColor="accent4" w:sz="8" w:space="0"/>
          <w:bottom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6">
    <w:name w:val="Medium List 1 Accent 5"/>
    <w:basedOn w:val="1145"/>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bacc6" w:themeColor="accent5" w:sz="8" w:space="0"/>
        </w:tcBorders>
      </w:tcPr>
    </w:tblStylePr>
    <w:tblStylePr w:type="lastCol">
      <w:rPr>
        <w:b/>
        <w:bCs/>
      </w:rPr>
      <w:pPr>
        <w:pBdr/>
        <w:spacing/>
        <w:ind/>
      </w:pPr>
      <w:tblPr>
        <w:tblBorders/>
      </w:tblPr>
      <w:tcPr>
        <w:tcBorders>
          <w:top w:val="single" w:color="4bacc6" w:themeColor="accent5" w:sz="8" w:space="0"/>
          <w:bottom w:val="single" w:color="4bacc6" w:themeColor="accent5" w:sz="8" w:space="0"/>
        </w:tcBorders>
      </w:tcPr>
    </w:tblStylePr>
    <w:tblStylePr w:type="lastRow">
      <w:rPr>
        <w:b/>
        <w:bCs/>
        <w:color w:val="1f497d" w:themeColor="text2"/>
      </w:rPr>
      <w:pPr>
        <w:pBdr/>
        <w:spacing/>
        <w:ind/>
      </w:pPr>
      <w:tblPr>
        <w:tblBorders/>
      </w:tblPr>
      <w:tcPr>
        <w:tcBorders>
          <w:top w:val="single" w:color="4bacc6" w:themeColor="accent5" w:sz="8" w:space="0"/>
          <w:bottom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7">
    <w:name w:val="Medium List 1 Accent 6"/>
    <w:basedOn w:val="1145"/>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f79646" w:themeColor="accent6" w:sz="8" w:space="0"/>
        </w:tcBorders>
      </w:tcPr>
    </w:tblStylePr>
    <w:tblStylePr w:type="lastCol">
      <w:rPr>
        <w:b/>
        <w:bCs/>
      </w:rPr>
      <w:pPr>
        <w:pBdr/>
        <w:spacing/>
        <w:ind/>
      </w:pPr>
      <w:tblPr>
        <w:tblBorders/>
      </w:tblPr>
      <w:tcPr>
        <w:tcBorders>
          <w:top w:val="single" w:color="f79646" w:themeColor="accent6" w:sz="8" w:space="0"/>
          <w:bottom w:val="single" w:color="f79646" w:themeColor="accent6" w:sz="8" w:space="0"/>
        </w:tcBorders>
      </w:tcPr>
    </w:tblStylePr>
    <w:tblStylePr w:type="lastRow">
      <w:rPr>
        <w:b/>
        <w:bCs/>
        <w:color w:val="1f497d" w:themeColor="text2"/>
      </w:rPr>
      <w:pPr>
        <w:pBdr/>
        <w:spacing/>
        <w:ind/>
      </w:pPr>
      <w:tblPr>
        <w:tblBorders/>
      </w:tblPr>
      <w:tcPr>
        <w:tcBorders>
          <w:top w:val="single" w:color="f79646" w:themeColor="accent6" w:sz="8" w:space="0"/>
          <w:bottom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8">
    <w:name w:val="Medium List 2"/>
    <w:basedOn w:val="1145"/>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shd w:val="clear" w:color="auto" w:fill="c0c0c0" w:themeFill="text1" w:themeFillTint="3F"/>
        <w:tcBorders>
          <w:top w:val="none" w:color="000000" w:sz="4" w:space="0"/>
          <w:bottom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000000" w:themeColor="tex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000000" w:themeColor="tex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000000" w:themeColor="tex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000000" w:themeColor="tex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9">
    <w:name w:val="Medium List 2 Accent 1"/>
    <w:basedOn w:val="1145"/>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none" w:color="000000" w:sz="4" w:space="0"/>
          <w:bottom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f81bd" w:themeColor="accen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f81bd" w:themeColor="accen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f81bd" w:themeColor="accen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f81bd" w:themeColor="accen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0">
    <w:name w:val="Medium List 2 Accent 2"/>
    <w:basedOn w:val="1145"/>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none" w:color="000000" w:sz="4" w:space="0"/>
          <w:bottom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c0504d" w:themeColor="accent2"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c0504d" w:themeColor="accent2"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c0504d" w:themeColor="accent2"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1">
    <w:name w:val="Medium List 2 Accent 3"/>
    <w:basedOn w:val="1145"/>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none" w:color="000000" w:sz="4" w:space="0"/>
          <w:bottom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9bbb59" w:themeColor="accent3"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9bbb59" w:themeColor="accent3"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9bbb59" w:themeColor="accent3"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2">
    <w:name w:val="Medium List 2 Accent 4"/>
    <w:basedOn w:val="1145"/>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none" w:color="000000" w:sz="4" w:space="0"/>
          <w:bottom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8064a2" w:themeColor="accent4"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8064a2" w:themeColor="accent4"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8064a2" w:themeColor="accent4"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3">
    <w:name w:val="Medium List 2 Accent 5"/>
    <w:basedOn w:val="1145"/>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none" w:color="000000" w:sz="4" w:space="0"/>
          <w:bottom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bacc6" w:themeColor="accent5"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bacc6" w:themeColor="accent5"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bacc6" w:themeColor="accent5"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4">
    <w:name w:val="Medium List 2 Accent 6"/>
    <w:basedOn w:val="1145"/>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none" w:color="000000" w:sz="4" w:space="0"/>
          <w:bottom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f79646" w:themeColor="accent6"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f79646" w:themeColor="accent6"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f79646" w:themeColor="accent6"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5">
    <w:name w:val="Medium Grid 1"/>
    <w:basedOn w:val="1145"/>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404040" w:themeColor="tex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6">
    <w:name w:val="Medium Grid 1 Accent 1"/>
    <w:basedOn w:val="1145"/>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ba0cd" w:themeColor="accen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7">
    <w:name w:val="Medium Grid 1 Accent 2"/>
    <w:basedOn w:val="1145"/>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cf7b79" w:themeColor="accent2"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8">
    <w:name w:val="Medium Grid 1 Accent 3"/>
    <w:basedOn w:val="1145"/>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b3cc82" w:themeColor="accent3"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9">
    <w:name w:val="Medium Grid 1 Accent 4"/>
    <w:basedOn w:val="1145"/>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9f8ab9" w:themeColor="accent4"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0">
    <w:name w:val="Medium Grid 1 Accent 5"/>
    <w:basedOn w:val="1145"/>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8c0d4" w:themeColor="accent5"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1">
    <w:name w:val="Medium Grid 1 Accent 6"/>
    <w:basedOn w:val="1145"/>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f9b074" w:themeColor="accent6"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2">
    <w:name w:val="Medium Grid 2"/>
    <w:basedOn w:val="1145"/>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6e6e6" w:themeFill="text1" w:themeFillTint="19"/>
        <w:tcBorders/>
      </w:tcPr>
    </w:tblStylePr>
    <w:tblStylePr w:type="lastCol">
      <w:rPr>
        <w:b w:val="0"/>
        <w:bCs w:val="0"/>
        <w:color w:val="000000" w:themeColor="text1"/>
      </w:rPr>
      <w:pPr>
        <w:pBdr/>
        <w:spacing/>
        <w:ind/>
      </w:pPr>
      <w:tblPr>
        <w:tblBorders/>
      </w:tblPr>
      <w:tcPr>
        <w:shd w:val="clear" w:color="auto" w:fill="cccccc" w:themeFill="tex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3">
    <w:name w:val="Medium Grid 2 Accent 1"/>
    <w:basedOn w:val="1145"/>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2f8" w:themeFill="accent1" w:themeFillTint="19"/>
        <w:tcBorders/>
      </w:tcPr>
    </w:tblStylePr>
    <w:tblStylePr w:type="lastCol">
      <w:rPr>
        <w:b w:val="0"/>
        <w:bCs w:val="0"/>
        <w:color w:val="000000" w:themeColor="text1"/>
      </w:rPr>
      <w:pPr>
        <w:pBdr/>
        <w:spacing/>
        <w:ind/>
      </w:pPr>
      <w:tblPr>
        <w:tblBorders/>
      </w:tblPr>
      <w:tcPr>
        <w:shd w:val="clear" w:color="auto" w:fill="dbe5f1" w:themeFill="accen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4">
    <w:name w:val="Medium Grid 2 Accent 2"/>
    <w:basedOn w:val="1145"/>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8eded" w:themeFill="accent2" w:themeFillTint="19"/>
        <w:tcBorders/>
      </w:tcPr>
    </w:tblStylePr>
    <w:tblStylePr w:type="lastCol">
      <w:rPr>
        <w:b w:val="0"/>
        <w:bCs w:val="0"/>
        <w:color w:val="000000" w:themeColor="text1"/>
      </w:rPr>
      <w:pPr>
        <w:pBdr/>
        <w:spacing/>
        <w:ind/>
      </w:pPr>
      <w:tblPr>
        <w:tblBorders/>
      </w:tblPr>
      <w:tcPr>
        <w:shd w:val="clear" w:color="auto" w:fill="f2dbdb" w:themeFill="accent2"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5">
    <w:name w:val="Medium Grid 2 Accent 3"/>
    <w:basedOn w:val="1145"/>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5f8ee" w:themeFill="accent3" w:themeFillTint="19"/>
        <w:tcBorders/>
      </w:tcPr>
    </w:tblStylePr>
    <w:tblStylePr w:type="lastCol">
      <w:rPr>
        <w:b w:val="0"/>
        <w:bCs w:val="0"/>
        <w:color w:val="000000" w:themeColor="text1"/>
      </w:rPr>
      <w:pPr>
        <w:pBdr/>
        <w:spacing/>
        <w:ind/>
      </w:pPr>
      <w:tblPr>
        <w:tblBorders/>
      </w:tblPr>
      <w:tcPr>
        <w:shd w:val="clear" w:color="auto" w:fill="eaf1dd" w:themeFill="accent3"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6">
    <w:name w:val="Medium Grid 2 Accent 4"/>
    <w:basedOn w:val="1145"/>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2eff6" w:themeFill="accent4" w:themeFillTint="19"/>
        <w:tcBorders/>
      </w:tcPr>
    </w:tblStylePr>
    <w:tblStylePr w:type="lastCol">
      <w:rPr>
        <w:b w:val="0"/>
        <w:bCs w:val="0"/>
        <w:color w:val="000000" w:themeColor="text1"/>
      </w:rPr>
      <w:pPr>
        <w:pBdr/>
        <w:spacing/>
        <w:ind/>
      </w:pPr>
      <w:tblPr>
        <w:tblBorders/>
      </w:tblPr>
      <w:tcPr>
        <w:shd w:val="clear" w:color="auto" w:fill="e5dfec" w:themeFill="accent4"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7">
    <w:name w:val="Medium Grid 2 Accent 5"/>
    <w:basedOn w:val="1145"/>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6f9" w:themeFill="accent5" w:themeFillTint="19"/>
        <w:tcBorders/>
      </w:tcPr>
    </w:tblStylePr>
    <w:tblStylePr w:type="lastCol">
      <w:rPr>
        <w:b w:val="0"/>
        <w:bCs w:val="0"/>
        <w:color w:val="000000" w:themeColor="text1"/>
      </w:rPr>
      <w:pPr>
        <w:pBdr/>
        <w:spacing/>
        <w:ind/>
      </w:pPr>
      <w:tblPr>
        <w:tblBorders/>
      </w:tblPr>
      <w:tcPr>
        <w:shd w:val="clear" w:color="auto" w:fill="daeef3" w:themeFill="accent5"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8">
    <w:name w:val="Medium Grid 2 Accent 6"/>
    <w:basedOn w:val="1145"/>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ef4ec" w:themeFill="accent6" w:themeFillTint="19"/>
        <w:tcBorders/>
      </w:tcPr>
    </w:tblStylePr>
    <w:tblStylePr w:type="lastCol">
      <w:rPr>
        <w:b w:val="0"/>
        <w:bCs w:val="0"/>
        <w:color w:val="000000" w:themeColor="text1"/>
      </w:rPr>
      <w:pPr>
        <w:pBdr/>
        <w:spacing/>
        <w:ind/>
      </w:pPr>
      <w:tblPr>
        <w:tblBorders/>
      </w:tblPr>
      <w:tcPr>
        <w:shd w:val="clear" w:color="auto" w:fill="fde9d9" w:themeFill="accent6"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9">
    <w:name w:val="Medium Grid 3"/>
    <w:basedOn w:val="1145"/>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000000" w:themeFill="tex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000000" w:themeFill="tex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000000" w:themeFill="tex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000000" w:themeFill="tex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0">
    <w:name w:val="Medium Grid 3 Accent 1"/>
    <w:basedOn w:val="1145"/>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f81bd" w:themeFill="accen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f81bd" w:themeFill="accen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f81bd" w:themeFill="accen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f81bd" w:themeFill="accen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1">
    <w:name w:val="Medium Grid 3 Accent 2"/>
    <w:basedOn w:val="1145"/>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c0504d" w:themeFill="accent2"/>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c0504d" w:themeFill="accent2"/>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c0504d" w:themeFill="accent2"/>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c0504d" w:themeFill="accent2"/>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2">
    <w:name w:val="Medium Grid 3 Accent 3"/>
    <w:basedOn w:val="1145"/>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9bbb59" w:themeFill="accent3"/>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9bbb59" w:themeFill="accent3"/>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9bbb59" w:themeFill="accent3"/>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9bbb59" w:themeFill="accent3"/>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3">
    <w:name w:val="Medium Grid 3 Accent 4"/>
    <w:basedOn w:val="1145"/>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8064a2" w:themeFill="accent4"/>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8064a2" w:themeFill="accent4"/>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8064a2" w:themeFill="accent4"/>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8064a2" w:themeFill="accent4"/>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4">
    <w:name w:val="Medium Grid 3 Accent 5"/>
    <w:basedOn w:val="1145"/>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bacc6" w:themeFill="accent5"/>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bacc6" w:themeFill="accent5"/>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bacc6" w:themeFill="accent5"/>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bacc6" w:themeFill="accent5"/>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5">
    <w:name w:val="Medium Grid 3 Accent 6"/>
    <w:basedOn w:val="1145"/>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f79646" w:themeFill="accent6"/>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f79646" w:themeFill="accent6"/>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f79646" w:themeFill="accent6"/>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f79646" w:themeFill="accent6"/>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6">
    <w:name w:val="Dark List"/>
    <w:basedOn w:val="1145"/>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000000" w:themeFill="text1"/>
      <w:tcBorders/>
    </w:tcPr>
    <w:tblStylePr w:type="band1Horz">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000000" w:themeFill="tex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000000" w:themeFill="tex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7">
    <w:name w:val="Dark List Accent 1"/>
    <w:basedOn w:val="1145"/>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f81bd" w:themeFill="accent1"/>
      <w:tcBorders/>
    </w:tcPr>
    <w:tblStylePr w:type="band1Horz">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65f91" w:themeFill="accen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43f60" w:themeFill="accen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8">
    <w:name w:val="Dark List Accent 2"/>
    <w:basedOn w:val="1145"/>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c0504d" w:themeFill="accent2"/>
      <w:tcBorders/>
    </w:tcPr>
    <w:tblStylePr w:type="band1Horz">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943634" w:themeFill="accent2"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622423" w:themeFill="accent2"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9">
    <w:name w:val="Dark List Accent 3"/>
    <w:basedOn w:val="1145"/>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9bbb59" w:themeFill="accent3"/>
      <w:tcBorders/>
    </w:tcPr>
    <w:tblStylePr w:type="band1Horz">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76923c" w:themeFill="accent3"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4e6128" w:themeFill="accent3"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0">
    <w:name w:val="Dark List Accent 4"/>
    <w:basedOn w:val="1145"/>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8064a2" w:themeFill="accent4"/>
      <w:tcBorders/>
    </w:tcPr>
    <w:tblStylePr w:type="band1Horz">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5f497a" w:themeFill="accent4"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3f3151" w:themeFill="accent4"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1">
    <w:name w:val="Dark List Accent 5"/>
    <w:basedOn w:val="1145"/>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bacc6" w:themeFill="accent5"/>
      <w:tcBorders/>
    </w:tcPr>
    <w:tblStylePr w:type="band1Horz">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1849b" w:themeFill="accent5"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05867" w:themeFill="accent5"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2">
    <w:name w:val="Dark List Accent 6"/>
    <w:basedOn w:val="1145"/>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f79646" w:themeFill="accent6"/>
      <w:tcBorders/>
    </w:tcPr>
    <w:tblStylePr w:type="band1Horz">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e36c0a" w:themeFill="accent6"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974706" w:themeFill="accent6"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3">
    <w:name w:val="Colorful Shading"/>
    <w:basedOn w:val="1145"/>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999999" w:themeFill="tex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000000" w:themeFill="tex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4">
    <w:name w:val="Colorful Shading Accent 1"/>
    <w:basedOn w:val="1145"/>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b8cce4" w:themeFill="accen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c4c74" w:themeFill="accen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5">
    <w:name w:val="Colorful Shading Accent 2"/>
    <w:basedOn w:val="1145"/>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e5b8b7" w:themeFill="accent2"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772c2a" w:themeFill="accent2"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6">
    <w:name w:val="Colorful Shading Accent 3"/>
    <w:basedOn w:val="1145"/>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d6e3bc" w:themeFill="accent3"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5e7530" w:themeFill="accent3" w:themeFillShade="99"/>
        <w:tcBorders>
          <w:top w:val="single" w:color="ffffff" w:themeColor="background1" w:sz="6"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7">
    <w:name w:val="Colorful Shading Accent 4"/>
    <w:basedOn w:val="1145"/>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ccc0d9" w:themeFill="accent4"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4c3b62" w:themeFill="accent4"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8">
    <w:name w:val="Colorful Shading Accent 5"/>
    <w:basedOn w:val="1145"/>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b6dde8" w:themeFill="accent5"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76a7c" w:themeFill="accent5"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9">
    <w:name w:val="Colorful Shading Accent 6"/>
    <w:basedOn w:val="1145"/>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d4b4" w:themeFill="accent6"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b65608" w:themeFill="accent6"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0">
    <w:name w:val="Colorful List"/>
    <w:basedOn w:val="1145"/>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6e6e6" w:themeFill="text1" w:themeFillTint="19"/>
      <w:tcBorders/>
    </w:tcPr>
    <w:tblStylePr w:type="band1Horz">
      <w:pPr>
        <w:pBdr/>
        <w:spacing/>
        <w:ind/>
      </w:pPr>
      <w:tblPr>
        <w:tblBorders/>
      </w:tblPr>
      <w:tcPr>
        <w:shd w:val="clear" w:color="auto" w:fill="cccccc" w:themeFill="text1" w:themeFillTint="33"/>
        <w:tcBorders/>
      </w:tcPr>
    </w:tblStylePr>
    <w:tblStylePr w:type="band1Vert">
      <w:pPr>
        <w:pBdr/>
        <w:spacing/>
        <w:ind/>
      </w:pPr>
      <w:tblPr>
        <w:tblBorders/>
      </w:tblPr>
      <w:tcPr>
        <w:shd w:val="clear" w:color="auto" w:fill="c0c0c0" w:themeFill="tex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1">
    <w:name w:val="Colorful List Accent 1"/>
    <w:basedOn w:val="1145"/>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2f8" w:themeFill="accent1" w:themeFillTint="19"/>
      <w:tcBorders/>
    </w:tcPr>
    <w:tblStylePr w:type="band1Horz">
      <w:pPr>
        <w:pBdr/>
        <w:spacing/>
        <w:ind/>
      </w:pPr>
      <w:tblPr>
        <w:tblBorders/>
      </w:tblPr>
      <w:tcPr>
        <w:shd w:val="clear" w:color="auto" w:fill="dbe5f1" w:themeFill="accent1" w:themeFillTint="33"/>
        <w:tcBorders/>
      </w:tcPr>
    </w:tblStylePr>
    <w:tblStylePr w:type="band1Vert">
      <w:pPr>
        <w:pBdr/>
        <w:spacing/>
        <w:ind/>
      </w:pPr>
      <w:tblPr>
        <w:tblBorders/>
      </w:tblPr>
      <w:tcPr>
        <w:shd w:val="clear" w:color="auto" w:fill="d3dfee" w:themeFill="accen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2">
    <w:name w:val="Colorful List Accent 2"/>
    <w:basedOn w:val="1145"/>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8eded" w:themeFill="accent2" w:themeFillTint="19"/>
      <w:tcBorders/>
    </w:tcPr>
    <w:tblStylePr w:type="band1Horz">
      <w:pPr>
        <w:pBdr/>
        <w:spacing/>
        <w:ind/>
      </w:pPr>
      <w:tblPr>
        <w:tblBorders/>
      </w:tblPr>
      <w:tcPr>
        <w:shd w:val="clear" w:color="auto" w:fill="f2dbdb" w:themeFill="accent2" w:themeFillTint="33"/>
        <w:tcBorders/>
      </w:tcPr>
    </w:tblStylePr>
    <w:tblStylePr w:type="band1Vert">
      <w:pPr>
        <w:pBdr/>
        <w:spacing/>
        <w:ind/>
      </w:pPr>
      <w:tblPr>
        <w:tblBorders/>
      </w:tblPr>
      <w:tcPr>
        <w:shd w:val="clear" w:color="auto" w:fill="efd3d2" w:themeFill="accent2"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3">
    <w:name w:val="Colorful List Accent 3"/>
    <w:basedOn w:val="1145"/>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5f8ee" w:themeFill="accent3" w:themeFillTint="19"/>
      <w:tcBorders/>
    </w:tcPr>
    <w:tblStylePr w:type="band1Horz">
      <w:pPr>
        <w:pBdr/>
        <w:spacing/>
        <w:ind/>
      </w:pPr>
      <w:tblPr>
        <w:tblBorders/>
      </w:tblPr>
      <w:tcPr>
        <w:shd w:val="clear" w:color="auto" w:fill="eaf1dd" w:themeFill="accent3" w:themeFillTint="33"/>
        <w:tcBorders/>
      </w:tcPr>
    </w:tblStylePr>
    <w:tblStylePr w:type="band1Vert">
      <w:pPr>
        <w:pBdr/>
        <w:spacing/>
        <w:ind/>
      </w:pPr>
      <w:tblPr>
        <w:tblBorders/>
      </w:tblPr>
      <w:tcPr>
        <w:shd w:val="clear" w:color="auto" w:fill="e6eed5" w:themeFill="accent3"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664e82" w:themeFill="accent4"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664e82" w:themeColor="accent4"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4">
    <w:name w:val="Colorful List Accent 4"/>
    <w:basedOn w:val="1145"/>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2eff6" w:themeFill="accent4" w:themeFillTint="19"/>
      <w:tcBorders/>
    </w:tcPr>
    <w:tblStylePr w:type="band1Horz">
      <w:pPr>
        <w:pBdr/>
        <w:spacing/>
        <w:ind/>
      </w:pPr>
      <w:tblPr>
        <w:tblBorders/>
      </w:tblPr>
      <w:tcPr>
        <w:shd w:val="clear" w:color="auto" w:fill="e5dfec" w:themeFill="accent4" w:themeFillTint="33"/>
        <w:tcBorders/>
      </w:tcPr>
    </w:tblStylePr>
    <w:tblStylePr w:type="band1Vert">
      <w:pPr>
        <w:pBdr/>
        <w:spacing/>
        <w:ind/>
      </w:pPr>
      <w:tblPr>
        <w:tblBorders/>
      </w:tblPr>
      <w:tcPr>
        <w:shd w:val="clear" w:color="auto" w:fill="dfd8e8" w:themeFill="accent4"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7e9c40" w:themeFill="accent3"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7e9c40" w:themeColor="accent3"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5">
    <w:name w:val="Colorful List Accent 5"/>
    <w:basedOn w:val="1145"/>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6f9" w:themeFill="accent5" w:themeFillTint="19"/>
      <w:tcBorders/>
    </w:tcPr>
    <w:tblStylePr w:type="band1Horz">
      <w:pPr>
        <w:pBdr/>
        <w:spacing/>
        <w:ind/>
      </w:pPr>
      <w:tblPr>
        <w:tblBorders/>
      </w:tblPr>
      <w:tcPr>
        <w:shd w:val="clear" w:color="auto" w:fill="daeef3" w:themeFill="accent5" w:themeFillTint="33"/>
        <w:tcBorders/>
      </w:tcPr>
    </w:tblStylePr>
    <w:tblStylePr w:type="band1Vert">
      <w:pPr>
        <w:pBdr/>
        <w:spacing/>
        <w:ind/>
      </w:pPr>
      <w:tblPr>
        <w:tblBorders/>
      </w:tblPr>
      <w:tcPr>
        <w:shd w:val="clear" w:color="auto" w:fill="d2eaf1" w:themeFill="accent5"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f2730a" w:themeFill="accent6"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f2730a" w:themeColor="accent6"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6">
    <w:name w:val="Colorful List Accent 6"/>
    <w:basedOn w:val="1145"/>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ef4ec" w:themeFill="accent6" w:themeFillTint="19"/>
      <w:tcBorders/>
    </w:tcPr>
    <w:tblStylePr w:type="band1Horz">
      <w:pPr>
        <w:pBdr/>
        <w:spacing/>
        <w:ind/>
      </w:pPr>
      <w:tblPr>
        <w:tblBorders/>
      </w:tblPr>
      <w:tcPr>
        <w:shd w:val="clear" w:color="auto" w:fill="fde9d9" w:themeFill="accent6" w:themeFillTint="33"/>
        <w:tcBorders/>
      </w:tcPr>
    </w:tblStylePr>
    <w:tblStylePr w:type="band1Vert">
      <w:pPr>
        <w:pBdr/>
        <w:spacing/>
        <w:ind/>
      </w:pPr>
      <w:tblPr>
        <w:tblBorders/>
      </w:tblPr>
      <w:tcPr>
        <w:shd w:val="clear" w:color="auto" w:fill="fde4d0" w:themeFill="accent6"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348da5" w:themeFill="accent5"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348da5" w:themeColor="accent5"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7">
    <w:name w:val="Colorful Grid"/>
    <w:basedOn w:val="1145"/>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cccccc" w:themeFill="text1" w:themeFillTint="33"/>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BF"/>
        <w:tcBorders/>
      </w:tcPr>
    </w:tblStylePr>
    <w:tblStylePr w:type="firstRow">
      <w:rPr>
        <w:b/>
        <w:bCs/>
      </w:rPr>
      <w:pPr>
        <w:pBdr/>
        <w:spacing/>
        <w:ind/>
      </w:pPr>
      <w:tblPr>
        <w:tblBorders/>
      </w:tblPr>
      <w:tcPr>
        <w:shd w:val="clear" w:color="auto" w:fill="999999" w:themeFill="text1" w:themeFillTint="66"/>
        <w:tcBorders/>
      </w:tcPr>
    </w:tblStylePr>
    <w:tblStylePr w:type="lastCol">
      <w:rPr>
        <w:color w:val="ffffff" w:themeColor="background1"/>
      </w:rPr>
      <w:pPr>
        <w:pBdr/>
        <w:spacing/>
        <w:ind/>
      </w:pPr>
      <w:tblPr>
        <w:tblBorders/>
      </w:tblPr>
      <w:tcPr>
        <w:shd w:val="clear" w:color="auto" w:fill="000000" w:themeFill="text1" w:themeFillShade="BF"/>
        <w:tcBorders/>
      </w:tcPr>
    </w:tblStylePr>
    <w:tblStylePr w:type="lastRow">
      <w:rPr>
        <w:b/>
        <w:bCs/>
        <w:color w:val="000000" w:themeColor="text1"/>
      </w:rPr>
      <w:pPr>
        <w:pBdr/>
        <w:spacing/>
        <w:ind/>
      </w:pPr>
      <w:tblPr>
        <w:tblBorders/>
      </w:tblPr>
      <w:tcPr>
        <w:shd w:val="clear" w:color="auto" w:fill="999999" w:themeFill="tex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8">
    <w:name w:val="Colorful Grid Accent 1"/>
    <w:basedOn w:val="1145"/>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be5f1" w:themeFill="accent1" w:themeFillTint="33"/>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65f91" w:themeFill="accent1" w:themeFillShade="BF"/>
        <w:tcBorders/>
      </w:tcPr>
    </w:tblStylePr>
    <w:tblStylePr w:type="firstRow">
      <w:rPr>
        <w:b/>
        <w:bCs/>
      </w:rPr>
      <w:pPr>
        <w:pBdr/>
        <w:spacing/>
        <w:ind/>
      </w:pPr>
      <w:tblPr>
        <w:tblBorders/>
      </w:tblPr>
      <w:tcPr>
        <w:shd w:val="clear" w:color="auto" w:fill="b8cce4" w:themeFill="accent1" w:themeFillTint="66"/>
        <w:tcBorders/>
      </w:tcPr>
    </w:tblStylePr>
    <w:tblStylePr w:type="lastCol">
      <w:rPr>
        <w:color w:val="ffffff" w:themeColor="background1"/>
      </w:rPr>
      <w:pPr>
        <w:pBdr/>
        <w:spacing/>
        <w:ind/>
      </w:pPr>
      <w:tblPr>
        <w:tblBorders/>
      </w:tblPr>
      <w:tcPr>
        <w:shd w:val="clear" w:color="auto" w:fill="365f91" w:themeFill="accent1" w:themeFillShade="BF"/>
        <w:tcBorders/>
      </w:tcPr>
    </w:tblStylePr>
    <w:tblStylePr w:type="lastRow">
      <w:rPr>
        <w:b/>
        <w:bCs/>
        <w:color w:val="000000" w:themeColor="text1"/>
      </w:rPr>
      <w:pPr>
        <w:pBdr/>
        <w:spacing/>
        <w:ind/>
      </w:pPr>
      <w:tblPr>
        <w:tblBorders/>
      </w:tblPr>
      <w:tcPr>
        <w:shd w:val="clear" w:color="auto" w:fill="b8cce4" w:themeFill="accen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9">
    <w:name w:val="Colorful Grid Accent 2"/>
    <w:basedOn w:val="1145"/>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2dbdb" w:themeFill="accent2" w:themeFillTint="33"/>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943634" w:themeFill="accent2" w:themeFillShade="BF"/>
        <w:tcBorders/>
      </w:tcPr>
    </w:tblStylePr>
    <w:tblStylePr w:type="firstRow">
      <w:rPr>
        <w:b/>
        <w:bCs/>
      </w:rPr>
      <w:pPr>
        <w:pBdr/>
        <w:spacing/>
        <w:ind/>
      </w:pPr>
      <w:tblPr>
        <w:tblBorders/>
      </w:tblPr>
      <w:tcPr>
        <w:shd w:val="clear" w:color="auto" w:fill="e5b8b7" w:themeFill="accent2" w:themeFillTint="66"/>
        <w:tcBorders/>
      </w:tcPr>
    </w:tblStylePr>
    <w:tblStylePr w:type="lastCol">
      <w:rPr>
        <w:color w:val="ffffff" w:themeColor="background1"/>
      </w:rPr>
      <w:pPr>
        <w:pBdr/>
        <w:spacing/>
        <w:ind/>
      </w:pPr>
      <w:tblPr>
        <w:tblBorders/>
      </w:tblPr>
      <w:tcPr>
        <w:shd w:val="clear" w:color="auto" w:fill="943634" w:themeFill="accent2" w:themeFillShade="BF"/>
        <w:tcBorders/>
      </w:tcPr>
    </w:tblStylePr>
    <w:tblStylePr w:type="lastRow">
      <w:rPr>
        <w:b/>
        <w:bCs/>
        <w:color w:val="000000" w:themeColor="text1"/>
      </w:rPr>
      <w:pPr>
        <w:pBdr/>
        <w:spacing/>
        <w:ind/>
      </w:pPr>
      <w:tblPr>
        <w:tblBorders/>
      </w:tblPr>
      <w:tcPr>
        <w:shd w:val="clear" w:color="auto" w:fill="e5b8b7" w:themeFill="accent2"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0">
    <w:name w:val="Colorful Grid Accent 3"/>
    <w:basedOn w:val="1145"/>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af1dd" w:themeFill="accent3" w:themeFillTint="33"/>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6923c" w:themeFill="accent3" w:themeFillShade="BF"/>
        <w:tcBorders/>
      </w:tcPr>
    </w:tblStylePr>
    <w:tblStylePr w:type="firstRow">
      <w:rPr>
        <w:b/>
        <w:bCs/>
      </w:rPr>
      <w:pPr>
        <w:pBdr/>
        <w:spacing/>
        <w:ind/>
      </w:pPr>
      <w:tblPr>
        <w:tblBorders/>
      </w:tblPr>
      <w:tcPr>
        <w:shd w:val="clear" w:color="auto" w:fill="d6e3bc" w:themeFill="accent3" w:themeFillTint="66"/>
        <w:tcBorders/>
      </w:tcPr>
    </w:tblStylePr>
    <w:tblStylePr w:type="lastCol">
      <w:rPr>
        <w:color w:val="ffffff" w:themeColor="background1"/>
      </w:rPr>
      <w:pPr>
        <w:pBdr/>
        <w:spacing/>
        <w:ind/>
      </w:pPr>
      <w:tblPr>
        <w:tblBorders/>
      </w:tblPr>
      <w:tcPr>
        <w:shd w:val="clear" w:color="auto" w:fill="76923c" w:themeFill="accent3" w:themeFillShade="BF"/>
        <w:tcBorders/>
      </w:tcPr>
    </w:tblStylePr>
    <w:tblStylePr w:type="lastRow">
      <w:rPr>
        <w:b/>
        <w:bCs/>
        <w:color w:val="000000" w:themeColor="text1"/>
      </w:rPr>
      <w:pPr>
        <w:pBdr/>
        <w:spacing/>
        <w:ind/>
      </w:pPr>
      <w:tblPr>
        <w:tblBorders/>
      </w:tblPr>
      <w:tcPr>
        <w:shd w:val="clear" w:color="auto" w:fill="d6e3bc" w:themeFill="accent3"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1">
    <w:name w:val="Colorful Grid Accent 4"/>
    <w:basedOn w:val="1145"/>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5dfec" w:themeFill="accent4" w:themeFillTint="33"/>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f497a" w:themeFill="accent4" w:themeFillShade="BF"/>
        <w:tcBorders/>
      </w:tcPr>
    </w:tblStylePr>
    <w:tblStylePr w:type="firstRow">
      <w:rPr>
        <w:b/>
        <w:bCs/>
      </w:rPr>
      <w:pPr>
        <w:pBdr/>
        <w:spacing/>
        <w:ind/>
      </w:pPr>
      <w:tblPr>
        <w:tblBorders/>
      </w:tblPr>
      <w:tcPr>
        <w:shd w:val="clear" w:color="auto" w:fill="ccc0d9" w:themeFill="accent4" w:themeFillTint="66"/>
        <w:tcBorders/>
      </w:tcPr>
    </w:tblStylePr>
    <w:tblStylePr w:type="lastCol">
      <w:rPr>
        <w:color w:val="ffffff" w:themeColor="background1"/>
      </w:rPr>
      <w:pPr>
        <w:pBdr/>
        <w:spacing/>
        <w:ind/>
      </w:pPr>
      <w:tblPr>
        <w:tblBorders/>
      </w:tblPr>
      <w:tcPr>
        <w:shd w:val="clear" w:color="auto" w:fill="5f497a" w:themeFill="accent4" w:themeFillShade="BF"/>
        <w:tcBorders/>
      </w:tcPr>
    </w:tblStylePr>
    <w:tblStylePr w:type="lastRow">
      <w:rPr>
        <w:b/>
        <w:bCs/>
        <w:color w:val="000000" w:themeColor="text1"/>
      </w:rPr>
      <w:pPr>
        <w:pBdr/>
        <w:spacing/>
        <w:ind/>
      </w:pPr>
      <w:tblPr>
        <w:tblBorders/>
      </w:tblPr>
      <w:tcPr>
        <w:shd w:val="clear" w:color="auto" w:fill="ccc0d9" w:themeFill="accent4"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2">
    <w:name w:val="Colorful Grid Accent 5"/>
    <w:basedOn w:val="1145"/>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aeef3" w:themeFill="accent5" w:themeFillTint="33"/>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1849b" w:themeFill="accent5" w:themeFillShade="BF"/>
        <w:tcBorders/>
      </w:tcPr>
    </w:tblStylePr>
    <w:tblStylePr w:type="firstRow">
      <w:rPr>
        <w:b/>
        <w:bCs/>
      </w:rPr>
      <w:pPr>
        <w:pBdr/>
        <w:spacing/>
        <w:ind/>
      </w:pPr>
      <w:tblPr>
        <w:tblBorders/>
      </w:tblPr>
      <w:tcPr>
        <w:shd w:val="clear" w:color="auto" w:fill="b6dde8" w:themeFill="accent5" w:themeFillTint="66"/>
        <w:tcBorders/>
      </w:tcPr>
    </w:tblStylePr>
    <w:tblStylePr w:type="lastCol">
      <w:rPr>
        <w:color w:val="ffffff" w:themeColor="background1"/>
      </w:rPr>
      <w:pPr>
        <w:pBdr/>
        <w:spacing/>
        <w:ind/>
      </w:pPr>
      <w:tblPr>
        <w:tblBorders/>
      </w:tblPr>
      <w:tcPr>
        <w:shd w:val="clear" w:color="auto" w:fill="31849b" w:themeFill="accent5" w:themeFillShade="BF"/>
        <w:tcBorders/>
      </w:tcPr>
    </w:tblStylePr>
    <w:tblStylePr w:type="lastRow">
      <w:rPr>
        <w:b/>
        <w:bCs/>
        <w:color w:val="000000" w:themeColor="text1"/>
      </w:rPr>
      <w:pPr>
        <w:pBdr/>
        <w:spacing/>
        <w:ind/>
      </w:pPr>
      <w:tblPr>
        <w:tblBorders/>
      </w:tblPr>
      <w:tcPr>
        <w:shd w:val="clear" w:color="auto" w:fill="b6dde8" w:themeFill="accent5"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3">
    <w:name w:val="Colorful Grid Accent 6"/>
    <w:basedOn w:val="1145"/>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de9d9" w:themeFill="accent6" w:themeFillTint="33"/>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e36c0a" w:themeFill="accent6" w:themeFillShade="BF"/>
        <w:tcBorders/>
      </w:tcPr>
    </w:tblStylePr>
    <w:tblStylePr w:type="firstRow">
      <w:rPr>
        <w:b/>
        <w:bCs/>
      </w:rPr>
      <w:pPr>
        <w:pBdr/>
        <w:spacing/>
        <w:ind/>
      </w:pPr>
      <w:tblPr>
        <w:tblBorders/>
      </w:tblPr>
      <w:tcPr>
        <w:shd w:val="clear" w:color="auto" w:fill="fbd4b4" w:themeFill="accent6" w:themeFillTint="66"/>
        <w:tcBorders/>
      </w:tcPr>
    </w:tblStylePr>
    <w:tblStylePr w:type="lastCol">
      <w:rPr>
        <w:color w:val="ffffff" w:themeColor="background1"/>
      </w:rPr>
      <w:pPr>
        <w:pBdr/>
        <w:spacing/>
        <w:ind/>
      </w:pPr>
      <w:tblPr>
        <w:tblBorders/>
      </w:tblPr>
      <w:tcPr>
        <w:shd w:val="clear" w:color="auto" w:fill="e36c0a" w:themeFill="accent6" w:themeFillShade="BF"/>
        <w:tcBorders/>
      </w:tcPr>
    </w:tblStylePr>
    <w:tblStylePr w:type="lastRow">
      <w:rPr>
        <w:b/>
        <w:bCs/>
        <w:color w:val="000000" w:themeColor="text1"/>
      </w:rPr>
      <w:pPr>
        <w:pBdr/>
        <w:spacing/>
        <w:ind/>
      </w:pPr>
      <w:tblPr>
        <w:tblBorders/>
      </w:tblPr>
      <w:tcPr>
        <w:shd w:val="clear" w:color="auto" w:fill="fbd4b4" w:themeFill="accent6"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294" w:customStyle="1">
    <w:name w:val="Eyebrow"/>
    <w:pPr>
      <w:pBdr/>
      <w:spacing w:after="100"/>
      <w:ind/>
      <w:jc w:val="center"/>
    </w:pPr>
    <w:rPr>
      <w:rFonts w:ascii="Noto Sans" w:hAnsi="Noto Sans" w:eastAsia="Noto Sans" w:cs="Noto Sans"/>
      <w:b/>
      <w:bCs/>
      <w:color w:val="163f52"/>
      <w:sz w:val="28"/>
      <w:szCs w:val="28"/>
    </w:rPr>
  </w:style>
  <w:style w:type="paragraph" w:styleId="1295" w:customStyle="1">
    <w:name w:val="Body Compact"/>
    <w:pPr>
      <w:pBdr/>
      <w:spacing w:after="40" w:line="259" w:lineRule="auto"/>
      <w:ind/>
    </w:pPr>
    <w:rPr>
      <w:rFonts w:ascii="Noto Serif" w:hAnsi="Noto Serif" w:eastAsia="Noto Serif" w:cs="Noto Serif"/>
      <w:color w:val="1f2326"/>
      <w:sz w:val="18"/>
      <w:szCs w:val="18"/>
    </w:rPr>
  </w:style>
  <w:style w:type="paragraph" w:styleId="1296" w:customStyle="1">
    <w:name w:val="Table Body"/>
    <w:pPr>
      <w:pBdr/>
      <w:spacing w:after="0" w:line="240" w:lineRule="auto"/>
      <w:ind/>
    </w:pPr>
    <w:rPr>
      <w:rFonts w:ascii="Noto Serif" w:hAnsi="Noto Serif" w:eastAsia="Noto Serif" w:cs="Noto Serif"/>
      <w:color w:val="1f2326"/>
      <w:sz w:val="16"/>
      <w:szCs w:val="16"/>
    </w:rPr>
  </w:style>
  <w:style w:type="paragraph" w:styleId="1297" w:customStyle="1">
    <w:name w:val="Table Dense"/>
    <w:pPr>
      <w:pBdr/>
      <w:spacing w:after="0" w:line="240" w:lineRule="auto"/>
      <w:ind/>
    </w:pPr>
    <w:rPr>
      <w:rFonts w:ascii="Noto Serif" w:hAnsi="Noto Serif" w:eastAsia="Noto Serif" w:cs="Noto Serif"/>
      <w:color w:val="1f2326"/>
      <w:sz w:val="14"/>
      <w:szCs w:val="14"/>
    </w:rPr>
  </w:style>
  <w:style w:type="paragraph" w:styleId="1298" w:customStyle="1">
    <w:name w:val="Table Header"/>
    <w:pPr>
      <w:pBdr/>
      <w:spacing w:after="0" w:line="240" w:lineRule="auto"/>
      <w:ind/>
    </w:pPr>
    <w:rPr>
      <w:rFonts w:ascii="Noto Sans" w:hAnsi="Noto Sans" w:eastAsia="Noto Sans" w:cs="Noto Sans"/>
      <w:b/>
      <w:bCs/>
      <w:color w:val="ffffff"/>
      <w:sz w:val="16"/>
      <w:szCs w:val="16"/>
    </w:rPr>
  </w:style>
  <w:style w:type="paragraph" w:styleId="1299" w:customStyle="1">
    <w:name w:val="Table Dense Header"/>
    <w:pPr>
      <w:pBdr/>
      <w:spacing w:after="0" w:line="240" w:lineRule="auto"/>
      <w:ind/>
    </w:pPr>
    <w:rPr>
      <w:rFonts w:ascii="Noto Sans" w:hAnsi="Noto Sans" w:eastAsia="Noto Sans" w:cs="Noto Sans"/>
      <w:b/>
      <w:bCs/>
      <w:color w:val="ffffff"/>
      <w:sz w:val="14"/>
      <w:szCs w:val="14"/>
    </w:rPr>
  </w:style>
  <w:style w:type="paragraph" w:styleId="1300" w:customStyle="1">
    <w:name w:val="Note"/>
    <w:pPr>
      <w:pBdr/>
      <w:spacing w:after="40" w:line="240" w:lineRule="auto"/>
      <w:ind/>
    </w:pPr>
    <w:rPr>
      <w:rFonts w:ascii="Noto Serif" w:hAnsi="Noto Serif" w:eastAsia="Noto Serif" w:cs="Noto Serif"/>
      <w:color w:val="464e52"/>
      <w:sz w:val="16"/>
      <w:szCs w:val="16"/>
    </w:rPr>
  </w:style>
  <w:style w:type="paragraph" w:styleId="1301" w:customStyle="1">
    <w:name w:val="Callout Label"/>
    <w:pPr>
      <w:pBdr/>
      <w:spacing w:after="40" w:line="259" w:lineRule="auto"/>
      <w:ind/>
    </w:pPr>
    <w:rPr>
      <w:rFonts w:ascii="Noto Sans" w:hAnsi="Noto Sans" w:eastAsia="Noto Sans" w:cs="Noto Sans"/>
      <w:b/>
      <w:bCs/>
      <w:color w:val="ffffff"/>
      <w:sz w:val="16"/>
      <w:szCs w:val="16"/>
    </w:rPr>
  </w:style>
  <w:style w:type="paragraph" w:styleId="1302" w:customStyle="1">
    <w:name w:val="Callout Text"/>
    <w:pPr>
      <w:pBdr/>
      <w:spacing w:after="40" w:line="259" w:lineRule="auto"/>
      <w:ind/>
    </w:pPr>
    <w:rPr>
      <w:rFonts w:ascii="Noto Serif" w:hAnsi="Noto Serif" w:eastAsia="Noto Serif" w:cs="Noto Serif"/>
      <w:color w:val="1f2326"/>
      <w:sz w:val="18"/>
      <w:szCs w:val="18"/>
    </w:rPr>
  </w:style>
  <w:style w:type="paragraph" w:styleId="1303" w:customStyle="1">
    <w:name w:val="toc 1"/>
    <w:pPr>
      <w:keepLines w:val="true"/>
      <w:pBdr/>
      <w:spacing w:after="30" w:line="259" w:lineRule="auto"/>
      <w:ind/>
    </w:pPr>
    <w:rPr>
      <w:rFonts w:ascii="Noto Serif" w:hAnsi="Noto Serif" w:eastAsia="Noto Serif" w:cs="Noto Serif"/>
      <w:color w:val="163f52"/>
      <w:sz w:val="18"/>
      <w:szCs w:val="18"/>
    </w:rPr>
  </w:style>
  <w:style w:type="paragraph" w:styleId="1304" w:customStyle="1">
    <w:name w:val="toc 2"/>
    <w:pPr>
      <w:keepLines w:val="true"/>
      <w:pBdr/>
      <w:spacing w:after="30" w:line="259" w:lineRule="auto"/>
      <w:ind w:left="288"/>
    </w:pPr>
    <w:rPr>
      <w:rFonts w:ascii="Noto Serif" w:hAnsi="Noto Serif" w:eastAsia="Noto Serif" w:cs="Noto Serif"/>
      <w:color w:val="1f2326"/>
      <w:sz w:val="16"/>
      <w:szCs w:val="16"/>
    </w:rPr>
  </w:style>
  <w:style w:type="paragraph" w:styleId="1305" w:customStyle="1">
    <w:name w:val="toc 3"/>
    <w:pPr>
      <w:keepLines w:val="true"/>
      <w:pBdr/>
      <w:spacing w:after="30" w:line="259" w:lineRule="auto"/>
      <w:ind w:left="648"/>
    </w:pPr>
    <w:rPr>
      <w:rFonts w:ascii="Noto Serif" w:hAnsi="Noto Serif" w:eastAsia="Noto Serif" w:cs="Noto Serif"/>
      <w:color w:val="1f2326"/>
      <w:sz w:val="16"/>
      <w:szCs w:val="16"/>
    </w:rPr>
  </w:style>
  <w:style w:type="paragraph" w:styleId="1_1" w:customStyle="1">
    <w:name w:val="Guide Note"/>
    <w:pPr>
      <w:keepNext w:val="false"/>
      <w:keepLines w:val="false"/>
      <w:pageBreakBefore w:val="false"/>
      <w:widowControl w:val="true"/>
      <w:suppressLineNumbers w:val="false"/>
      <w:pBdr>
        <w:top w:val="none" w:color="000000" w:sz="4" w:space="0"/>
        <w:left w:val="none" w:color="000000" w:sz="4" w:space="0"/>
        <w:bottom w:val="none" w:color="000000" w:sz="4" w:space="0"/>
        <w:right w:val="none" w:color="000000" w:sz="4" w:space="0"/>
        <w:between w:val="none" w:color="000000" w:sz="4" w:space="0"/>
      </w:pBdr>
      <w:shd w:val="nil" w:color="000000"/>
      <w:bidi w:val="false"/>
      <w:spacing w:after="100" w:afterAutospacing="0" w:before="0" w:beforeAutospacing="0" w:line="250" w:lineRule="auto"/>
      <w:ind w:right="0" w:firstLine="0" w:left="0"/>
      <w:contextualSpacing w:val="false"/>
      <w:jc w:val="left"/>
    </w:pPr>
    <w:rPr>
      <w:rFonts w:ascii="Arial" w:hAnsi="Arial" w:eastAsiaTheme="minorEastAsia" w:cstheme="minorBidi"/>
      <w:b w:val="0"/>
      <w:bCs w:val="0"/>
      <w:i w:val="0"/>
      <w:iCs w:val="0"/>
      <w:caps w:val="0"/>
      <w:smallCaps w:val="0"/>
      <w:strike w:val="0"/>
      <w:vanish w:val="0"/>
      <w:color w:val="56656e"/>
      <w:spacing w:val="0"/>
      <w:position w:val="0"/>
      <w:sz w:val="18"/>
      <w:szCs w:val="22"/>
      <w:highlight w:val="none"/>
      <w:u w:val="none"/>
      <w:vertAlign w:val="baseline"/>
      <w:rtl w:val="0"/>
      <w:cs w:val="0"/>
      <w:lang w:val="en-US" w:eastAsia="en-US" w:bidi="ar-SA"/>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header" Target="header4.xml"/><Relationship Id="rId13" Type="http://schemas.openxmlformats.org/officeDocument/2006/relationships/header" Target="header5.xml"/><Relationship Id="rId14" Type="http://schemas.openxmlformats.org/officeDocument/2006/relationships/header" Target="header6.xml"/><Relationship Id="rId15" Type="http://schemas.openxmlformats.org/officeDocument/2006/relationships/header" Target="header7.xml"/><Relationship Id="rId16" Type="http://schemas.openxmlformats.org/officeDocument/2006/relationships/header" Target="header8.xml"/><Relationship Id="rId17" Type="http://schemas.openxmlformats.org/officeDocument/2006/relationships/header" Target="header9.xml"/><Relationship Id="rId18" Type="http://schemas.openxmlformats.org/officeDocument/2006/relationships/header" Target="header10.xml"/><Relationship Id="rId19" Type="http://schemas.openxmlformats.org/officeDocument/2006/relationships/header" Target="header11.xml"/><Relationship Id="rId20" Type="http://schemas.openxmlformats.org/officeDocument/2006/relationships/footer" Target="footer1.xml"/><Relationship Id="rId21" Type="http://schemas.openxmlformats.org/officeDocument/2006/relationships/footer" Target="footer2.xml"/><Relationship Id="rId22" Type="http://schemas.openxmlformats.org/officeDocument/2006/relationships/footer" Target="footer3.xml"/><Relationship Id="rId23" Type="http://schemas.openxmlformats.org/officeDocument/2006/relationships/footer" Target="footer4.xml"/><Relationship Id="rId24" Type="http://schemas.openxmlformats.org/officeDocument/2006/relationships/footer" Target="footer5.xml"/><Relationship Id="rId25" Type="http://schemas.openxmlformats.org/officeDocument/2006/relationships/footer" Target="footer6.xml"/><Relationship Id="rId26" Type="http://schemas.openxmlformats.org/officeDocument/2006/relationships/footer" Target="footer7.xml"/><Relationship Id="rId27" Type="http://schemas.openxmlformats.org/officeDocument/2006/relationships/footer" Target="footer8.xml"/><Relationship Id="rId28" Type="http://schemas.openxmlformats.org/officeDocument/2006/relationships/footer" Target="footer9.xml"/><Relationship Id="rId29" Type="http://schemas.openxmlformats.org/officeDocument/2006/relationships/footer" Target="footer10.xml"/><Relationship Id="rId30" Type="http://schemas.openxmlformats.org/officeDocument/2006/relationships/footer" Target="footer11.xml"/><Relationship Id="rId31" Type="http://schemas.openxmlformats.org/officeDocument/2006/relationships/customXml" Target="../customXml/item1.xml"/><Relationship Id="rId32" Type="http://schemas.openxmlformats.org/officeDocument/2006/relationships/hyperlink" Target="https://creativecommons.org/licenses/by/4.0/" TargetMode="External"/><Relationship Id="rId33" Type="http://schemas.openxmlformats.org/officeDocument/2006/relationships/hyperlink" Target="https://www.mariustanase.org/support/" TargetMode="External"/><Relationship Id="rId34" Type="http://schemas.openxmlformats.org/officeDocument/2006/relationships/hyperlink" Target="https://scholarworks.iu.edu/iupjournals/index.php/jwp/article/view/9253" TargetMode="External"/><Relationship Id="rId35" Type="http://schemas.openxmlformats.org/officeDocument/2006/relationships/hyperlink" Target="https://doi.org/10.1007/s11192-026-05591-4" TargetMode="External"/><Relationship Id="rId36" Type="http://schemas.openxmlformats.org/officeDocument/2006/relationships/hyperlink" Target="https://arxiv.org/abs/2603.28755v1" TargetMode="External"/><Relationship Id="rId37" Type="http://schemas.openxmlformats.org/officeDocument/2006/relationships/hyperlink" Target="https://arxiv.org/abs/2606.18222v1" TargetMode="External"/><Relationship Id="rId38" Type="http://schemas.openxmlformats.org/officeDocument/2006/relationships/hyperlink" Target="https://arxiv.org/abs/2606.29070v1" TargetMode="External"/><Relationship Id="rId39" Type="http://schemas.openxmlformats.org/officeDocument/2006/relationships/hyperlink" Target="https://www.mariustanase.org/resources/"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er4.xml.rels><?xml version="1.0" encoding="UTF-8" standalone="yes"?><Relationships xmlns="http://schemas.openxmlformats.org/package/2006/relationships"></Relationships>
</file>

<file path=word/_rels/footer5.xml.rels><?xml version="1.0" encoding="UTF-8" standalone="yes"?><Relationships xmlns="http://schemas.openxmlformats.org/package/2006/relationships"></Relationships>
</file>

<file path=word/_rels/footer6.xml.rels><?xml version="1.0" encoding="UTF-8" standalone="yes"?><Relationships xmlns="http://schemas.openxmlformats.org/package/2006/relationships"></Relationships>
</file>

<file path=word/_rels/footer7.xml.rels><?xml version="1.0" encoding="UTF-8" standalone="yes"?><Relationships xmlns="http://schemas.openxmlformats.org/package/2006/relationships"></Relationships>
</file>

<file path=word/_rels/footer8.xml.rels><?xml version="1.0" encoding="UTF-8" standalone="yes"?><Relationships xmlns="http://schemas.openxmlformats.org/package/2006/relationships"></Relationships>
</file>

<file path=word/_rels/footer9.xml.rels><?xml version="1.0" encoding="UTF-8" standalone="yes"?><Relationships xmlns="http://schemas.openxmlformats.org/package/2006/relationships"></Relationships>
</file>

<file path=word/_rels/footer10.xml.rels><?xml version="1.0" encoding="UTF-8" standalone="yes"?><Relationships xmlns="http://schemas.openxmlformats.org/package/2006/relationships"></Relationships>
</file>

<file path=word/_rels/footer1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_rels/header4.xml.rels><?xml version="1.0" encoding="UTF-8" standalone="yes"?><Relationships xmlns="http://schemas.openxmlformats.org/package/2006/relationships"></Relationships>
</file>

<file path=word/_rels/header5.xml.rels><?xml version="1.0" encoding="UTF-8" standalone="yes"?><Relationships xmlns="http://schemas.openxmlformats.org/package/2006/relationships"></Relationships>
</file>

<file path=word/_rels/header6.xml.rels><?xml version="1.0" encoding="UTF-8" standalone="yes"?><Relationships xmlns="http://schemas.openxmlformats.org/package/2006/relationships"></Relationships>
</file>

<file path=word/_rels/header7.xml.rels><?xml version="1.0" encoding="UTF-8" standalone="yes"?><Relationships xmlns="http://schemas.openxmlformats.org/package/2006/relationships"></Relationships>
</file>

<file path=word/_rels/header8.xml.rels><?xml version="1.0" encoding="UTF-8" standalone="yes"?><Relationships xmlns="http://schemas.openxmlformats.org/package/2006/relationships"></Relationships>
</file>

<file path=word/_rels/header9.xml.rels><?xml version="1.0" encoding="UTF-8" standalone="yes"?><Relationships xmlns="http://schemas.openxmlformats.org/package/2006/relationships"></Relationships>
</file>

<file path=word/_rels/header10.xml.rels><?xml version="1.0" encoding="UTF-8" standalone="yes"?><Relationships xmlns="http://schemas.openxmlformats.org/package/2006/relationships"></Relationships>
</file>

<file path=word/_rels/header1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Noto Sans"/>
        <a:ea typeface="Noto Sans"/>
        <a:cs typeface="Noto Sans"/>
      </a:majorFont>
      <a:minorFont>
        <a:latin typeface="Noto Serif"/>
        <a:ea typeface="Noto Serif"/>
        <a:cs typeface="Noto Serif"/>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ONLYOFFICE/9.3.1.8</Application>
  <DocSecurity>0</DocSecurity>
  <ScaleCrop>0</ScaleCrop>
  <HeadingPairs>
    <vt:vector size="0" baseType="variant"/>
  </HeadingPairs>
  <TitlesOfParts>
    <vt:vector size="0" baseType="lpstr"/>
  </TitlesOfParts>
  <Manager/>
  <Company/>
  <LinksUpToDate>0</LinksUpToDate>
  <SharedDoc>0</SharedDoc>
  <HyperlinkBase/>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Atlas of Being and Becoming — Publication Architecture, Coverage Map &amp; Detailed Table of Contents Specification</dc:title>
  <dc:subject>Editorial architecture for source-sensitive comparative metaphysical-existential research</dc:subject>
  <cp:keywords>Atlas of Being and Becoming; publication architecture; comparative philosophy; Digital Atlas</cp:keywords>
  <cp:revision>2</cp:revision>
  <dcterms:modified xsi:type="dcterms:W3CDTF">2026-10-16T16:17:51Z</dcterms:modified>
  <cp:category/>
</cp:coreProperties>
</file>