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1081"/>
        <w:pBdr/>
        <w:spacing/>
        <w:ind/>
        <w:rPr>
          <w:sz w:val="28"/>
          <w:szCs w:val="28"/>
        </w:rPr>
      </w:pPr>
      <w:r>
        <w:rPr>
          <w:sz w:val="28"/>
          <w:szCs w:val="28"/>
        </w:rPr>
        <w:t xml:space="preserve">THE ATLAS OF BEING AND BECOMING</w:t>
      </w:r>
      <w:r>
        <w:rPr>
          <w:sz w:val="28"/>
          <w:szCs w:val="28"/>
        </w:rPr>
      </w:r>
      <w:r>
        <w:rPr>
          <w:sz w:val="28"/>
          <w:szCs w:val="28"/>
        </w:rPr>
      </w:r>
    </w:p>
    <w:p>
      <w:pPr>
        <w:pStyle w:val="1081"/>
        <w:pBdr/>
        <w:spacing/>
        <w:ind/>
        <w:rPr>
          <w:sz w:val="32"/>
          <w:szCs w:val="32"/>
        </w:rPr>
      </w:pPr>
      <w:r>
        <w:rPr>
          <w:sz w:val="32"/>
          <w:szCs w:val="32"/>
        </w:rPr>
        <w:t xml:space="preserve">Research, Evidence &amp; Validation Specification</w:t>
      </w:r>
      <w:r>
        <w:rPr>
          <w:sz w:val="32"/>
          <w:szCs w:val="32"/>
        </w:rPr>
      </w:r>
      <w:r>
        <w:rPr>
          <w:sz w:val="32"/>
          <w:szCs w:val="32"/>
        </w:rPr>
      </w:r>
    </w:p>
    <w:p>
      <w:pPr>
        <w:pStyle w:val="1082"/>
        <w:pBdr/>
        <w:spacing/>
        <w:ind/>
        <w:rPr/>
      </w:pPr>
      <w:r>
        <w:t xml:space="preserve">Governing specification for source-sensitive comparative metaphysical-existential research</w:t>
      </w:r>
      <w:r/>
    </w:p>
    <w:p>
      <w:pPr>
        <w:pStyle w:val="1097"/>
        <w:keepNext w:val="true"/>
        <w:keepLines w:val="true"/>
        <w:pBdr/>
        <w:spacing w:after="40" w:before="40"/>
        <w:ind/>
        <w:rPr/>
      </w:pPr>
      <w:r>
        <w:rPr>
          <w:b/>
          <w:color w:val="000000"/>
        </w:rPr>
        <w:t xml:space="preserve">Copyright and License</w:t>
      </w:r>
      <w:r/>
    </w:p>
    <w:p>
      <w:pPr>
        <w:pStyle w:val="1097"/>
        <w:keepNext w:val="true"/>
        <w:keepLines w:val="true"/>
        <w:pBdr/>
        <w:spacing w:after="40" w:before="0"/>
        <w:ind/>
        <w:rPr/>
      </w:pPr>
      <w:r>
        <w:t xml:space="preserve">© 2026 Marius Tanase.</w:t>
      </w:r>
      <w:r/>
    </w:p>
    <w:p>
      <w:pPr>
        <w:pStyle w:val="1097"/>
        <w:keepNext w:val="true"/>
        <w:keepLines w:val="true"/>
        <w:pBdr/>
        <w:spacing w:after="40" w:before="0"/>
        <w:ind/>
        <w:rPr/>
      </w:pPr>
      <w:r>
        <w:t xml:space="preserve">This specification is licensed under the Creative Commons Attribution 4.0 International License (CC BY 4.0).</w:t>
      </w:r>
      <w:r/>
    </w:p>
    <w:p>
      <w:pPr>
        <w:pStyle w:val="1097"/>
        <w:keepNext w:val="true"/>
        <w:keepLines w:val="true"/>
        <w:pBdr/>
        <w:spacing w:after="40" w:before="0"/>
        <w:ind/>
        <w:rPr/>
      </w:pPr>
      <w:r/>
      <w:hyperlink r:id="rId14" w:tooltip="https://creativecommons.org/licenses/by/4.0/" w:history="1">
        <w:r>
          <w:rPr>
            <w:color w:val="214e70"/>
            <w:u w:val="single"/>
          </w:rPr>
          <w:t xml:space="preserve">https://creativecommons.org/licenses/by/4.0/</w:t>
        </w:r>
      </w:hyperlink>
      <w:r/>
      <w:r/>
    </w:p>
    <w:p>
      <w:pPr>
        <w:pStyle w:val="1097"/>
        <w:keepLines w:val="true"/>
        <w:pBdr/>
        <w:spacing w:after="120" w:before="0"/>
        <w:ind/>
        <w:rPr/>
      </w:pPr>
      <w:r>
        <w:t xml:space="preserve">If you find this specification useful, </w:t>
      </w:r>
      <w:r>
        <w:rPr>
          <w:b w:val="0"/>
        </w:rPr>
        <w:t xml:space="preserve">consider supporting its creator’s work with a voluntary contribution at</w:t>
      </w:r>
      <w:r>
        <w:t xml:space="preserve"> </w:t>
      </w:r>
      <w:hyperlink r:id="rId15" w:tooltip="https://www.mariustanase.org/support/" w:history="1">
        <w:r>
          <w:rPr>
            <w:color w:val="214e70"/>
            <w:u w:val="single"/>
          </w:rPr>
          <w:t xml:space="preserve">www.mariustanase.org/support/</w:t>
        </w:r>
      </w:hyperlink>
      <w:r>
        <w:t xml:space="preserve">. </w:t>
      </w:r>
      <w:r>
        <w:t xml:space="preserve">To explore more projects, access </w:t>
      </w:r>
      <w:hyperlink r:id="rId21" w:tooltip="https://www.mariustanase.org/resources/" w:history="1">
        <w:r>
          <w:rPr>
            <w:color w:val="214e70"/>
            <w:u w:val="single"/>
          </w:rPr>
          <w:t xml:space="preserve">https://www.mariustanase.org/resources/</w:t>
        </w:r>
      </w:hyperlink>
      <w:r>
        <w:t xml:space="preserve">. </w:t>
      </w:r>
      <w:r>
        <w:t xml:space="preserve">No contribution is required to use the specification under CC BY 4.0.</w:t>
      </w:r>
      <w:r/>
    </w:p>
    <w:tbl>
      <w:tblPr>
        <w:jc w:val="center"/>
        <w:tblW w:w="0" w:type="auto"/>
        <w:tblBorders>
          <w:top w:val="single" w:color="17465c" w:sz="5" w:space="0"/>
          <w:left w:val="single" w:color="17465c" w:sz="5" w:space="0"/>
          <w:bottom w:val="single" w:color="17465c" w:sz="5" w:space="0"/>
          <w:right w:val="single" w:color="17465c" w:sz="5" w:space="0"/>
          <w:insideH w:val="single" w:color="17465c" w:sz="5" w:space="0"/>
          <w:insideV w:val="single" w:color="17465c"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7465c"/>
              <w:spacing/>
              <w:ind/>
              <w:rPr/>
            </w:pPr>
            <w:r>
              <w:t xml:space="preserve">Governing: Current governing status</w:t>
            </w:r>
            <w:r/>
          </w:p>
          <w:p>
            <w:pPr>
              <w:pStyle w:val="1092"/>
              <w:pBdr/>
              <w:spacing/>
              <w:ind/>
              <w:rPr/>
            </w:pPr>
            <w:r>
              <w:t xml:space="preserve">This specification is the sole active authority for Atlas research method, evidence, provenance, comparison, representation, validation, synthesis, canonical records, PublicationClaim traceability and release readiness. Pub</w:t>
            </w:r>
            <w:r>
              <w:t xml:space="preserve">lication Architecture Specification governs editorial corpus, chapter architecture, coverage priorities, reader journey, print/digital allocation and manuscript structure. The dated GateRun snapshot at the end records the 28 July 2026 handover state. The s</w:t>
            </w:r>
            <w:r>
              <w:t xml:space="preserve">pecifications define the project’s requirements and adopted architecture. Research completion, manuscript completion, implementation, validation, rights clearance and release authorization are established separately by the applicable records and decisions.</w:t>
            </w:r>
            <w:r/>
          </w:p>
        </w:tc>
      </w:tr>
    </w:tbl>
    <w:p>
      <w:pPr>
        <w:pStyle w:val="1097"/>
        <w:pBdr/>
        <w:spacing/>
        <w:ind/>
        <w:rPr/>
      </w:pPr>
      <w:r/>
      <w:r/>
    </w:p>
    <w:p>
      <w:pPr>
        <w:pStyle w:val="1086"/>
        <w:keepNext w:val="true"/>
        <w:keepLines w:val="true"/>
        <w:pBdr/>
        <w:spacing/>
        <w:ind/>
        <w:rPr/>
      </w:pPr>
      <w:r/>
      <w:bookmarkStart w:id="1" w:name="document_control"/>
      <w:r>
        <w:t xml:space="preserve">Governing — Document control</w:t>
      </w:r>
      <w:bookmarkEnd w:id="1"/>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921"/>
        <w:gridCol w:w="7085"/>
      </w:tblGrid>
      <w:tr>
        <w:trPr>
          <w:cantSplit/>
          <w:tblHeader/>
        </w:trPr>
        <w:tc>
          <w:tcPr>
            <w:shd w:val="clear" w:color="auto" w:fill="1f5d7a"/>
            <w:tcBorders/>
            <w:tcMar>
              <w:left w:w="70" w:type="dxa"/>
              <w:top w:w="55" w:type="dxa"/>
              <w:right w:w="70" w:type="dxa"/>
              <w:bottom w:w="55" w:type="dxa"/>
            </w:tcMar>
            <w:tcW w:w="2921" w:type="dxa"/>
            <w:vAlign w:val="top"/>
          </w:tcPr>
          <w:p>
            <w:pPr>
              <w:pStyle w:val="1087"/>
              <w:pBdr/>
              <w:spacing/>
              <w:ind/>
              <w:rPr/>
            </w:pPr>
            <w:r>
              <w:t xml:space="preserve">Field</w:t>
            </w:r>
            <w:r/>
          </w:p>
        </w:tc>
        <w:tc>
          <w:tcPr>
            <w:shd w:val="clear" w:color="auto" w:fill="1f5d7a"/>
            <w:tcBorders/>
            <w:tcMar>
              <w:left w:w="70" w:type="dxa"/>
              <w:top w:w="55" w:type="dxa"/>
              <w:right w:w="70" w:type="dxa"/>
              <w:bottom w:w="55" w:type="dxa"/>
            </w:tcMar>
            <w:tcW w:w="7085" w:type="dxa"/>
            <w:vAlign w:val="top"/>
          </w:tcPr>
          <w:p>
            <w:pPr>
              <w:pStyle w:val="1087"/>
              <w:pBdr/>
              <w:spacing/>
              <w:ind/>
              <w:rPr/>
            </w:pPr>
            <w:r>
              <w:t xml:space="preserve">Current value</w:t>
            </w:r>
            <w:r/>
          </w:p>
        </w:tc>
      </w:tr>
      <w:tr>
        <w:trPr>
          <w:cantSplit/>
        </w:trPr>
        <w:tc>
          <w:tcPr>
            <w:shd w:val="clear" w:color="auto" w:fill="f4f6f7"/>
            <w:tcBorders/>
            <w:tcMar>
              <w:left w:w="70" w:type="dxa"/>
              <w:top w:w="55" w:type="dxa"/>
              <w:right w:w="70" w:type="dxa"/>
              <w:bottom w:w="55" w:type="dxa"/>
            </w:tcMar>
            <w:tcW w:w="2921" w:type="dxa"/>
            <w:vAlign w:val="top"/>
          </w:tcPr>
          <w:p>
            <w:pPr>
              <w:pStyle w:val="1088"/>
              <w:pBdr/>
              <w:spacing/>
              <w:ind/>
              <w:rPr/>
            </w:pPr>
            <w:r>
              <w:t xml:space="preserve">Adopted baseline date</w:t>
            </w:r>
            <w:r/>
          </w:p>
        </w:tc>
        <w:tc>
          <w:tcPr>
            <w:shd w:val="clear" w:color="auto" w:fill="f4f6f7"/>
            <w:tcBorders/>
            <w:tcMar>
              <w:left w:w="70" w:type="dxa"/>
              <w:top w:w="55" w:type="dxa"/>
              <w:right w:w="70" w:type="dxa"/>
              <w:bottom w:w="55" w:type="dxa"/>
            </w:tcMar>
            <w:tcW w:w="7085" w:type="dxa"/>
            <w:vAlign w:val="top"/>
          </w:tcPr>
          <w:p>
            <w:pPr>
              <w:pStyle w:val="1088"/>
              <w:pBdr/>
              <w:spacing/>
              <w:ind/>
              <w:rPr/>
            </w:pPr>
            <w:r>
              <w:t xml:space="preserve">19 August 2026</w:t>
            </w:r>
            <w:r/>
          </w:p>
        </w:tc>
      </w:tr>
      <w:tr>
        <w:trPr>
          <w:cantSplit/>
        </w:trPr>
        <w:tc>
          <w:tcPr>
            <w:shd w:val="clear" w:color="auto" w:fill="f4f6f7"/>
            <w:tcBorders/>
            <w:tcMar>
              <w:left w:w="70" w:type="dxa"/>
              <w:top w:w="55" w:type="dxa"/>
              <w:right w:w="70" w:type="dxa"/>
              <w:bottom w:w="55" w:type="dxa"/>
            </w:tcMar>
            <w:tcW w:w="2921" w:type="dxa"/>
            <w:vAlign w:val="top"/>
          </w:tcPr>
          <w:p>
            <w:pPr>
              <w:pStyle w:val="1088"/>
              <w:pBdr/>
              <w:spacing/>
              <w:ind/>
              <w:rPr/>
            </w:pPr>
            <w:r>
              <w:t xml:space="preserve">Specification version / edition date</w:t>
            </w:r>
            <w:r/>
          </w:p>
        </w:tc>
        <w:tc>
          <w:tcPr>
            <w:shd w:val="clear" w:color="auto" w:fill="f4f6f7"/>
            <w:tcBorders/>
            <w:tcMar>
              <w:left w:w="70" w:type="dxa"/>
              <w:top w:w="55" w:type="dxa"/>
              <w:right w:w="70" w:type="dxa"/>
              <w:bottom w:w="55" w:type="dxa"/>
            </w:tcMar>
            <w:tcW w:w="7085" w:type="dxa"/>
            <w:vAlign w:val="top"/>
          </w:tcPr>
          <w:p>
            <w:pPr>
              <w:pStyle w:val="1088"/>
              <w:pBdr/>
              <w:spacing/>
              <w:ind/>
              <w:rPr/>
            </w:pPr>
            <w:r>
              <w:t xml:space="preserve">RS-2026-10-15 / 15 October 2026</w:t>
            </w:r>
            <w:r/>
          </w:p>
        </w:tc>
      </w:tr>
      <w:tr>
        <w:trPr>
          <w:cantSplit/>
        </w:trPr>
        <w:tc>
          <w:tcPr>
            <w:shd w:val="clear" w:color="auto" w:fill="f4f6f7"/>
            <w:tcBorders/>
            <w:tcMar>
              <w:left w:w="70" w:type="dxa"/>
              <w:top w:w="55" w:type="dxa"/>
              <w:right w:w="70" w:type="dxa"/>
              <w:bottom w:w="55" w:type="dxa"/>
            </w:tcMar>
            <w:tcW w:w="2921" w:type="dxa"/>
            <w:vAlign w:val="top"/>
          </w:tcPr>
          <w:p>
            <w:pPr>
              <w:pStyle w:val="1088"/>
              <w:pBdr/>
              <w:spacing/>
              <w:ind/>
              <w:rPr/>
            </w:pPr>
            <w:r>
              <w:t xml:space="preserve">Effective date rule</w:t>
            </w:r>
            <w:r/>
          </w:p>
        </w:tc>
        <w:tc>
          <w:tcPr>
            <w:shd w:val="clear" w:color="auto" w:fill="f4f6f7"/>
            <w:tcBorders/>
            <w:tcMar>
              <w:left w:w="70" w:type="dxa"/>
              <w:top w:w="55" w:type="dxa"/>
              <w:right w:w="70" w:type="dxa"/>
              <w:bottom w:w="55" w:type="dxa"/>
            </w:tcMar>
            <w:tcW w:w="7085" w:type="dxa"/>
            <w:vAlign w:val="top"/>
          </w:tcPr>
          <w:p>
            <w:pPr>
              <w:pStyle w:val="1088"/>
              <w:pBdr/>
              <w:spacing/>
              <w:ind/>
              <w:rPr/>
            </w:pPr>
            <w:r>
              <w:t xml:space="preserve">The recorded adoption decision establishes the effective date for this specification version.</w:t>
            </w:r>
            <w:r/>
          </w:p>
        </w:tc>
      </w:tr>
      <w:tr>
        <w:trPr>
          <w:cantSplit/>
        </w:trPr>
        <w:tc>
          <w:tcPr>
            <w:shd w:val="clear" w:color="auto" w:fill="ffffff"/>
            <w:tcBorders/>
            <w:tcMar>
              <w:left w:w="70" w:type="dxa"/>
              <w:top w:w="55" w:type="dxa"/>
              <w:right w:w="70" w:type="dxa"/>
              <w:bottom w:w="55" w:type="dxa"/>
            </w:tcMar>
            <w:tcW w:w="2921" w:type="dxa"/>
            <w:vAlign w:val="top"/>
          </w:tcPr>
          <w:p>
            <w:pPr>
              <w:pStyle w:val="1088"/>
              <w:pBdr/>
              <w:spacing/>
              <w:ind/>
              <w:rPr/>
            </w:pPr>
            <w:r>
              <w:t xml:space="preserve">Research and standards basis</w:t>
            </w:r>
            <w:r/>
          </w:p>
        </w:tc>
        <w:tc>
          <w:tcPr>
            <w:shd w:val="clear" w:color="auto" w:fill="ffffff"/>
            <w:tcBorders/>
            <w:tcMar>
              <w:left w:w="70" w:type="dxa"/>
              <w:top w:w="55" w:type="dxa"/>
              <w:right w:w="70" w:type="dxa"/>
              <w:bottom w:w="55" w:type="dxa"/>
            </w:tcMar>
            <w:tcW w:w="7085" w:type="dxa"/>
            <w:vAlign w:val="top"/>
          </w:tcPr>
          <w:p>
            <w:pPr>
              <w:pStyle w:val="1088"/>
              <w:pBdr/>
              <w:spacing/>
              <w:ind/>
              <w:rPr/>
            </w:pPr>
            <w:r>
              <w:t xml:space="preserve">Current through 19 August 2026</w:t>
            </w:r>
            <w:r/>
          </w:p>
        </w:tc>
      </w:tr>
      <w:tr>
        <w:trPr>
          <w:cantSplit/>
        </w:trPr>
        <w:tc>
          <w:tcPr>
            <w:shd w:val="clear" w:color="auto" w:fill="f4f6f7"/>
            <w:tcBorders/>
            <w:tcMar>
              <w:left w:w="70" w:type="dxa"/>
              <w:top w:w="55" w:type="dxa"/>
              <w:right w:w="70" w:type="dxa"/>
              <w:bottom w:w="55" w:type="dxa"/>
            </w:tcMar>
            <w:tcW w:w="2921" w:type="dxa"/>
            <w:vAlign w:val="top"/>
          </w:tcPr>
          <w:p>
            <w:pPr>
              <w:pStyle w:val="1088"/>
              <w:pBdr/>
              <w:spacing/>
              <w:ind/>
              <w:rPr/>
            </w:pPr>
            <w:r>
              <w:t xml:space="preserve">GateRun snapshot</w:t>
            </w:r>
            <w:r/>
          </w:p>
        </w:tc>
        <w:tc>
          <w:tcPr>
            <w:shd w:val="clear" w:color="auto" w:fill="f4f6f7"/>
            <w:tcBorders/>
            <w:tcMar>
              <w:left w:w="70" w:type="dxa"/>
              <w:top w:w="55" w:type="dxa"/>
              <w:right w:w="70" w:type="dxa"/>
              <w:bottom w:w="55" w:type="dxa"/>
            </w:tcMar>
            <w:tcW w:w="7085" w:type="dxa"/>
            <w:vAlign w:val="top"/>
          </w:tcPr>
          <w:p>
            <w:pPr>
              <w:pStyle w:val="1088"/>
              <w:pBdr/>
              <w:spacing/>
              <w:ind/>
              <w:rPr/>
            </w:pPr>
            <w:r>
              <w:t xml:space="preserve">As of 28 July 2026; later authority requires applicable recorded GateRuns</w:t>
            </w:r>
            <w:r/>
          </w:p>
        </w:tc>
      </w:tr>
      <w:tr>
        <w:trPr>
          <w:cantSplit/>
        </w:trPr>
        <w:tc>
          <w:tcPr>
            <w:shd w:val="clear" w:color="auto" w:fill="ffffff"/>
            <w:tcBorders/>
            <w:tcMar>
              <w:left w:w="70" w:type="dxa"/>
              <w:top w:w="55" w:type="dxa"/>
              <w:right w:w="70" w:type="dxa"/>
              <w:bottom w:w="55" w:type="dxa"/>
            </w:tcMar>
            <w:tcW w:w="2921" w:type="dxa"/>
            <w:vAlign w:val="top"/>
          </w:tcPr>
          <w:p>
            <w:pPr>
              <w:pStyle w:val="1088"/>
              <w:pBdr/>
              <w:spacing/>
              <w:ind/>
              <w:rPr/>
            </w:pPr>
            <w:r>
              <w:t xml:space="preserve">Paired editorial authority</w:t>
            </w:r>
            <w:r/>
          </w:p>
        </w:tc>
        <w:tc>
          <w:tcPr>
            <w:shd w:val="clear" w:color="auto" w:fill="ffffff"/>
            <w:tcBorders/>
            <w:tcMar>
              <w:left w:w="70" w:type="dxa"/>
              <w:top w:w="55" w:type="dxa"/>
              <w:right w:w="70" w:type="dxa"/>
              <w:bottom w:w="55" w:type="dxa"/>
            </w:tcMar>
            <w:tcW w:w="7085" w:type="dxa"/>
            <w:vAlign w:val="top"/>
          </w:tcPr>
          <w:p>
            <w:pPr>
              <w:pStyle w:val="1088"/>
              <w:pBdr/>
              <w:spacing/>
              <w:ind/>
              <w:rPr/>
            </w:pPr>
            <w:r>
              <w:t xml:space="preserve">The Atlas of Being and Becoming — Publication Architecture, Coverage Map &amp; Detailed Table of Contents Specification</w:t>
            </w:r>
            <w:r/>
          </w:p>
        </w:tc>
      </w:tr>
    </w:tbl>
    <w:p>
      <w:pPr>
        <w:pStyle w:val="1097"/>
        <w:pBdr/>
        <w:spacing/>
        <w:ind/>
        <w:rPr/>
      </w:pPr>
      <w:r>
        <w:t xml:space="preserve">The edition date identifies document preparation, not adoption. The reference-basis date describ</w:t>
      </w:r>
      <w:r>
        <w:t xml:space="preserve">es the stated review, the snapshot date the operational state summarized, and a GateRun date an actual recorded run. A later reference check neither constitutes a GateRun nor changes a historical verdict. Adoption and version decisions are governed by §13.</w:t>
      </w:r>
      <w:r/>
    </w:p>
    <w:p>
      <w:pPr>
        <w:pStyle w:val="922"/>
        <w:keepNext w:val="true"/>
        <w:keepLines w:val="true"/>
        <w:pageBreakBefore w:val="true"/>
        <w:pBdr/>
        <w:spacing w:after="20" w:before="20"/>
        <w:ind/>
        <w:rPr/>
      </w:pPr>
      <w:r/>
      <w:bookmarkStart w:id="2" w:name="contents"/>
      <w:r>
        <w:t xml:space="preserve">Contents</w:t>
      </w:r>
      <w:bookmarkEnd w:id="2"/>
      <w:r/>
      <w:r/>
    </w:p>
    <w:p>
      <w:pPr>
        <w:pStyle w:val="1094"/>
        <w:pBdr/>
        <w:spacing/>
        <w:ind/>
        <w:rPr/>
      </w:pPr>
      <w:r/>
      <w:hyperlink w:tooltip="#decision_and_use_guide" w:anchor="decision_and_use_guide" w:history="1">
        <w:r>
          <w:rPr>
            <w:b/>
          </w:rPr>
          <w:t xml:space="preserve">Decision and use guide</w:t>
        </w:r>
      </w:hyperlink>
      <w:r/>
      <w:r/>
    </w:p>
    <w:p>
      <w:pPr>
        <w:pStyle w:val="1094"/>
        <w:pBdr/>
        <w:spacing/>
        <w:ind/>
        <w:rPr/>
      </w:pPr>
      <w:r/>
      <w:hyperlink w:tooltip="#part_i_research_method" w:anchor="part_i_research_method" w:history="1">
        <w:r>
          <w:rPr>
            <w:b/>
          </w:rPr>
          <w:t xml:space="preserve">Part I — Research method</w:t>
        </w:r>
      </w:hyperlink>
      <w:r/>
      <w:r/>
    </w:p>
    <w:p>
      <w:pPr>
        <w:pStyle w:val="1095"/>
        <w:pBdr/>
        <w:spacing/>
        <w:ind/>
        <w:rPr/>
      </w:pPr>
      <w:r/>
      <w:hyperlink w:tooltip="#section_1_research_object" w:anchor="section_1_research_object" w:history="1">
        <w:r>
          <w:t xml:space="preserve">1. Research object, scope and principles</w:t>
        </w:r>
      </w:hyperlink>
      <w:r/>
      <w:r/>
    </w:p>
    <w:p>
      <w:pPr>
        <w:pStyle w:val="1095"/>
        <w:pBdr/>
        <w:spacing/>
        <w:ind/>
        <w:rPr/>
      </w:pPr>
      <w:r/>
      <w:hyperlink w:tooltip="#section_2_research_model" w:anchor="section_2_research_model" w:history="1">
        <w:r>
          <w:t xml:space="preserve">2. Research model and objects</w:t>
        </w:r>
      </w:hyperlink>
      <w:r/>
      <w:r/>
    </w:p>
    <w:p>
      <w:pPr>
        <w:pStyle w:val="1095"/>
        <w:pBdr/>
        <w:spacing/>
        <w:ind/>
        <w:rPr/>
      </w:pPr>
      <w:r/>
      <w:hyperlink w:tooltip="#section_3_domains" w:anchor="section_3_domains" w:history="1">
        <w:r>
          <w:t xml:space="preserve">3. Analytical domains D1–D15</w:t>
        </w:r>
      </w:hyperlink>
      <w:r/>
      <w:r/>
    </w:p>
    <w:p>
      <w:pPr>
        <w:pStyle w:val="1095"/>
        <w:pBdr/>
        <w:spacing/>
        <w:ind/>
        <w:rPr/>
      </w:pPr>
      <w:r/>
      <w:hyperlink w:tooltip="#section_4_response_claim" w:anchor="section_4_response_claim" w:history="1">
        <w:r>
          <w:t xml:space="preserve">4. QuestionResponse and claim semantics</w:t>
        </w:r>
      </w:hyperlink>
      <w:r/>
      <w:r/>
    </w:p>
    <w:p>
      <w:pPr>
        <w:pStyle w:val="1095"/>
        <w:pBdr/>
        <w:spacing/>
        <w:ind/>
        <w:rPr/>
      </w:pPr>
      <w:r/>
      <w:hyperlink w:tooltip="#section_5_evidence" w:anchor="section_5_evidence" w:history="1">
        <w:r>
          <w:t xml:space="preserve">5. Evidence, provenance and concept control</w:t>
        </w:r>
      </w:hyperlink>
      <w:r/>
      <w:r/>
    </w:p>
    <w:p>
      <w:pPr>
        <w:pStyle w:val="1095"/>
        <w:pBdr/>
        <w:spacing/>
        <w:ind/>
        <w:rPr/>
      </w:pPr>
      <w:r/>
      <w:hyperlink w:tooltip="#section_6_comparison" w:anchor="section_6_comparison" w:history="1">
        <w:r>
          <w:t xml:space="preserve">6. Comparative method</w:t>
        </w:r>
      </w:hyperlink>
      <w:r/>
      <w:r/>
    </w:p>
    <w:p>
      <w:pPr>
        <w:pStyle w:val="1095"/>
        <w:pBdr/>
        <w:spacing/>
        <w:ind/>
        <w:rPr/>
      </w:pPr>
      <w:r/>
      <w:hyperlink w:tooltip="#section_7_representation" w:anchor="section_7_representation" w:history="1">
        <w:r>
          <w:t xml:space="preserve">7. Diversity, representation and coverage</w:t>
        </w:r>
      </w:hyperlink>
      <w:r/>
      <w:r/>
    </w:p>
    <w:p>
      <w:pPr>
        <w:pStyle w:val="1094"/>
        <w:pBdr/>
        <w:spacing/>
        <w:ind/>
        <w:rPr/>
      </w:pPr>
      <w:r/>
      <w:hyperlink w:tooltip="#part_ii_operating_control" w:anchor="part_ii_operating_control" w:history="1">
        <w:r>
          <w:rPr>
            <w:b/>
          </w:rPr>
          <w:t xml:space="preserve">Part II — Operating control</w:t>
        </w:r>
      </w:hyperlink>
      <w:r/>
      <w:r/>
    </w:p>
    <w:p>
      <w:pPr>
        <w:pStyle w:val="1095"/>
        <w:pBdr/>
        <w:spacing/>
        <w:ind/>
        <w:rPr/>
      </w:pPr>
      <w:r/>
      <w:hyperlink w:tooltip="#section_8_canonical" w:anchor="section_8_canonical" w:history="1">
        <w:r>
          <w:t xml:space="preserve">8. Canonical authority and validation</w:t>
        </w:r>
      </w:hyperlink>
      <w:r/>
      <w:r/>
    </w:p>
    <w:p>
      <w:pPr>
        <w:pStyle w:val="1095"/>
        <w:pBdr/>
        <w:spacing/>
        <w:ind/>
        <w:rPr/>
      </w:pPr>
      <w:r/>
      <w:hyperlink w:tooltip="#section_9_workflow" w:anchor="section_9_workflow" w:history="1">
        <w:r>
          <w:t xml:space="preserve">9. Workflow, roles, review and AI</w:t>
        </w:r>
      </w:hyperlink>
      <w:r/>
      <w:r/>
    </w:p>
    <w:p>
      <w:pPr>
        <w:pStyle w:val="1095"/>
        <w:pBdr/>
        <w:spacing/>
        <w:ind/>
        <w:rPr/>
      </w:pPr>
      <w:r/>
      <w:hyperlink w:tooltip="#section_10_gates" w:anchor="section_10_gates" w:history="1">
        <w:r>
          <w:t xml:space="preserve">10. Validation gates and release</w:t>
        </w:r>
      </w:hyperlink>
      <w:r/>
      <w:r/>
    </w:p>
    <w:p>
      <w:pPr>
        <w:pStyle w:val="1095"/>
        <w:pBdr/>
        <w:spacing/>
        <w:ind/>
        <w:rPr/>
      </w:pPr>
      <w:r/>
      <w:hyperlink w:tooltip="#section_11_synthesis" w:anchor="section_11_synthesis" w:history="1">
        <w:r>
          <w:t xml:space="preserve">11. Synthesis protocol</w:t>
        </w:r>
      </w:hyperlink>
      <w:r/>
      <w:r/>
    </w:p>
    <w:p>
      <w:pPr>
        <w:pStyle w:val="1095"/>
        <w:pBdr/>
        <w:spacing/>
        <w:ind/>
        <w:rPr/>
      </w:pPr>
      <w:r/>
      <w:hyperlink w:tooltip="#section_12_publication" w:anchor="section_12_publication" w:history="1">
        <w:r>
          <w:t xml:space="preserve">12. Publication interface and public-claims discipline</w:t>
        </w:r>
      </w:hyperlink>
      <w:r/>
      <w:r/>
    </w:p>
    <w:p>
      <w:pPr>
        <w:pStyle w:val="1095"/>
        <w:pBdr/>
        <w:spacing/>
        <w:ind/>
        <w:rPr/>
      </w:pPr>
      <w:r/>
      <w:hyperlink w:tooltip="#section_13_change_control" w:anchor="section_13_change_control" w:history="1">
        <w:r>
          <w:t xml:space="preserve">13. Change control</w:t>
        </w:r>
      </w:hyperlink>
      <w:r/>
      <w:r/>
    </w:p>
    <w:p>
      <w:pPr>
        <w:pStyle w:val="1094"/>
        <w:pBdr/>
        <w:spacing/>
        <w:ind/>
        <w:rPr/>
      </w:pPr>
      <w:r/>
      <w:hyperlink w:tooltip="#annex_a" w:anchor="annex_a" w:history="1">
        <w:r>
          <w:rPr>
            <w:b/>
          </w:rPr>
          <w:t xml:space="preserve">Annex A — Controlled values and D1–D15 master definitions</w:t>
        </w:r>
      </w:hyperlink>
      <w:r/>
      <w:r/>
    </w:p>
    <w:p>
      <w:pPr>
        <w:pStyle w:val="1094"/>
        <w:pBdr/>
        <w:spacing/>
        <w:ind/>
        <w:rPr/>
      </w:pPr>
      <w:r/>
      <w:hyperlink w:tooltip="#annex_b" w:anchor="annex_b" w:history="1">
        <w:r>
          <w:rPr>
            <w:b/>
          </w:rPr>
          <w:t xml:space="preserve">Annex B — Canonical objects, schemas and cardinalities</w:t>
        </w:r>
      </w:hyperlink>
      <w:r/>
      <w:r/>
    </w:p>
    <w:p>
      <w:pPr>
        <w:pStyle w:val="1094"/>
        <w:pBdr/>
        <w:spacing/>
        <w:ind/>
        <w:rPr/>
      </w:pPr>
      <w:r/>
      <w:hyperlink w:tooltip="#annex_c" w:anchor="annex_c" w:history="1">
        <w:r>
          <w:rPr>
            <w:b/>
          </w:rPr>
          <w:t xml:space="preserve">Annex C — Validation and gate tests</w:t>
        </w:r>
      </w:hyperlink>
      <w:r/>
      <w:r/>
    </w:p>
    <w:p>
      <w:pPr>
        <w:pStyle w:val="1094"/>
        <w:pBdr/>
        <w:spacing/>
        <w:ind/>
        <w:rPr/>
      </w:pPr>
      <w:r/>
      <w:hyperlink w:tooltip="#annex_d" w:anchor="annex_d" w:history="1">
        <w:r>
          <w:rPr>
            <w:b/>
          </w:rPr>
          <w:t xml:space="preserve">Annex D — Failure modes and edge cases</w:t>
        </w:r>
      </w:hyperlink>
      <w:r/>
      <w:r/>
    </w:p>
    <w:p>
      <w:pPr>
        <w:pStyle w:val="1094"/>
        <w:pBdr/>
        <w:spacing/>
        <w:ind/>
        <w:rPr/>
      </w:pPr>
      <w:r/>
      <w:hyperlink w:tooltip="#annex_e" w:anchor="annex_e" w:history="1">
        <w:r>
          <w:rPr>
            <w:b/>
          </w:rPr>
          <w:t xml:space="preserve">Annex E — Standards and reference basis</w:t>
        </w:r>
      </w:hyperlink>
      <w:r/>
      <w:r/>
    </w:p>
    <w:p>
      <w:pPr>
        <w:pStyle w:val="1094"/>
        <w:pBdr/>
        <w:spacing/>
        <w:ind/>
        <w:rPr/>
      </w:pPr>
      <w:r/>
      <w:hyperlink w:tooltip="#historical_snapshot" w:anchor="historical_snapshot" w:history="1">
        <w:r>
          <w:rPr>
            <w:b/>
          </w:rPr>
          <w:t xml:space="preserve">Historical snapshot — GateRun status as of 28 July 2026</w:t>
        </w:r>
      </w:hyperlink>
      <w:r/>
      <w:r/>
    </w:p>
    <w:p>
      <w:pPr>
        <w:pStyle w:val="1097"/>
        <w:keepLines w:val="false"/>
        <w:pBdr/>
        <w:spacing/>
        <w:ind/>
        <w:rPr/>
      </w:pPr>
      <w:r>
        <w:t xml:space="preserve">Headings and bookmarks are the authoritative navigation structure; page numbers may change as records and annexes are maintained.</w:t>
      </w:r>
      <w:r/>
    </w:p>
    <w:p>
      <w:pPr>
        <w:pStyle w:val="922"/>
        <w:keepNext w:val="true"/>
        <w:keepLines w:val="true"/>
        <w:pBdr/>
        <w:spacing/>
        <w:ind/>
        <w:rPr/>
      </w:pPr>
      <w:r/>
      <w:bookmarkStart w:id="3" w:name="decision_and_use_guide"/>
      <w:r>
        <w:t xml:space="preserve">Decision and use guide</w:t>
      </w:r>
      <w:bookmarkEnd w:id="3"/>
      <w:r/>
      <w:r/>
    </w:p>
    <w:tbl>
      <w:tblPr>
        <w:jc w:val="center"/>
        <w:tblW w:w="0" w:type="auto"/>
        <w:tblBorders>
          <w:top w:val="single" w:color="17465c" w:sz="5" w:space="0"/>
          <w:left w:val="single" w:color="17465c" w:sz="5" w:space="0"/>
          <w:bottom w:val="single" w:color="17465c" w:sz="5" w:space="0"/>
          <w:right w:val="single" w:color="17465c" w:sz="5" w:space="0"/>
          <w:insideH w:val="single" w:color="17465c" w:sz="5" w:space="0"/>
          <w:insideV w:val="single" w:color="17465c"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7465c"/>
              <w:spacing/>
              <w:ind/>
              <w:rPr/>
            </w:pPr>
            <w:r>
              <w:t xml:space="preserve">Governing: Decision</w:t>
            </w:r>
            <w:r/>
          </w:p>
          <w:p>
            <w:pPr>
              <w:pStyle w:val="1092"/>
              <w:pBdr/>
              <w:spacing/>
              <w:ind/>
              <w:rPr/>
            </w:pPr>
            <w:r>
              <w:t xml:space="preserve">Adopt this specification as the sole authority for Atlas research method, evidence, comparison, provenance, validation, governance, synthesis, canonical records, PublicationClaim</w:t>
            </w:r>
            <w:r>
              <w:t xml:space="preserve"> traceability and release readiness. Use it during targeted research and manuscript development under Publication Architecture Specification. Do not create parallel methodological rulebooks for individual chapters, Positions, traditions, datasets or tools.</w:t>
            </w:r>
            <w:r/>
          </w:p>
        </w:tc>
      </w:tr>
    </w:tbl>
    <w:p>
      <w:pPr>
        <w:pStyle w:val="1097"/>
        <w:pBdr/>
        <w:spacing/>
        <w:ind/>
        <w:rPr/>
      </w:pPr>
      <w:r/>
      <w:r/>
    </w:p>
    <w:p>
      <w:pPr>
        <w:pStyle w:val="1083"/>
        <w:keepLines w:val="false"/>
        <w:pBdr/>
        <w:spacing/>
        <w:ind/>
        <w:rPr/>
      </w:pPr>
      <w:r>
        <w:t xml:space="preserve">The two governing files are complementary. Publication Architecture determines what the project researches and publishes and how the editorial argument is organize</w:t>
      </w:r>
      <w:r>
        <w:t xml:space="preserve">d. This specification determines what counts as valid, traceable, comparable, reviewable and releasable evidence supporting that architecture. Editorial selection does not validate evidence, and methodological validity does not determine chapter placement.</w:t>
      </w:r>
      <w:r/>
    </w:p>
    <w:p>
      <w:pPr>
        <w:pStyle w:val="1086"/>
        <w:keepNext w:val="true"/>
        <w:keepLines w:val="true"/>
        <w:pBdr/>
        <w:spacing/>
        <w:ind/>
        <w:rPr/>
      </w:pPr>
      <w:r/>
      <w:bookmarkStart w:id="4" w:name="authority_map"/>
      <w:r>
        <w:t xml:space="preserve">Governing — Two-document authority map</w:t>
      </w:r>
      <w:bookmarkEnd w:id="4"/>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6865"/>
        <w:gridCol w:w="3141"/>
      </w:tblGrid>
      <w:tr>
        <w:trPr>
          <w:cantSplit/>
          <w:tblHeader/>
        </w:trPr>
        <w:tc>
          <w:tcPr>
            <w:shd w:val="clear" w:color="auto" w:fill="1f5d7a"/>
            <w:tcBorders/>
            <w:tcMar>
              <w:left w:w="70" w:type="dxa"/>
              <w:top w:w="55" w:type="dxa"/>
              <w:right w:w="70" w:type="dxa"/>
              <w:bottom w:w="55" w:type="dxa"/>
            </w:tcMar>
            <w:tcW w:w="6865" w:type="dxa"/>
            <w:vAlign w:val="top"/>
          </w:tcPr>
          <w:p>
            <w:pPr>
              <w:pStyle w:val="1087"/>
              <w:pBdr/>
              <w:spacing/>
              <w:ind/>
              <w:rPr/>
            </w:pPr>
            <w:r>
              <w:t xml:space="preserve">Authority area</w:t>
            </w:r>
            <w:r/>
          </w:p>
        </w:tc>
        <w:tc>
          <w:tcPr>
            <w:shd w:val="clear" w:color="auto" w:fill="1f5d7a"/>
            <w:tcBorders/>
            <w:tcMar>
              <w:left w:w="70" w:type="dxa"/>
              <w:top w:w="55" w:type="dxa"/>
              <w:right w:w="70" w:type="dxa"/>
              <w:bottom w:w="55" w:type="dxa"/>
            </w:tcMar>
            <w:tcW w:w="3141" w:type="dxa"/>
            <w:vAlign w:val="top"/>
          </w:tcPr>
          <w:p>
            <w:pPr>
              <w:pStyle w:val="1087"/>
              <w:pBdr/>
              <w:spacing/>
              <w:ind/>
              <w:rPr/>
            </w:pPr>
            <w:r>
              <w:t xml:space="preserve">Governing home</w:t>
            </w:r>
            <w:r/>
          </w:p>
        </w:tc>
      </w:tr>
      <w:tr>
        <w:trPr>
          <w:cantSplit/>
        </w:trPr>
        <w:tc>
          <w:tcPr>
            <w:shd w:val="clear" w:color="auto" w:fill="ffffff"/>
            <w:tcBorders/>
            <w:tcMar>
              <w:left w:w="70" w:type="dxa"/>
              <w:top w:w="55" w:type="dxa"/>
              <w:right w:w="70" w:type="dxa"/>
              <w:bottom w:w="55" w:type="dxa"/>
            </w:tcMar>
            <w:tcW w:w="6865" w:type="dxa"/>
            <w:vAlign w:val="top"/>
          </w:tcPr>
          <w:p>
            <w:pPr>
              <w:pStyle w:val="1088"/>
              <w:pBdr/>
              <w:spacing/>
              <w:ind/>
              <w:rPr/>
            </w:pPr>
            <w:r>
              <w:t xml:space="preserve">Research method, evidence, provenance, comparison, representation, validation, synthesis, canonical records, PublicationClaim traceability and release readiness</w:t>
            </w:r>
            <w:r/>
          </w:p>
        </w:tc>
        <w:tc>
          <w:tcPr>
            <w:shd w:val="clear" w:color="auto" w:fill="ffffff"/>
            <w:tcBorders/>
            <w:tcMar>
              <w:left w:w="70" w:type="dxa"/>
              <w:top w:w="55" w:type="dxa"/>
              <w:right w:w="70" w:type="dxa"/>
              <w:bottom w:w="55" w:type="dxa"/>
            </w:tcMar>
            <w:tcW w:w="3141" w:type="dxa"/>
            <w:vAlign w:val="top"/>
          </w:tcPr>
          <w:p>
            <w:pPr>
              <w:pStyle w:val="1088"/>
              <w:pBdr/>
              <w:spacing/>
              <w:ind/>
              <w:rPr/>
            </w:pPr>
            <w:r>
              <w:t xml:space="preserve">This specification</w:t>
            </w:r>
            <w:r/>
          </w:p>
        </w:tc>
      </w:tr>
      <w:tr>
        <w:trPr>
          <w:cantSplit/>
        </w:trPr>
        <w:tc>
          <w:tcPr>
            <w:shd w:val="clear" w:color="auto" w:fill="f4f6f7"/>
            <w:tcBorders/>
            <w:tcMar>
              <w:left w:w="70" w:type="dxa"/>
              <w:top w:w="55" w:type="dxa"/>
              <w:right w:w="70" w:type="dxa"/>
              <w:bottom w:w="55" w:type="dxa"/>
            </w:tcMar>
            <w:tcW w:w="6865" w:type="dxa"/>
            <w:vAlign w:val="top"/>
          </w:tcPr>
          <w:p>
            <w:pPr>
              <w:pStyle w:val="1088"/>
              <w:pBdr/>
              <w:spacing/>
              <w:ind/>
              <w:rPr/>
            </w:pPr>
            <w:r>
              <w:t xml:space="preserve">Editorial corpus, chapter architecture, coverage priorities, reader journey, print/digital allocation, manuscript scale and production sequence</w:t>
            </w:r>
            <w:r/>
          </w:p>
        </w:tc>
        <w:tc>
          <w:tcPr>
            <w:shd w:val="clear" w:color="auto" w:fill="f4f6f7"/>
            <w:tcBorders/>
            <w:tcMar>
              <w:left w:w="70" w:type="dxa"/>
              <w:top w:w="55" w:type="dxa"/>
              <w:right w:w="70" w:type="dxa"/>
              <w:bottom w:w="55" w:type="dxa"/>
            </w:tcMar>
            <w:tcW w:w="3141" w:type="dxa"/>
            <w:vAlign w:val="top"/>
          </w:tcPr>
          <w:p>
            <w:pPr>
              <w:pStyle w:val="1088"/>
              <w:pBdr/>
              <w:spacing/>
              <w:ind/>
              <w:rPr/>
            </w:pPr>
            <w:r>
              <w:t xml:space="preserve">Publication Architecture Specification</w:t>
            </w:r>
            <w:r/>
          </w:p>
        </w:tc>
      </w:tr>
    </w:tbl>
    <w:p>
      <w:pPr>
        <w:pStyle w:val="1097"/>
        <w:pBdr/>
        <w:spacing/>
        <w:ind/>
        <w:rPr/>
      </w:pPr>
      <w:r/>
      <w:r/>
    </w:p>
    <w:p>
      <w:pPr>
        <w:pStyle w:val="923"/>
        <w:keepNext w:val="true"/>
        <w:keepLines w:val="true"/>
        <w:pBdr/>
        <w:spacing/>
        <w:ind/>
        <w:rPr/>
      </w:pPr>
      <w:r/>
      <w:bookmarkStart w:id="5" w:name="normative_language"/>
      <w:r>
        <w:t xml:space="preserve">Normative language</w:t>
      </w:r>
      <w:bookmarkEnd w:id="5"/>
      <w:r/>
      <w:r/>
    </w:p>
    <w:p>
      <w:pPr>
        <w:pStyle w:val="1083"/>
        <w:keepLines w:val="false"/>
        <w:pBdr/>
        <w:spacing/>
        <w:ind/>
        <w:rPr/>
      </w:pPr>
      <w:r>
        <w:t xml:space="preserve">MUST and MUST NOT identify release or governance re</w:t>
      </w:r>
      <w:r>
        <w:t xml:space="preserve">quirements. SHOULD and SHOULD NOT identify strong defaults that require an explicit rationale to depart from. MAY identifies permitted implementation choices. A local workflow, software choice or editorial preference cannot weaken a MUST-level requirement.</w:t>
      </w:r>
      <w:r/>
    </w:p>
    <w:p>
      <w:pPr>
        <w:pStyle w:val="923"/>
        <w:keepNext w:val="true"/>
        <w:keepLines w:val="true"/>
        <w:pBdr/>
        <w:spacing/>
        <w:ind/>
        <w:rPr/>
      </w:pPr>
      <w:r/>
      <w:bookmarkStart w:id="6" w:name="governing_commitments"/>
      <w:r>
        <w:t xml:space="preserve">Governing commitments</w:t>
      </w:r>
      <w:bookmarkEnd w:id="6"/>
      <w:r/>
      <w:r/>
    </w:p>
    <w:p>
      <w:pPr>
        <w:pStyle w:val="1086"/>
        <w:keepNext w:val="true"/>
        <w:keepLines w:val="true"/>
        <w:pBdr/>
        <w:spacing/>
        <w:ind/>
        <w:rPr/>
      </w:pPr>
      <w:r/>
      <w:bookmarkStart w:id="7" w:name="tbl_governing_commitments"/>
      <w:r>
        <w:t xml:space="preserve">Governing — Governing commitments</w:t>
      </w:r>
      <w:bookmarkEnd w:id="7"/>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264"/>
        <w:gridCol w:w="2264"/>
        <w:gridCol w:w="5477"/>
      </w:tblGrid>
      <w:tr>
        <w:trPr>
          <w:cantSplit/>
          <w:tblHeader/>
        </w:trPr>
        <w:tc>
          <w:tcPr>
            <w:shd w:val="clear" w:color="auto" w:fill="1f5d7a"/>
            <w:tcBorders/>
            <w:tcMar>
              <w:left w:w="70" w:type="dxa"/>
              <w:top w:w="55" w:type="dxa"/>
              <w:right w:w="70" w:type="dxa"/>
              <w:bottom w:w="55" w:type="dxa"/>
            </w:tcMar>
            <w:tcW w:w="2264" w:type="dxa"/>
            <w:vAlign w:val="top"/>
          </w:tcPr>
          <w:p>
            <w:pPr>
              <w:pStyle w:val="1087"/>
              <w:pBdr/>
              <w:spacing/>
              <w:ind/>
              <w:rPr/>
            </w:pPr>
            <w:r>
              <w:t xml:space="preserve">Commitment</w:t>
            </w:r>
            <w:r/>
          </w:p>
        </w:tc>
        <w:tc>
          <w:tcPr>
            <w:shd w:val="clear" w:color="auto" w:fill="1f5d7a"/>
            <w:tcBorders/>
            <w:tcMar>
              <w:left w:w="70" w:type="dxa"/>
              <w:top w:w="55" w:type="dxa"/>
              <w:right w:w="70" w:type="dxa"/>
              <w:bottom w:w="55" w:type="dxa"/>
            </w:tcMar>
            <w:tcW w:w="2264" w:type="dxa"/>
            <w:vAlign w:val="top"/>
          </w:tcPr>
          <w:p>
            <w:pPr>
              <w:pStyle w:val="1087"/>
              <w:pBdr/>
              <w:spacing/>
              <w:ind/>
              <w:rPr/>
            </w:pPr>
            <w:r>
              <w:t xml:space="preserve">Governance status</w:t>
            </w:r>
            <w:r/>
          </w:p>
        </w:tc>
        <w:tc>
          <w:tcPr>
            <w:shd w:val="clear" w:color="auto" w:fill="1f5d7a"/>
            <w:tcBorders/>
            <w:tcMar>
              <w:left w:w="70" w:type="dxa"/>
              <w:top w:w="55" w:type="dxa"/>
              <w:right w:w="70" w:type="dxa"/>
              <w:bottom w:w="55" w:type="dxa"/>
            </w:tcMar>
            <w:tcW w:w="5477" w:type="dxa"/>
            <w:vAlign w:val="top"/>
          </w:tcPr>
          <w:p>
            <w:pPr>
              <w:pStyle w:val="1087"/>
              <w:pBdr/>
              <w:spacing/>
              <w:ind/>
              <w:rPr/>
            </w:pPr>
            <w:r>
              <w:t xml:space="preserve">Operating rule</w:t>
            </w:r>
            <w:r/>
          </w:p>
        </w:tc>
      </w:tr>
      <w:tr>
        <w:trPr>
          <w:cantSplit/>
        </w:trPr>
        <w:tc>
          <w:tcPr>
            <w:shd w:val="clear" w:color="auto" w:fill="ffffff"/>
            <w:tcBorders/>
            <w:tcMar>
              <w:left w:w="70" w:type="dxa"/>
              <w:top w:w="55" w:type="dxa"/>
              <w:right w:w="70" w:type="dxa"/>
              <w:bottom w:w="55" w:type="dxa"/>
            </w:tcMar>
            <w:tcW w:w="2264" w:type="dxa"/>
            <w:vAlign w:val="top"/>
          </w:tcPr>
          <w:p>
            <w:pPr>
              <w:pStyle w:val="1088"/>
              <w:pBdr/>
              <w:spacing/>
              <w:ind/>
              <w:rPr/>
            </w:pPr>
            <w:r>
              <w:t xml:space="preserve">Comparative unit</w:t>
            </w:r>
            <w:r/>
          </w:p>
        </w:tc>
        <w:tc>
          <w:tcPr>
            <w:shd w:val="clear" w:color="auto" w:fill="ffffff"/>
            <w:tcBorders/>
            <w:tcMar>
              <w:left w:w="70" w:type="dxa"/>
              <w:top w:w="55" w:type="dxa"/>
              <w:right w:w="70" w:type="dxa"/>
              <w:bottom w:w="55" w:type="dxa"/>
            </w:tcMar>
            <w:tcW w:w="2264" w:type="dxa"/>
            <w:vAlign w:val="top"/>
          </w:tcPr>
          <w:p>
            <w:pPr>
              <w:pStyle w:val="1088"/>
              <w:pBdr/>
              <w:spacing/>
              <w:ind/>
              <w:rPr/>
            </w:pPr>
            <w:r>
              <w:t xml:space="preserve">GOVERNED INVARIANT</w:t>
            </w:r>
            <w:r/>
          </w:p>
        </w:tc>
        <w:tc>
          <w:tcPr>
            <w:shd w:val="clear" w:color="auto" w:fill="ffffff"/>
            <w:tcBorders/>
            <w:tcMar>
              <w:left w:w="70" w:type="dxa"/>
              <w:top w:w="55" w:type="dxa"/>
              <w:right w:w="70" w:type="dxa"/>
              <w:bottom w:w="55" w:type="dxa"/>
            </w:tcMar>
            <w:tcW w:w="5477" w:type="dxa"/>
            <w:vAlign w:val="top"/>
          </w:tcPr>
          <w:p>
            <w:pPr>
              <w:pStyle w:val="1088"/>
              <w:pBdr/>
              <w:spacing/>
              <w:ind/>
              <w:rPr/>
            </w:pPr>
            <w:r>
              <w:t xml:space="preserve">Position is the primary comparative unit; traditions, regions and broad families are context, not default answer-sets.</w:t>
            </w:r>
            <w:r/>
          </w:p>
        </w:tc>
      </w:tr>
      <w:tr>
        <w:trPr>
          <w:cantSplit/>
        </w:trPr>
        <w:tc>
          <w:tcPr>
            <w:shd w:val="clear" w:color="auto" w:fill="f4f6f7"/>
            <w:tcBorders/>
            <w:tcMar>
              <w:left w:w="70" w:type="dxa"/>
              <w:top w:w="55" w:type="dxa"/>
              <w:right w:w="70" w:type="dxa"/>
              <w:bottom w:w="55" w:type="dxa"/>
            </w:tcMar>
            <w:tcW w:w="2264" w:type="dxa"/>
            <w:vAlign w:val="top"/>
          </w:tcPr>
          <w:p>
            <w:pPr>
              <w:pStyle w:val="1088"/>
              <w:pBdr/>
              <w:spacing/>
              <w:ind/>
              <w:rPr/>
            </w:pPr>
            <w:r>
              <w:t xml:space="preserve">Atomic evidence unit</w:t>
            </w:r>
            <w:r/>
          </w:p>
        </w:tc>
        <w:tc>
          <w:tcPr>
            <w:shd w:val="clear" w:color="auto" w:fill="f4f6f7"/>
            <w:tcBorders/>
            <w:tcMar>
              <w:left w:w="70" w:type="dxa"/>
              <w:top w:w="55" w:type="dxa"/>
              <w:right w:w="70" w:type="dxa"/>
              <w:bottom w:w="55" w:type="dxa"/>
            </w:tcMar>
            <w:tcW w:w="2264" w:type="dxa"/>
            <w:vAlign w:val="top"/>
          </w:tcPr>
          <w:p>
            <w:pPr>
              <w:pStyle w:val="1088"/>
              <w:pBdr/>
              <w:spacing/>
              <w:ind/>
              <w:rPr/>
            </w:pPr>
            <w:r>
              <w:t xml:space="preserve">GOVERNED INVARIANT</w:t>
            </w:r>
            <w:r/>
          </w:p>
        </w:tc>
        <w:tc>
          <w:tcPr>
            <w:shd w:val="clear" w:color="auto" w:fill="f4f6f7"/>
            <w:tcBorders/>
            <w:tcMar>
              <w:left w:w="70" w:type="dxa"/>
              <w:top w:w="55" w:type="dxa"/>
              <w:right w:w="70" w:type="dxa"/>
              <w:bottom w:w="55" w:type="dxa"/>
            </w:tcMar>
            <w:tcW w:w="5477" w:type="dxa"/>
            <w:vAlign w:val="top"/>
          </w:tcPr>
          <w:p>
            <w:pPr>
              <w:pStyle w:val="1088"/>
              <w:pBdr/>
              <w:spacing/>
              <w:ind/>
              <w:rPr/>
            </w:pPr>
            <w:r>
              <w:t xml:space="preserve">Claim is the smallest release-grade citable attribution or assertion.</w:t>
            </w:r>
            <w:r/>
          </w:p>
        </w:tc>
      </w:tr>
      <w:tr>
        <w:trPr>
          <w:cantSplit/>
        </w:trPr>
        <w:tc>
          <w:tcPr>
            <w:shd w:val="clear" w:color="auto" w:fill="ffffff"/>
            <w:tcBorders/>
            <w:tcMar>
              <w:left w:w="70" w:type="dxa"/>
              <w:top w:w="55" w:type="dxa"/>
              <w:right w:w="70" w:type="dxa"/>
              <w:bottom w:w="55" w:type="dxa"/>
            </w:tcMar>
            <w:tcW w:w="2264" w:type="dxa"/>
            <w:vAlign w:val="top"/>
          </w:tcPr>
          <w:p>
            <w:pPr>
              <w:pStyle w:val="1088"/>
              <w:pBdr/>
              <w:spacing/>
              <w:ind/>
              <w:rPr/>
            </w:pPr>
            <w:r>
              <w:t xml:space="preserve">Question status layer</w:t>
            </w:r>
            <w:r/>
          </w:p>
        </w:tc>
        <w:tc>
          <w:tcPr>
            <w:shd w:val="clear" w:color="auto" w:fill="ffffff"/>
            <w:tcBorders/>
            <w:tcMar>
              <w:left w:w="70" w:type="dxa"/>
              <w:top w:w="55" w:type="dxa"/>
              <w:right w:w="70" w:type="dxa"/>
              <w:bottom w:w="55" w:type="dxa"/>
            </w:tcMar>
            <w:tcW w:w="2264" w:type="dxa"/>
            <w:vAlign w:val="top"/>
          </w:tcPr>
          <w:p>
            <w:pPr>
              <w:pStyle w:val="1088"/>
              <w:pBdr/>
              <w:spacing/>
              <w:ind/>
              <w:rPr/>
            </w:pPr>
            <w:r>
              <w:t xml:space="preserve">GOVERNED INVARIANT</w:t>
            </w:r>
            <w:r/>
          </w:p>
        </w:tc>
        <w:tc>
          <w:tcPr>
            <w:shd w:val="clear" w:color="auto" w:fill="ffffff"/>
            <w:tcBorders/>
            <w:tcMar>
              <w:left w:w="70" w:type="dxa"/>
              <w:top w:w="55" w:type="dxa"/>
              <w:right w:w="70" w:type="dxa"/>
              <w:bottom w:w="55" w:type="dxa"/>
            </w:tcMar>
            <w:tcW w:w="5477" w:type="dxa"/>
            <w:vAlign w:val="top"/>
          </w:tcPr>
          <w:p>
            <w:pPr>
              <w:pStyle w:val="1088"/>
              <w:pBdr/>
              <w:spacing/>
              <w:ind/>
              <w:rPr/>
            </w:pPr>
            <w:r>
              <w:t xml:space="preserve">QuestionResponse remains a separate Position-by-question status layer and is not replaced by Claim records.</w:t>
            </w:r>
            <w:r/>
          </w:p>
        </w:tc>
      </w:tr>
      <w:tr>
        <w:trPr>
          <w:cantSplit/>
        </w:trPr>
        <w:tc>
          <w:tcPr>
            <w:shd w:val="clear" w:color="auto" w:fill="f4f6f7"/>
            <w:tcBorders/>
            <w:tcMar>
              <w:left w:w="70" w:type="dxa"/>
              <w:top w:w="55" w:type="dxa"/>
              <w:right w:w="70" w:type="dxa"/>
              <w:bottom w:w="55" w:type="dxa"/>
            </w:tcMar>
            <w:tcW w:w="2264" w:type="dxa"/>
            <w:vAlign w:val="top"/>
          </w:tcPr>
          <w:p>
            <w:pPr>
              <w:pStyle w:val="1088"/>
              <w:pBdr/>
              <w:spacing/>
              <w:ind/>
              <w:rPr/>
            </w:pPr>
            <w:r>
              <w:t xml:space="preserve">Analytical substrate</w:t>
            </w:r>
            <w:r/>
          </w:p>
        </w:tc>
        <w:tc>
          <w:tcPr>
            <w:shd w:val="clear" w:color="auto" w:fill="f4f6f7"/>
            <w:tcBorders/>
            <w:tcMar>
              <w:left w:w="70" w:type="dxa"/>
              <w:top w:w="55" w:type="dxa"/>
              <w:right w:w="70" w:type="dxa"/>
              <w:bottom w:w="55" w:type="dxa"/>
            </w:tcMar>
            <w:tcW w:w="2264" w:type="dxa"/>
            <w:vAlign w:val="top"/>
          </w:tcPr>
          <w:p>
            <w:pPr>
              <w:pStyle w:val="1088"/>
              <w:pBdr/>
              <w:spacing/>
              <w:ind/>
              <w:rPr/>
            </w:pPr>
            <w:r>
              <w:t xml:space="preserve">GOVERNED INVARIANT</w:t>
            </w:r>
            <w:r/>
          </w:p>
        </w:tc>
        <w:tc>
          <w:tcPr>
            <w:shd w:val="clear" w:color="auto" w:fill="f4f6f7"/>
            <w:tcBorders/>
            <w:tcMar>
              <w:left w:w="70" w:type="dxa"/>
              <w:top w:w="55" w:type="dxa"/>
              <w:right w:w="70" w:type="dxa"/>
              <w:bottom w:w="55" w:type="dxa"/>
            </w:tcMar>
            <w:tcW w:w="5477" w:type="dxa"/>
            <w:vAlign w:val="top"/>
          </w:tcPr>
          <w:p>
            <w:pPr>
              <w:pStyle w:val="1088"/>
              <w:pBdr/>
              <w:spacing/>
              <w:ind/>
              <w:rPr/>
            </w:pPr>
            <w:r>
              <w:t xml:space="preserve">D1-D15 remains the analytical substrate; exactly one primary response state plus optional CAT category warning is mandatory.</w:t>
            </w:r>
            <w:r/>
          </w:p>
        </w:tc>
      </w:tr>
      <w:tr>
        <w:trPr>
          <w:cantSplit/>
        </w:trPr>
        <w:tc>
          <w:tcPr>
            <w:shd w:val="clear" w:color="auto" w:fill="ffffff"/>
            <w:tcBorders/>
            <w:tcMar>
              <w:left w:w="70" w:type="dxa"/>
              <w:top w:w="55" w:type="dxa"/>
              <w:right w:w="70" w:type="dxa"/>
              <w:bottom w:w="55" w:type="dxa"/>
            </w:tcMar>
            <w:tcW w:w="2264" w:type="dxa"/>
            <w:vAlign w:val="top"/>
          </w:tcPr>
          <w:p>
            <w:pPr>
              <w:pStyle w:val="1088"/>
              <w:pBdr/>
              <w:spacing/>
              <w:ind/>
              <w:rPr/>
            </w:pPr>
            <w:r>
              <w:t xml:space="preserve">Claim semantics</w:t>
            </w:r>
            <w:r/>
          </w:p>
        </w:tc>
        <w:tc>
          <w:tcPr>
            <w:shd w:val="clear" w:color="auto" w:fill="ffffff"/>
            <w:tcBorders/>
            <w:tcMar>
              <w:left w:w="70" w:type="dxa"/>
              <w:top w:w="55" w:type="dxa"/>
              <w:right w:w="70" w:type="dxa"/>
              <w:bottom w:w="55" w:type="dxa"/>
            </w:tcMar>
            <w:tcW w:w="2264" w:type="dxa"/>
            <w:vAlign w:val="top"/>
          </w:tcPr>
          <w:p>
            <w:pPr>
              <w:pStyle w:val="1088"/>
              <w:pBdr/>
              <w:spacing/>
              <w:ind/>
              <w:rPr/>
            </w:pPr>
            <w:r>
              <w:t xml:space="preserve">GOVERNED INVARIANT</w:t>
            </w:r>
            <w:r/>
          </w:p>
        </w:tc>
        <w:tc>
          <w:tcPr>
            <w:shd w:val="clear" w:color="auto" w:fill="ffffff"/>
            <w:tcBorders/>
            <w:tcMar>
              <w:left w:w="70" w:type="dxa"/>
              <w:top w:w="55" w:type="dxa"/>
              <w:right w:w="70" w:type="dxa"/>
              <w:bottom w:w="55" w:type="dxa"/>
            </w:tcMar>
            <w:tcW w:w="5477" w:type="dxa"/>
            <w:vAlign w:val="top"/>
          </w:tcPr>
          <w:p>
            <w:pPr>
              <w:pStyle w:val="1088"/>
              <w:pBdr/>
              <w:spacing/>
              <w:ind/>
              <w:rPr/>
            </w:pPr>
            <w:r>
              <w:t xml:space="preserve">claim_attachment and claim_origin remain separate controlled dimensions.</w:t>
            </w:r>
            <w:r/>
          </w:p>
        </w:tc>
      </w:tr>
      <w:tr>
        <w:trPr>
          <w:cantSplit/>
        </w:trPr>
        <w:tc>
          <w:tcPr>
            <w:shd w:val="clear" w:color="auto" w:fill="f4f6f7"/>
            <w:tcBorders/>
            <w:tcMar>
              <w:left w:w="70" w:type="dxa"/>
              <w:top w:w="55" w:type="dxa"/>
              <w:right w:w="70" w:type="dxa"/>
              <w:bottom w:w="55" w:type="dxa"/>
            </w:tcMar>
            <w:tcW w:w="2264" w:type="dxa"/>
            <w:vAlign w:val="top"/>
          </w:tcPr>
          <w:p>
            <w:pPr>
              <w:pStyle w:val="1088"/>
              <w:pBdr/>
              <w:spacing/>
              <w:ind/>
              <w:rPr/>
            </w:pPr>
            <w:r>
              <w:t xml:space="preserve">Comparison discipline</w:t>
            </w:r>
            <w:r/>
          </w:p>
        </w:tc>
        <w:tc>
          <w:tcPr>
            <w:shd w:val="clear" w:color="auto" w:fill="f4f6f7"/>
            <w:tcBorders/>
            <w:tcMar>
              <w:left w:w="70" w:type="dxa"/>
              <w:top w:w="55" w:type="dxa"/>
              <w:right w:w="70" w:type="dxa"/>
              <w:bottom w:w="55" w:type="dxa"/>
            </w:tcMar>
            <w:tcW w:w="2264" w:type="dxa"/>
            <w:vAlign w:val="top"/>
          </w:tcPr>
          <w:p>
            <w:pPr>
              <w:pStyle w:val="1088"/>
              <w:pBdr/>
              <w:spacing/>
              <w:ind/>
              <w:rPr/>
            </w:pPr>
            <w:r>
              <w:t xml:space="preserve">GOVERNED INVARIANT</w:t>
            </w:r>
            <w:r/>
          </w:p>
        </w:tc>
        <w:tc>
          <w:tcPr>
            <w:shd w:val="clear" w:color="auto" w:fill="f4f6f7"/>
            <w:tcBorders/>
            <w:tcMar>
              <w:left w:w="70" w:type="dxa"/>
              <w:top w:w="55" w:type="dxa"/>
              <w:right w:w="70" w:type="dxa"/>
              <w:bottom w:w="55" w:type="dxa"/>
            </w:tcMar>
            <w:tcW w:w="5477" w:type="dxa"/>
            <w:vAlign w:val="top"/>
          </w:tcPr>
          <w:p>
            <w:pPr>
              <w:pStyle w:val="1088"/>
              <w:pBdr/>
              <w:spacing/>
              <w:ind/>
              <w:rPr/>
            </w:pPr>
            <w:r>
              <w:t xml:space="preserve">Comparison uses proposition-scoped, typed, stackable relations with explicit dimension, scope, disanalogy links, tertium validity and genealogy/independence metadata.</w:t>
            </w:r>
            <w:r/>
          </w:p>
        </w:tc>
      </w:tr>
      <w:tr>
        <w:trPr>
          <w:cantSplit/>
        </w:trPr>
        <w:tc>
          <w:tcPr>
            <w:shd w:val="clear" w:color="auto" w:fill="ffffff"/>
            <w:tcBorders/>
            <w:tcMar>
              <w:left w:w="70" w:type="dxa"/>
              <w:top w:w="55" w:type="dxa"/>
              <w:right w:w="70" w:type="dxa"/>
              <w:bottom w:w="55" w:type="dxa"/>
            </w:tcMar>
            <w:tcW w:w="2264" w:type="dxa"/>
            <w:vAlign w:val="top"/>
          </w:tcPr>
          <w:p>
            <w:pPr>
              <w:pStyle w:val="1088"/>
              <w:pBdr/>
              <w:spacing/>
              <w:ind/>
              <w:rPr/>
            </w:pPr>
            <w:r>
              <w:t xml:space="preserve">Evidence and governance</w:t>
            </w:r>
            <w:r/>
          </w:p>
        </w:tc>
        <w:tc>
          <w:tcPr>
            <w:shd w:val="clear" w:color="auto" w:fill="ffffff"/>
            <w:tcBorders/>
            <w:tcMar>
              <w:left w:w="70" w:type="dxa"/>
              <w:top w:w="55" w:type="dxa"/>
              <w:right w:w="70" w:type="dxa"/>
              <w:bottom w:w="55" w:type="dxa"/>
            </w:tcMar>
            <w:tcW w:w="2264" w:type="dxa"/>
            <w:vAlign w:val="top"/>
          </w:tcPr>
          <w:p>
            <w:pPr>
              <w:pStyle w:val="1088"/>
              <w:pBdr/>
              <w:spacing/>
              <w:ind/>
              <w:rPr/>
            </w:pPr>
            <w:r>
              <w:t xml:space="preserve">GOVERNED INVARIANT</w:t>
            </w:r>
            <w:r/>
          </w:p>
        </w:tc>
        <w:tc>
          <w:tcPr>
            <w:shd w:val="clear" w:color="auto" w:fill="ffffff"/>
            <w:tcBorders/>
            <w:tcMar>
              <w:left w:w="70" w:type="dxa"/>
              <w:top w:w="55" w:type="dxa"/>
              <w:right w:w="70" w:type="dxa"/>
              <w:bottom w:w="55" w:type="dxa"/>
            </w:tcMar>
            <w:tcW w:w="5477" w:type="dxa"/>
            <w:vAlign w:val="top"/>
          </w:tcPr>
          <w:p>
            <w:pPr>
              <w:pStyle w:val="1088"/>
              <w:pBdr/>
              <w:spacing/>
              <w:ind/>
              <w:rPr/>
            </w:pPr>
            <w:r>
              <w:t xml:space="preserve">Source-fit evidence, exact locators, concept control, internal plurality and rights/governance controls are mandatory.</w:t>
            </w:r>
            <w:r/>
          </w:p>
        </w:tc>
      </w:tr>
      <w:tr>
        <w:trPr>
          <w:cantSplit/>
        </w:trPr>
        <w:tc>
          <w:tcPr>
            <w:shd w:val="clear" w:color="auto" w:fill="f4f6f7"/>
            <w:tcBorders/>
            <w:tcMar>
              <w:left w:w="70" w:type="dxa"/>
              <w:top w:w="55" w:type="dxa"/>
              <w:right w:w="70" w:type="dxa"/>
              <w:bottom w:w="55" w:type="dxa"/>
            </w:tcMar>
            <w:tcW w:w="2264" w:type="dxa"/>
            <w:vAlign w:val="top"/>
          </w:tcPr>
          <w:p>
            <w:pPr>
              <w:pStyle w:val="1088"/>
              <w:pBdr/>
              <w:spacing/>
              <w:ind/>
              <w:rPr/>
            </w:pPr>
            <w:r>
              <w:t xml:space="preserve">Canonical authority</w:t>
            </w:r>
            <w:r/>
          </w:p>
        </w:tc>
        <w:tc>
          <w:tcPr>
            <w:shd w:val="clear" w:color="auto" w:fill="f4f6f7"/>
            <w:tcBorders/>
            <w:tcMar>
              <w:left w:w="70" w:type="dxa"/>
              <w:top w:w="55" w:type="dxa"/>
              <w:right w:w="70" w:type="dxa"/>
              <w:bottom w:w="55" w:type="dxa"/>
            </w:tcMar>
            <w:tcW w:w="2264" w:type="dxa"/>
            <w:vAlign w:val="top"/>
          </w:tcPr>
          <w:p>
            <w:pPr>
              <w:pStyle w:val="1088"/>
              <w:pBdr/>
              <w:spacing/>
              <w:ind/>
              <w:rPr/>
            </w:pPr>
            <w:r>
              <w:t xml:space="preserve">GOVERNED INVARIANT</w:t>
            </w:r>
            <w:r/>
          </w:p>
        </w:tc>
        <w:tc>
          <w:tcPr>
            <w:shd w:val="clear" w:color="auto" w:fill="f4f6f7"/>
            <w:tcBorders/>
            <w:tcMar>
              <w:left w:w="70" w:type="dxa"/>
              <w:top w:w="55" w:type="dxa"/>
              <w:right w:w="70" w:type="dxa"/>
              <w:bottom w:w="55" w:type="dxa"/>
            </w:tcMar>
            <w:tcW w:w="5477" w:type="dxa"/>
            <w:vAlign w:val="top"/>
          </w:tcPr>
          <w:p>
            <w:pPr>
              <w:pStyle w:val="1088"/>
              <w:pBdr/>
              <w:spacing/>
              <w:ind/>
              <w:rPr/>
            </w:pPr>
            <w:r>
              <w:t xml:space="preserve">The Canonical Evidence Store is the sole authoritative factual source; the Digital Atlas System and its public or generated views are derivative.</w:t>
            </w:r>
            <w:r/>
          </w:p>
        </w:tc>
      </w:tr>
      <w:tr>
        <w:trPr>
          <w:cantSplit/>
        </w:trPr>
        <w:tc>
          <w:tcPr>
            <w:shd w:val="clear" w:color="auto" w:fill="ffffff"/>
            <w:tcBorders/>
            <w:tcMar>
              <w:left w:w="70" w:type="dxa"/>
              <w:top w:w="55" w:type="dxa"/>
              <w:right w:w="70" w:type="dxa"/>
              <w:bottom w:w="55" w:type="dxa"/>
            </w:tcMar>
            <w:tcW w:w="2264" w:type="dxa"/>
            <w:vAlign w:val="top"/>
          </w:tcPr>
          <w:p>
            <w:pPr>
              <w:pStyle w:val="1088"/>
              <w:pBdr/>
              <w:spacing/>
              <w:ind/>
              <w:rPr/>
            </w:pPr>
            <w:r>
              <w:t xml:space="preserve">Status separation</w:t>
            </w:r>
            <w:r/>
          </w:p>
        </w:tc>
        <w:tc>
          <w:tcPr>
            <w:shd w:val="clear" w:color="auto" w:fill="ffffff"/>
            <w:tcBorders/>
            <w:tcMar>
              <w:left w:w="70" w:type="dxa"/>
              <w:top w:w="55" w:type="dxa"/>
              <w:right w:w="70" w:type="dxa"/>
              <w:bottom w:w="55" w:type="dxa"/>
            </w:tcMar>
            <w:tcW w:w="2264" w:type="dxa"/>
            <w:vAlign w:val="top"/>
          </w:tcPr>
          <w:p>
            <w:pPr>
              <w:pStyle w:val="1088"/>
              <w:pBdr/>
              <w:spacing/>
              <w:ind/>
              <w:rPr/>
            </w:pPr>
            <w:r>
              <w:t xml:space="preserve">GOVERNED INVARIANT</w:t>
            </w:r>
            <w:r/>
          </w:p>
        </w:tc>
        <w:tc>
          <w:tcPr>
            <w:shd w:val="clear" w:color="auto" w:fill="ffffff"/>
            <w:tcBorders/>
            <w:tcMar>
              <w:left w:w="70" w:type="dxa"/>
              <w:top w:w="55" w:type="dxa"/>
              <w:right w:w="70" w:type="dxa"/>
              <w:bottom w:w="55" w:type="dxa"/>
            </w:tcMar>
            <w:tcW w:w="5477" w:type="dxa"/>
            <w:vAlign w:val="top"/>
          </w:tcPr>
          <w:p>
            <w:pPr>
              <w:pStyle w:val="1088"/>
              <w:pBdr/>
              <w:spacing/>
              <w:ind/>
              <w:rPr/>
            </w:pPr>
            <w:r>
              <w:t xml:space="preserve">Gate verdict, evidence maturity, criterion results, representation readiness, editorial role, planning confidence, validation dependency, synthesis level and synthesis maturity are independent axes.</w:t>
            </w:r>
            <w:r/>
          </w:p>
        </w:tc>
      </w:tr>
      <w:tr>
        <w:trPr>
          <w:cantSplit/>
        </w:trPr>
        <w:tc>
          <w:tcPr>
            <w:shd w:val="clear" w:color="auto" w:fill="f4f6f7"/>
            <w:tcBorders/>
            <w:tcMar>
              <w:left w:w="70" w:type="dxa"/>
              <w:top w:w="55" w:type="dxa"/>
              <w:right w:w="70" w:type="dxa"/>
              <w:bottom w:w="55" w:type="dxa"/>
            </w:tcMar>
            <w:tcW w:w="2264" w:type="dxa"/>
            <w:vAlign w:val="top"/>
          </w:tcPr>
          <w:p>
            <w:pPr>
              <w:pStyle w:val="1088"/>
              <w:pBdr/>
              <w:spacing/>
              <w:ind/>
              <w:rPr/>
            </w:pPr>
            <w:r>
              <w:t xml:space="preserve">Publication-claim discipline</w:t>
            </w:r>
            <w:r/>
          </w:p>
        </w:tc>
        <w:tc>
          <w:tcPr>
            <w:shd w:val="clear" w:color="auto" w:fill="f4f6f7"/>
            <w:tcBorders/>
            <w:tcMar>
              <w:left w:w="70" w:type="dxa"/>
              <w:top w:w="55" w:type="dxa"/>
              <w:right w:w="70" w:type="dxa"/>
              <w:bottom w:w="55" w:type="dxa"/>
            </w:tcMar>
            <w:tcW w:w="2264" w:type="dxa"/>
            <w:vAlign w:val="top"/>
          </w:tcPr>
          <w:p>
            <w:pPr>
              <w:pStyle w:val="1088"/>
              <w:pBdr/>
              <w:spacing/>
              <w:ind/>
              <w:rPr/>
            </w:pPr>
            <w:r>
              <w:t xml:space="preserve">GOVERNED INVARIANT</w:t>
            </w:r>
            <w:r/>
          </w:p>
        </w:tc>
        <w:tc>
          <w:tcPr>
            <w:shd w:val="clear" w:color="auto" w:fill="f4f6f7"/>
            <w:tcBorders/>
            <w:tcMar>
              <w:left w:w="70" w:type="dxa"/>
              <w:top w:w="55" w:type="dxa"/>
              <w:right w:w="70" w:type="dxa"/>
              <w:bottom w:w="55" w:type="dxa"/>
            </w:tcMar>
            <w:tcW w:w="5477" w:type="dxa"/>
            <w:vAlign w:val="top"/>
          </w:tcPr>
          <w:p>
            <w:pPr>
              <w:pStyle w:val="1088"/>
              <w:pBdr/>
              <w:spacing/>
              <w:ind/>
              <w:rPr/>
            </w:pPr>
            <w:r>
              <w:t xml:space="preserve">Every thesis-bearing publication claim resolves to canonical premises, rationale, scope, defeaters and review state.</w:t>
            </w:r>
            <w:r/>
          </w:p>
        </w:tc>
      </w:tr>
      <w:tr>
        <w:trPr>
          <w:cantSplit/>
        </w:trPr>
        <w:tc>
          <w:tcPr>
            <w:shd w:val="clear" w:color="auto" w:fill="ffffff"/>
            <w:tcBorders/>
            <w:tcMar>
              <w:left w:w="70" w:type="dxa"/>
              <w:top w:w="55" w:type="dxa"/>
              <w:right w:w="70" w:type="dxa"/>
              <w:bottom w:w="55" w:type="dxa"/>
            </w:tcMar>
            <w:tcW w:w="2264" w:type="dxa"/>
            <w:vAlign w:val="top"/>
          </w:tcPr>
          <w:p>
            <w:pPr>
              <w:pStyle w:val="1088"/>
              <w:pBdr/>
              <w:spacing/>
              <w:ind/>
              <w:rPr/>
            </w:pPr>
            <w:r>
              <w:t xml:space="preserve">Synthesis boundary</w:t>
            </w:r>
            <w:r/>
          </w:p>
        </w:tc>
        <w:tc>
          <w:tcPr>
            <w:shd w:val="clear" w:color="auto" w:fill="ffffff"/>
            <w:tcBorders/>
            <w:tcMar>
              <w:left w:w="70" w:type="dxa"/>
              <w:top w:w="55" w:type="dxa"/>
              <w:right w:w="70" w:type="dxa"/>
              <w:bottom w:w="55" w:type="dxa"/>
            </w:tcMar>
            <w:tcW w:w="2264" w:type="dxa"/>
            <w:vAlign w:val="top"/>
          </w:tcPr>
          <w:p>
            <w:pPr>
              <w:pStyle w:val="1088"/>
              <w:pBdr/>
              <w:spacing/>
              <w:ind/>
              <w:rPr/>
            </w:pPr>
            <w:r>
              <w:t xml:space="preserve">GOVERNED INVARIANT</w:t>
            </w:r>
            <w:r/>
          </w:p>
        </w:tc>
        <w:tc>
          <w:tcPr>
            <w:shd w:val="clear" w:color="auto" w:fill="ffffff"/>
            <w:tcBorders/>
            <w:tcMar>
              <w:left w:w="70" w:type="dxa"/>
              <w:top w:w="55" w:type="dxa"/>
              <w:right w:w="70" w:type="dxa"/>
              <w:bottom w:w="55" w:type="dxa"/>
            </w:tcMar>
            <w:tcW w:w="5477" w:type="dxa"/>
            <w:vAlign w:val="top"/>
          </w:tcPr>
          <w:p>
            <w:pPr>
              <w:pStyle w:val="1088"/>
              <w:pBdr/>
              <w:spacing/>
              <w:ind/>
              <w:rPr/>
            </w:pPr>
            <w:r>
              <w:t xml:space="preserve">L0–L2 is the current synthesis ceiling; L3–L4 remain gated; L5 is outside Atlas database inference.</w:t>
            </w:r>
            <w:r/>
          </w:p>
        </w:tc>
      </w:tr>
    </w:tbl>
    <w:p>
      <w:pPr>
        <w:pStyle w:val="1097"/>
        <w:pBdr/>
        <w:spacing/>
        <w:ind/>
        <w:rPr/>
      </w:pPr>
      <w:r/>
      <w:r/>
    </w:p>
    <w:p>
      <w:pPr>
        <w:pStyle w:val="923"/>
        <w:keepNext w:val="true"/>
        <w:keepLines w:val="true"/>
        <w:pBdr/>
        <w:spacing/>
        <w:ind/>
        <w:rPr/>
      </w:pPr>
      <w:r/>
      <w:bookmarkStart w:id="8" w:name="role_based_paths"/>
      <w:r>
        <w:t xml:space="preserve">Role-based reading paths</w:t>
      </w:r>
      <w:bookmarkEnd w:id="8"/>
      <w:r/>
      <w:r/>
    </w:p>
    <w:p>
      <w:pPr>
        <w:pStyle w:val="1086"/>
        <w:keepNext w:val="true"/>
        <w:keepLines w:val="true"/>
        <w:pBdr/>
        <w:spacing/>
        <w:ind/>
        <w:rPr/>
      </w:pPr>
      <w:r/>
      <w:bookmarkStart w:id="9" w:name="role_paths"/>
      <w:r>
        <w:t xml:space="preserve">Governing — Role-based use guide</w:t>
      </w:r>
      <w:bookmarkEnd w:id="9"/>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3141"/>
        <w:gridCol w:w="6865"/>
      </w:tblGrid>
      <w:tr>
        <w:trPr>
          <w:cantSplit/>
          <w:tblHeader/>
        </w:trPr>
        <w:tc>
          <w:tcPr>
            <w:shd w:val="clear" w:color="auto" w:fill="1f5d7a"/>
            <w:tcBorders/>
            <w:tcMar>
              <w:left w:w="70" w:type="dxa"/>
              <w:top w:w="55" w:type="dxa"/>
              <w:right w:w="70" w:type="dxa"/>
              <w:bottom w:w="55" w:type="dxa"/>
            </w:tcMar>
            <w:tcW w:w="3141" w:type="dxa"/>
            <w:vAlign w:val="top"/>
          </w:tcPr>
          <w:p>
            <w:pPr>
              <w:pStyle w:val="1087"/>
              <w:pBdr/>
              <w:spacing/>
              <w:ind/>
              <w:rPr/>
            </w:pPr>
            <w:r>
              <w:t xml:space="preserve">Role or task</w:t>
            </w:r>
            <w:r/>
          </w:p>
        </w:tc>
        <w:tc>
          <w:tcPr>
            <w:shd w:val="clear" w:color="auto" w:fill="1f5d7a"/>
            <w:tcBorders/>
            <w:tcMar>
              <w:left w:w="70" w:type="dxa"/>
              <w:top w:w="55" w:type="dxa"/>
              <w:right w:w="70" w:type="dxa"/>
              <w:bottom w:w="55" w:type="dxa"/>
            </w:tcMar>
            <w:tcW w:w="6865" w:type="dxa"/>
            <w:vAlign w:val="top"/>
          </w:tcPr>
          <w:p>
            <w:pPr>
              <w:pStyle w:val="1087"/>
              <w:pBdr/>
              <w:spacing/>
              <w:ind/>
              <w:rPr/>
            </w:pPr>
            <w:r>
              <w:t xml:space="preserve">Primary path</w:t>
            </w:r>
            <w:r/>
          </w:p>
        </w:tc>
      </w:tr>
      <w:tr>
        <w:trPr>
          <w:cantSplit/>
        </w:trPr>
        <w:tc>
          <w:tcPr>
            <w:shd w:val="clear" w:color="auto" w:fill="ffffff"/>
            <w:tcBorders/>
            <w:tcMar>
              <w:left w:w="70" w:type="dxa"/>
              <w:top w:w="55" w:type="dxa"/>
              <w:right w:w="70" w:type="dxa"/>
              <w:bottom w:w="55" w:type="dxa"/>
            </w:tcMar>
            <w:tcW w:w="3141" w:type="dxa"/>
            <w:vAlign w:val="top"/>
          </w:tcPr>
          <w:p>
            <w:pPr>
              <w:pStyle w:val="1088"/>
              <w:pBdr/>
              <w:spacing/>
              <w:ind/>
              <w:rPr/>
            </w:pPr>
            <w:r>
              <w:t xml:space="preserve">Research lead and primary coder</w:t>
            </w:r>
            <w:r/>
          </w:p>
        </w:tc>
        <w:tc>
          <w:tcPr>
            <w:shd w:val="clear" w:color="auto" w:fill="ffffff"/>
            <w:tcBorders/>
            <w:tcMar>
              <w:left w:w="70" w:type="dxa"/>
              <w:top w:w="55" w:type="dxa"/>
              <w:right w:w="70" w:type="dxa"/>
              <w:bottom w:w="55" w:type="dxa"/>
            </w:tcMar>
            <w:tcW w:w="6865" w:type="dxa"/>
            <w:vAlign w:val="top"/>
          </w:tcPr>
          <w:p>
            <w:pPr>
              <w:pStyle w:val="1088"/>
              <w:pBdr/>
              <w:spacing/>
              <w:ind/>
              <w:rPr/>
            </w:pPr>
            <w:r>
              <w:t xml:space="preserve">Part I; Annex A for controlled values; Annex B for record completion.</w:t>
            </w:r>
            <w:r/>
          </w:p>
        </w:tc>
      </w:tr>
      <w:tr>
        <w:trPr>
          <w:cantSplit/>
        </w:trPr>
        <w:tc>
          <w:tcPr>
            <w:shd w:val="clear" w:color="auto" w:fill="f4f6f7"/>
            <w:tcBorders/>
            <w:tcMar>
              <w:left w:w="70" w:type="dxa"/>
              <w:top w:w="55" w:type="dxa"/>
              <w:right w:w="70" w:type="dxa"/>
              <w:bottom w:w="55" w:type="dxa"/>
            </w:tcMar>
            <w:tcW w:w="3141" w:type="dxa"/>
            <w:vAlign w:val="top"/>
          </w:tcPr>
          <w:p>
            <w:pPr>
              <w:pStyle w:val="1088"/>
              <w:pBdr/>
              <w:spacing/>
              <w:ind/>
              <w:rPr/>
            </w:pPr>
            <w:r>
              <w:t xml:space="preserve">Comparative and synthesis lead</w:t>
            </w:r>
            <w:r/>
          </w:p>
        </w:tc>
        <w:tc>
          <w:tcPr>
            <w:shd w:val="clear" w:color="auto" w:fill="f4f6f7"/>
            <w:tcBorders/>
            <w:tcMar>
              <w:left w:w="70" w:type="dxa"/>
              <w:top w:w="55" w:type="dxa"/>
              <w:right w:w="70" w:type="dxa"/>
              <w:bottom w:w="55" w:type="dxa"/>
            </w:tcMar>
            <w:tcW w:w="6865" w:type="dxa"/>
            <w:vAlign w:val="top"/>
          </w:tcPr>
          <w:p>
            <w:pPr>
              <w:pStyle w:val="1088"/>
              <w:pBdr/>
              <w:spacing/>
              <w:ind/>
              <w:rPr/>
            </w:pPr>
            <w:r>
              <w:t xml:space="preserve">Sections 6 and 11; Annexes A–C.</w:t>
            </w:r>
            <w:r/>
          </w:p>
        </w:tc>
      </w:tr>
      <w:tr>
        <w:trPr>
          <w:cantSplit/>
        </w:trPr>
        <w:tc>
          <w:tcPr>
            <w:shd w:val="clear" w:color="auto" w:fill="ffffff"/>
            <w:tcBorders/>
            <w:tcMar>
              <w:left w:w="70" w:type="dxa"/>
              <w:top w:w="55" w:type="dxa"/>
              <w:right w:w="70" w:type="dxa"/>
              <w:bottom w:w="55" w:type="dxa"/>
            </w:tcMar>
            <w:tcW w:w="3141" w:type="dxa"/>
            <w:vAlign w:val="top"/>
          </w:tcPr>
          <w:p>
            <w:pPr>
              <w:pStyle w:val="1088"/>
              <w:pBdr/>
              <w:spacing/>
              <w:ind/>
              <w:rPr/>
            </w:pPr>
            <w:r>
              <w:t xml:space="preserve">Specialist, translation or source-community reviewer</w:t>
            </w:r>
            <w:r/>
          </w:p>
        </w:tc>
        <w:tc>
          <w:tcPr>
            <w:shd w:val="clear" w:color="auto" w:fill="ffffff"/>
            <w:tcBorders/>
            <w:tcMar>
              <w:left w:w="70" w:type="dxa"/>
              <w:top w:w="55" w:type="dxa"/>
              <w:right w:w="70" w:type="dxa"/>
              <w:bottom w:w="55" w:type="dxa"/>
            </w:tcMar>
            <w:tcW w:w="6865" w:type="dxa"/>
            <w:vAlign w:val="top"/>
          </w:tcPr>
          <w:p>
            <w:pPr>
              <w:pStyle w:val="1088"/>
              <w:pBdr/>
              <w:spacing/>
              <w:ind/>
              <w:rPr/>
            </w:pPr>
            <w:r>
              <w:t xml:space="preserve">Sections 5–7 and 9–10; relevant Annex B records and Annex C criteria.</w:t>
            </w:r>
            <w:r/>
          </w:p>
        </w:tc>
      </w:tr>
      <w:tr>
        <w:trPr>
          <w:cantSplit/>
        </w:trPr>
        <w:tc>
          <w:tcPr>
            <w:shd w:val="clear" w:color="auto" w:fill="f4f6f7"/>
            <w:tcBorders/>
            <w:tcMar>
              <w:left w:w="70" w:type="dxa"/>
              <w:top w:w="55" w:type="dxa"/>
              <w:right w:w="70" w:type="dxa"/>
              <w:bottom w:w="55" w:type="dxa"/>
            </w:tcMar>
            <w:tcW w:w="3141" w:type="dxa"/>
            <w:vAlign w:val="top"/>
          </w:tcPr>
          <w:p>
            <w:pPr>
              <w:pStyle w:val="1088"/>
              <w:pBdr/>
              <w:spacing/>
              <w:ind/>
              <w:rPr/>
            </w:pPr>
            <w:r>
              <w:t xml:space="preserve">Data and validation lead</w:t>
            </w:r>
            <w:r/>
          </w:p>
        </w:tc>
        <w:tc>
          <w:tcPr>
            <w:shd w:val="clear" w:color="auto" w:fill="f4f6f7"/>
            <w:tcBorders/>
            <w:tcMar>
              <w:left w:w="70" w:type="dxa"/>
              <w:top w:w="55" w:type="dxa"/>
              <w:right w:w="70" w:type="dxa"/>
              <w:bottom w:w="55" w:type="dxa"/>
            </w:tcMar>
            <w:tcW w:w="6865" w:type="dxa"/>
            <w:vAlign w:val="top"/>
          </w:tcPr>
          <w:p>
            <w:pPr>
              <w:pStyle w:val="1088"/>
              <w:pBdr/>
              <w:spacing/>
              <w:ind/>
              <w:rPr/>
            </w:pPr>
            <w:r>
              <w:t xml:space="preserve">Sections 8–10; Annexes B–C; the dated GateRun snapshot.</w:t>
            </w:r>
            <w:r/>
          </w:p>
        </w:tc>
      </w:tr>
      <w:tr>
        <w:trPr>
          <w:cantSplit/>
        </w:trPr>
        <w:tc>
          <w:tcPr>
            <w:shd w:val="clear" w:color="auto" w:fill="ffffff"/>
            <w:tcBorders/>
            <w:tcMar>
              <w:left w:w="70" w:type="dxa"/>
              <w:top w:w="55" w:type="dxa"/>
              <w:right w:w="70" w:type="dxa"/>
              <w:bottom w:w="55" w:type="dxa"/>
            </w:tcMar>
            <w:tcW w:w="3141" w:type="dxa"/>
            <w:vAlign w:val="top"/>
          </w:tcPr>
          <w:p>
            <w:pPr>
              <w:pStyle w:val="1088"/>
              <w:pBdr/>
              <w:spacing/>
              <w:ind/>
              <w:rPr/>
            </w:pPr>
            <w:r>
              <w:t xml:space="preserve">Release officer</w:t>
            </w:r>
            <w:r/>
          </w:p>
        </w:tc>
        <w:tc>
          <w:tcPr>
            <w:shd w:val="clear" w:color="auto" w:fill="ffffff"/>
            <w:tcBorders/>
            <w:tcMar>
              <w:left w:w="70" w:type="dxa"/>
              <w:top w:w="55" w:type="dxa"/>
              <w:right w:w="70" w:type="dxa"/>
              <w:bottom w:w="55" w:type="dxa"/>
            </w:tcMar>
            <w:tcW w:w="6865" w:type="dxa"/>
            <w:vAlign w:val="top"/>
          </w:tcPr>
          <w:p>
            <w:pPr>
              <w:pStyle w:val="1088"/>
              <w:pBdr/>
              <w:spacing/>
              <w:ind/>
              <w:rPr/>
            </w:pPr>
            <w:r>
              <w:t xml:space="preserve">Sections 10–13; Annex C evidence; current recorded GateRuns.</w:t>
            </w:r>
            <w:r/>
          </w:p>
        </w:tc>
      </w:tr>
      <w:tr>
        <w:trPr>
          <w:cantSplit/>
        </w:trPr>
        <w:tc>
          <w:tcPr>
            <w:shd w:val="clear" w:color="auto" w:fill="f4f6f7"/>
            <w:tcBorders/>
            <w:tcMar>
              <w:left w:w="70" w:type="dxa"/>
              <w:top w:w="55" w:type="dxa"/>
              <w:right w:w="70" w:type="dxa"/>
              <w:bottom w:w="55" w:type="dxa"/>
            </w:tcMar>
            <w:tcW w:w="3141" w:type="dxa"/>
            <w:vAlign w:val="top"/>
          </w:tcPr>
          <w:p>
            <w:pPr>
              <w:pStyle w:val="1088"/>
              <w:pBdr/>
              <w:spacing/>
              <w:ind/>
              <w:rPr/>
            </w:pPr>
            <w:r>
              <w:t xml:space="preserve">Editorial or publication user</w:t>
            </w:r>
            <w:r/>
          </w:p>
        </w:tc>
        <w:tc>
          <w:tcPr>
            <w:shd w:val="clear" w:color="auto" w:fill="f4f6f7"/>
            <w:tcBorders/>
            <w:tcMar>
              <w:left w:w="70" w:type="dxa"/>
              <w:top w:w="55" w:type="dxa"/>
              <w:right w:w="70" w:type="dxa"/>
              <w:bottom w:w="55" w:type="dxa"/>
            </w:tcMar>
            <w:tcW w:w="6865" w:type="dxa"/>
            <w:vAlign w:val="top"/>
          </w:tcPr>
          <w:p>
            <w:pPr>
              <w:pStyle w:val="1088"/>
              <w:pBdr/>
              <w:spacing/>
              <w:ind/>
              <w:rPr/>
            </w:pPr>
            <w:r>
              <w:t xml:space="preserve">Publication Architecture Specification for placement and commissioning; this specification for evidence, comparison, rights, synthesis and release limits.</w:t>
            </w:r>
            <w:r/>
          </w:p>
        </w:tc>
      </w:tr>
    </w:tbl>
    <w:p>
      <w:pPr>
        <w:pStyle w:val="1097"/>
        <w:pBdr/>
        <w:spacing/>
        <w:ind/>
        <w:rPr/>
      </w:pPr>
      <w:r/>
      <w:r/>
    </w:p>
    <w:tbl>
      <w:tblPr>
        <w:jc w:val="center"/>
        <w:tblW w:w="0" w:type="auto"/>
        <w:tblBorders>
          <w:top w:val="single" w:color="17465c" w:sz="5" w:space="0"/>
          <w:left w:val="single" w:color="17465c" w:sz="5" w:space="0"/>
          <w:bottom w:val="single" w:color="17465c" w:sz="5" w:space="0"/>
          <w:right w:val="single" w:color="17465c" w:sz="5" w:space="0"/>
          <w:insideH w:val="single" w:color="17465c" w:sz="5" w:space="0"/>
          <w:insideV w:val="single" w:color="17465c"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7465c"/>
              <w:spacing/>
              <w:ind/>
              <w:rPr/>
            </w:pPr>
            <w:r>
              <w:t xml:space="preserve">Governing: Core thesis</w:t>
            </w:r>
            <w:r/>
          </w:p>
          <w:p>
            <w:pPr>
              <w:pStyle w:val="1092"/>
              <w:pBdr/>
              <w:spacing/>
              <w:ind/>
              <w:rPr/>
            </w:pPr>
            <w:r>
              <w:t xml:space="preserve">The Atlas compares source-identifiable bounded Positions to determine how they answer, deny, reframe or leave open recur</w:t>
            </w:r>
            <w:r>
              <w:t xml:space="preserve">ring questions about reality and life; which similarities remain after translation, genealogy and category controls; and where scoped incompatibilities persist. It maps structured possibilities without treating recurrence as evidence of metaphysical truth.</w:t>
            </w:r>
            <w:r/>
          </w:p>
        </w:tc>
      </w:tr>
    </w:tbl>
    <w:p>
      <w:pPr>
        <w:pStyle w:val="1097"/>
        <w:pBdr/>
        <w:spacing/>
        <w:ind/>
        <w:rPr/>
      </w:pPr>
      <w:r/>
      <w:r/>
    </w:p>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Human-operability rule</w:t>
            </w:r>
            <w:r/>
          </w:p>
          <w:p>
            <w:pPr>
              <w:pStyle w:val="1092"/>
              <w:pBdr/>
              <w:spacing/>
              <w:ind/>
              <w:rPr/>
            </w:pPr>
            <w:r>
              <w:t xml:space="preserve">No mandatory Atlas research, review, validation, publication or re</w:t>
            </w:r>
            <w:r>
              <w:t xml:space="preserve">lease rule may require AI assistance to understand or execute. AI is an optional accelerator and cannot serve as evidence source, independent reliability coder, specialist or source-community reviewer, final translation authority or release decision-maker.</w:t>
            </w:r>
            <w:r/>
          </w:p>
        </w:tc>
      </w:tr>
    </w:tbl>
    <w:p>
      <w:pPr>
        <w:pStyle w:val="922"/>
        <w:keepNext w:val="true"/>
        <w:keepLines w:val="true"/>
        <w:pBdr/>
        <w:spacing/>
        <w:ind/>
        <w:rPr/>
      </w:pPr>
      <w:r/>
      <w:bookmarkStart w:id="10" w:name="part_i_research_method"/>
      <w:r>
        <w:t xml:space="preserve">Part I — Research method</w:t>
      </w:r>
      <w:bookmarkEnd w:id="10"/>
      <w:r/>
      <w:r/>
    </w:p>
    <w:p>
      <w:pPr>
        <w:pStyle w:val="1086"/>
        <w:keepNext w:val="true"/>
        <w:keepLines w:val="true"/>
        <w:pBdr/>
        <w:spacing/>
        <w:ind/>
        <w:rPr/>
      </w:pPr>
      <w:r/>
      <w:bookmarkStart w:id="11" w:name="Section_front_door"/>
      <w:r>
        <w:t xml:space="preserve">Governing — Section front door</w:t>
      </w:r>
      <w:bookmarkEnd w:id="11"/>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1972"/>
        <w:gridCol w:w="8034"/>
      </w:tblGrid>
      <w:tr>
        <w:trPr>
          <w:cantSplit/>
          <w:tblHeader/>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Purpose</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Establish the bounded research object, analytical questions, claim and response semantics, evidence and translation controls, comparative method, representation safeguards and coverage discipline.</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Primary users</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Research leads, coders, subject and language specialists, provenance/governance leads and comparative researchers.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Authority status</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Governing</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Decision or rule</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Positions are described emically, evidenced atomically, coded without forced answers and compared only at explicit proposition, dimension and scope.</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Required output</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Comparison-ready Position packages and valid ComparisonEvents.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Go to</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Part II for canonical validation, review, gates, synthesis, publication traceability and release.</w:t>
            </w:r>
            <w:r/>
          </w:p>
        </w:tc>
      </w:tr>
    </w:tbl>
    <w:p>
      <w:pPr>
        <w:pStyle w:val="1097"/>
        <w:pBdr/>
        <w:spacing/>
        <w:ind/>
        <w:rPr/>
      </w:pPr>
      <w:r/>
      <w:r/>
    </w:p>
    <w:p>
      <w:pPr>
        <w:pStyle w:val="923"/>
        <w:keepNext w:val="true"/>
        <w:keepLines w:val="true"/>
        <w:pBdr/>
        <w:spacing/>
        <w:ind/>
        <w:rPr/>
      </w:pPr>
      <w:r/>
      <w:bookmarkStart w:id="12" w:name="section_1_research_object"/>
      <w:r>
        <w:t xml:space="preserve">1. Research object, scope and principles</w:t>
      </w:r>
      <w:bookmarkEnd w:id="12"/>
      <w:r/>
      <w:r/>
    </w:p>
    <w:p>
      <w:pPr>
        <w:pStyle w:val="924"/>
        <w:keepNext w:val="true"/>
        <w:keepLines w:val="true"/>
        <w:pBdr/>
        <w:spacing/>
        <w:ind/>
        <w:rPr/>
      </w:pPr>
      <w:r/>
      <w:bookmarkStart w:id="13" w:name="s1_1_object_units"/>
      <w:r>
        <w:t xml:space="preserve">1.1 Research object and units</w:t>
      </w:r>
      <w:bookmarkEnd w:id="13"/>
      <w:r/>
      <w:r/>
    </w:p>
    <w:p>
      <w:pPr>
        <w:pStyle w:val="1083"/>
        <w:keepLines w:val="false"/>
        <w:pBdr/>
        <w:spacing/>
        <w:ind/>
        <w:rPr/>
      </w:pPr>
      <w:r>
        <w:t xml:space="preserve">The Atlas studies metaphysical-existential architectures: source-identifiable configurations of c</w:t>
      </w:r>
      <w:r>
        <w:t xml:space="preserve">laims, refusals, practices, concepts, arguments and orientations concerning reality, world structure, embodiment, mentality, personhood, knowledge, value, the human condition, causation, agency, transformation, death, desired conditions and world relation.</w:t>
      </w:r>
      <w:r/>
    </w:p>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Primary comparative unit</w:t>
            </w:r>
            <w:r/>
          </w:p>
          <w:p>
            <w:pPr>
              <w:pStyle w:val="1092"/>
              <w:pBdr/>
              <w:spacing/>
              <w:ind/>
              <w:rPr/>
            </w:pPr>
            <w:r>
              <w:t xml:space="preserve">A bounded Position: specific enough that its claims can be sourced and its scope stated; broad enough to form a coherent answer-set across the questions actually relevant to that Position.</w:t>
            </w:r>
            <w:r/>
          </w:p>
        </w:tc>
      </w:tr>
    </w:tbl>
    <w:p>
      <w:pPr>
        <w:pStyle w:val="1097"/>
        <w:pBdr/>
        <w:spacing/>
        <w:ind/>
        <w:rPr/>
      </w:pPr>
      <w:r/>
      <w:r/>
    </w:p>
    <w:p>
      <w:pPr>
        <w:pStyle w:val="1083"/>
        <w:keepLines w:val="false"/>
        <w:pBdr/>
        <w:spacing/>
        <w:ind/>
        <w:rPr/>
      </w:pPr>
      <w:r>
        <w:t xml:space="preserve">The atomic evidence unit is a citable Claim: the smallest substantive assertion released by the Atlas, with evidence links, locator(s), provenance, attachment, origin, confidence, interpretation status and version metadata.</w:t>
      </w:r>
      <w:r/>
    </w:p>
    <w:p>
      <w:pPr>
        <w:pStyle w:val="924"/>
        <w:keepNext w:val="true"/>
        <w:keepLines w:val="true"/>
        <w:pBdr/>
        <w:spacing/>
        <w:ind/>
        <w:rPr/>
      </w:pPr>
      <w:r/>
      <w:bookmarkStart w:id="14" w:name="s1_2_included_scope"/>
      <w:r>
        <w:t xml:space="preserve">1.2 Included scope</w:t>
      </w:r>
      <w:bookmarkEnd w:id="14"/>
      <w:r/>
      <w:r/>
    </w:p>
    <w:p>
      <w:pPr>
        <w:pStyle w:val="1084"/>
        <w:keepLines w:val="false"/>
        <w:pBdr/>
        <w:spacing/>
        <w:ind/>
        <w:rPr/>
      </w:pPr>
      <w:r>
        <w:t xml:space="preserve">• Religious, philosophical, mystical, esoteric, secular, naturalistic and sufficiently documented local or Indigenous Positions.</w:t>
      </w:r>
      <w:r/>
    </w:p>
    <w:p>
      <w:pPr>
        <w:pStyle w:val="1084"/>
        <w:keepLines w:val="false"/>
        <w:pBdr/>
        <w:spacing/>
        <w:ind/>
        <w:rPr/>
      </w:pPr>
      <w:r>
        <w:t xml:space="preserve">• Scientific findings where they bear on Atlas questions, while empirical results remain distinct from philosophical or metaphysical interpretations.</w:t>
      </w:r>
      <w:r/>
    </w:p>
    <w:p>
      <w:pPr>
        <w:pStyle w:val="1084"/>
        <w:keepLines w:val="false"/>
        <w:pBdr/>
        <w:spacing/>
        <w:ind/>
        <w:rPr/>
      </w:pPr>
      <w:r>
        <w:t xml:space="preserve">• Lived practices, ritual, social embodiment, material forms and experience reports where they materially constitute or transform a Position.</w:t>
      </w:r>
      <w:r/>
    </w:p>
    <w:p>
      <w:pPr>
        <w:pStyle w:val="1084"/>
        <w:keepLines w:val="false"/>
        <w:pBdr/>
        <w:spacing/>
        <w:ind/>
        <w:rPr/>
      </w:pPr>
      <w:r>
        <w:t xml:space="preserve">• Partial metaphysical theses, using underdetermined or non-salient states rather than inflating a narrow thesis into a complete Position.</w:t>
      </w:r>
      <w:r/>
    </w:p>
    <w:p>
      <w:pPr>
        <w:pStyle w:val="924"/>
        <w:keepNext w:val="true"/>
        <w:keepLines w:val="true"/>
        <w:pBdr/>
        <w:spacing/>
        <w:ind/>
        <w:rPr/>
      </w:pPr>
      <w:r/>
      <w:bookmarkStart w:id="15" w:name="s1_3_nongoals"/>
      <w:r>
        <w:t xml:space="preserve">1.3 Non-goals and optional modules</w:t>
      </w:r>
      <w:bookmarkEnd w:id="15"/>
      <w:r/>
      <w:r/>
    </w:p>
    <w:p>
      <w:pPr>
        <w:pStyle w:val="1084"/>
        <w:keepLines w:val="false"/>
        <w:pBdr/>
        <w:spacing/>
        <w:ind/>
        <w:rPr/>
      </w:pPr>
      <w:r>
        <w:t xml:space="preserve">• Ranking Positions or adjudicating metaphysical truth by recurrence, popularity, cultural prestige or database frequency.</w:t>
      </w:r>
      <w:r/>
    </w:p>
    <w:p>
      <w:pPr>
        <w:pStyle w:val="1084"/>
        <w:keepLines w:val="false"/>
        <w:pBdr/>
        <w:spacing/>
        <w:ind/>
        <w:rPr/>
      </w:pPr>
      <w:r>
        <w:t xml:space="preserve">• Constructing a universal theology, perennialist synthesis or single civilizational hierarchy.</w:t>
      </w:r>
      <w:r/>
    </w:p>
    <w:p>
      <w:pPr>
        <w:pStyle w:val="1084"/>
        <w:keepLines w:val="false"/>
        <w:pBdr/>
        <w:spacing/>
        <w:ind/>
        <w:rPr/>
      </w:pPr>
      <w:r>
        <w:t xml:space="preserve">• Treating institutional history, politics, law, ritual description or anthropology as exhaustive project objects rather than context or modules where analytically necessary.</w:t>
      </w:r>
      <w:r/>
    </w:p>
    <w:p>
      <w:pPr>
        <w:pStyle w:val="1084"/>
        <w:keepLines w:val="false"/>
        <w:pBdr/>
        <w:spacing/>
        <w:ind/>
        <w:rPr/>
      </w:pPr>
      <w:r>
        <w:t xml:space="preserve">• Claiming literal exhaustiveness over all worldviews or treating database size as a substitute for source-sensitive interpretation.</w:t>
      </w:r>
      <w:r/>
    </w:p>
    <w:p>
      <w:pPr>
        <w:pStyle w:val="1084"/>
        <w:keepLines w:val="false"/>
        <w:pBdr/>
        <w:spacing/>
        <w:ind/>
        <w:rPr/>
      </w:pPr>
      <w:r>
        <w:t xml:space="preserve">• Using public availability as a substitute for cultural authority, consent, rights, specialist review or exact provenance.</w:t>
      </w:r>
      <w:r/>
    </w:p>
    <w:p>
      <w:pPr>
        <w:pStyle w:val="1083"/>
        <w:keepLines w:val="false"/>
        <w:pBdr/>
        <w:spacing/>
        <w:ind/>
        <w:rPr/>
      </w:pPr>
      <w:r>
        <w:t xml:space="preserve">Optional modules are activated only when structurally salient: suffering and evil; desire and attachment; sexuality and reproduction; gender and kinship; ritual and sacrament; mystical or contemplative experience; language, s</w:t>
      </w:r>
      <w:r>
        <w:t xml:space="preserve">ymbol and ineffability; time and history; social order and political ontology; ecology and place; aesthetics; revelation and prophecy; intermediary beings; and eschatological chronology. Optional modules MUST NOT be treated as universal analytical domains.</w:t>
      </w:r>
      <w:r/>
    </w:p>
    <w:p>
      <w:pPr>
        <w:pStyle w:val="924"/>
        <w:keepNext w:val="true"/>
        <w:keepLines w:val="true"/>
        <w:pBdr/>
        <w:spacing/>
        <w:ind/>
        <w:rPr/>
      </w:pPr>
      <w:r/>
      <w:bookmarkStart w:id="16" w:name="s1_4_principles"/>
      <w:r>
        <w:t xml:space="preserve">1.4 Governing research principles</w:t>
      </w:r>
      <w:bookmarkEnd w:id="16"/>
      <w:r/>
      <w:r/>
    </w:p>
    <w:p>
      <w:pPr>
        <w:pStyle w:val="1086"/>
        <w:keepNext w:val="true"/>
        <w:keepLines w:val="true"/>
        <w:pBdr/>
        <w:spacing/>
        <w:ind/>
        <w:rPr/>
      </w:pPr>
      <w:r/>
      <w:bookmarkStart w:id="17" w:name="tbl_research_principles"/>
      <w:r>
        <w:t xml:space="preserve">Governing — Research principles</w:t>
      </w:r>
      <w:bookmarkEnd w:id="17"/>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994"/>
        <w:gridCol w:w="7012"/>
      </w:tblGrid>
      <w:tr>
        <w:trPr>
          <w:cantSplit/>
          <w:tblHeader/>
        </w:trPr>
        <w:tc>
          <w:tcPr>
            <w:shd w:val="clear" w:color="auto" w:fill="1f5d7a"/>
            <w:tcBorders/>
            <w:tcMar>
              <w:left w:w="70" w:type="dxa"/>
              <w:top w:w="55" w:type="dxa"/>
              <w:right w:w="70" w:type="dxa"/>
              <w:bottom w:w="55" w:type="dxa"/>
            </w:tcMar>
            <w:tcW w:w="2994" w:type="dxa"/>
            <w:vAlign w:val="top"/>
          </w:tcPr>
          <w:p>
            <w:pPr>
              <w:pStyle w:val="1087"/>
              <w:pBdr/>
              <w:spacing/>
              <w:ind/>
              <w:rPr/>
            </w:pPr>
            <w:r>
              <w:t xml:space="preserve">Principle</w:t>
            </w:r>
            <w:r/>
          </w:p>
        </w:tc>
        <w:tc>
          <w:tcPr>
            <w:shd w:val="clear" w:color="auto" w:fill="1f5d7a"/>
            <w:tcBorders/>
            <w:tcMar>
              <w:left w:w="70" w:type="dxa"/>
              <w:top w:w="55" w:type="dxa"/>
              <w:right w:w="70" w:type="dxa"/>
              <w:bottom w:w="55" w:type="dxa"/>
            </w:tcMar>
            <w:tcW w:w="7012" w:type="dxa"/>
            <w:vAlign w:val="top"/>
          </w:tcPr>
          <w:p>
            <w:pPr>
              <w:pStyle w:val="1087"/>
              <w:pBdr/>
              <w:spacing/>
              <w:ind/>
              <w:rPr/>
            </w:pPr>
            <w:r>
              <w:t xml:space="preserve">Operational rule</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P1. Position-first</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Traditions, schools, communities, texts, thinkers and periods are contextual entities around bounded Positions; they are not assumed to possess one doctrine.</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P2. Emic-before-etic</w:t>
            </w:r>
            <w:r/>
          </w:p>
        </w:tc>
        <w:tc>
          <w:tcPr>
            <w:shd w:val="clear" w:color="auto" w:fill="f4f6f7"/>
            <w:tcBorders/>
            <w:tcMar>
              <w:left w:w="70" w:type="dxa"/>
              <w:top w:w="55" w:type="dxa"/>
              <w:right w:w="70" w:type="dxa"/>
              <w:bottom w:w="55" w:type="dxa"/>
            </w:tcMar>
            <w:tcW w:w="7012" w:type="dxa"/>
            <w:vAlign w:val="top"/>
          </w:tcPr>
          <w:p>
            <w:pPr>
              <w:pStyle w:val="1088"/>
              <w:pBdr/>
              <w:spacing/>
              <w:ind/>
              <w:rPr/>
            </w:pPr>
            <w:r>
              <w:t xml:space="preserve">Describe the source's own problem-space and vocabulary before applying Atlas categories.</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P3. Revisable meta-language</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Atlas domains are analytical tools, not claims that all cultures partition reality identically.</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P4. Multi-resolution representation</w:t>
            </w:r>
            <w:r/>
          </w:p>
        </w:tc>
        <w:tc>
          <w:tcPr>
            <w:shd w:val="clear" w:color="auto" w:fill="f4f6f7"/>
            <w:tcBorders/>
            <w:tcMar>
              <w:left w:w="70" w:type="dxa"/>
              <w:top w:w="55" w:type="dxa"/>
              <w:right w:w="70" w:type="dxa"/>
              <w:bottom w:w="55" w:type="dxa"/>
            </w:tcMar>
            <w:tcW w:w="7012" w:type="dxa"/>
            <w:vAlign w:val="top"/>
          </w:tcPr>
          <w:p>
            <w:pPr>
              <w:pStyle w:val="1088"/>
              <w:pBdr/>
              <w:spacing/>
              <w:ind/>
              <w:rPr/>
            </w:pPr>
            <w:r>
              <w:t xml:space="preserve">Move from broad context to concepts, Positions, claims, evidence and locators without treating these levels as equivalent.</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P5. Internal plurality is data</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Historical change, disagreement, region, authority level, lived/normative divergence and genre differences are represented rather than averaged away.</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P6. Negative and open representation</w:t>
            </w:r>
            <w:r/>
          </w:p>
        </w:tc>
        <w:tc>
          <w:tcPr>
            <w:shd w:val="clear" w:color="auto" w:fill="f4f6f7"/>
            <w:tcBorders/>
            <w:tcMar>
              <w:left w:w="70" w:type="dxa"/>
              <w:top w:w="55" w:type="dxa"/>
              <w:right w:w="70" w:type="dxa"/>
              <w:bottom w:w="55" w:type="dxa"/>
            </w:tcMar>
            <w:tcW w:w="7012" w:type="dxa"/>
            <w:vAlign w:val="top"/>
          </w:tcPr>
          <w:p>
            <w:pPr>
              <w:pStyle w:val="1088"/>
              <w:pBdr/>
              <w:spacing/>
              <w:ind/>
              <w:rPr/>
            </w:pPr>
            <w:r>
              <w:t xml:space="preserve">Denial, reframing, non-salience, variation, underdetermination, indeterminacy, source insufficiency and category warning are valid outcomes.</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P7. Typed comparison</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Lexical, semantic, functional, structural, phenomenological, epistemic, genealogical, ontological, incompatibility and category-mismatch relations are distinct claims and may stack only under explicit coherence rules.</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P8. Source-fit evidence</w:t>
            </w:r>
            <w:r/>
          </w:p>
        </w:tc>
        <w:tc>
          <w:tcPr>
            <w:shd w:val="clear" w:color="auto" w:fill="f4f6f7"/>
            <w:tcBorders/>
            <w:tcMar>
              <w:left w:w="70" w:type="dxa"/>
              <w:top w:w="55" w:type="dxa"/>
              <w:right w:w="70" w:type="dxa"/>
              <w:bottom w:w="55" w:type="dxa"/>
            </w:tcMar>
            <w:tcW w:w="7012" w:type="dxa"/>
            <w:vAlign w:val="top"/>
          </w:tcPr>
          <w:p>
            <w:pPr>
              <w:pStyle w:val="1088"/>
              <w:pBdr/>
              <w:spacing/>
              <w:ind/>
              <w:rPr/>
            </w:pPr>
            <w:r>
              <w:t xml:space="preserve">Evidence quality is evaluated relative to claim type; there is no universal source ladder for text, ethnography, history, philosophy, oral performance and science.</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P9. Claim-level traceability</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Every released substantive attribution resolves to human-verifiable evidence or is explicitly an Atlas inference with a documented derivation chain.</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P10. Cross-level normalization</w:t>
            </w:r>
            <w:r/>
          </w:p>
        </w:tc>
        <w:tc>
          <w:tcPr>
            <w:shd w:val="clear" w:color="auto" w:fill="f4f6f7"/>
            <w:tcBorders/>
            <w:tcMar>
              <w:left w:w="70" w:type="dxa"/>
              <w:top w:w="55" w:type="dxa"/>
              <w:right w:w="70" w:type="dxa"/>
              <w:bottom w:w="55" w:type="dxa"/>
            </w:tcMar>
            <w:tcW w:w="7012" w:type="dxa"/>
            <w:vAlign w:val="top"/>
          </w:tcPr>
          <w:p>
            <w:pPr>
              <w:pStyle w:val="1088"/>
              <w:pBdr/>
              <w:spacing/>
              <w:ind/>
              <w:rPr/>
            </w:pPr>
            <w:r>
              <w:t xml:space="preserve">Unlike comparands are compared only after bounding them as Positions at an explicitly normalized analytical scale.</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P11. Community authority where applicable</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Public availability does not erase cultural authority, consent, access restrictions or community governance.</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P12. Synthesis is earned</w:t>
            </w:r>
            <w:r/>
          </w:p>
        </w:tc>
        <w:tc>
          <w:tcPr>
            <w:shd w:val="clear" w:color="auto" w:fill="f4f6f7"/>
            <w:tcBorders/>
            <w:tcMar>
              <w:left w:w="70" w:type="dxa"/>
              <w:top w:w="55" w:type="dxa"/>
              <w:right w:w="70" w:type="dxa"/>
              <w:bottom w:w="55" w:type="dxa"/>
            </w:tcMar>
            <w:tcW w:w="7012" w:type="dxa"/>
            <w:vAlign w:val="top"/>
          </w:tcPr>
          <w:p>
            <w:pPr>
              <w:pStyle w:val="1088"/>
              <w:pBdr/>
              <w:spacing/>
              <w:ind/>
              <w:rPr/>
            </w:pPr>
            <w:r>
              <w:t xml:space="preserve">Pattern claims require selection basis, counterexamples, coverage, genealogy/independence analysis, sensitivity testing and level-appropriate review.</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P13. Canonical evidence, downstream views</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Profiles, matrices, fault-line essays and publication chapters are generated from or traceable to one Canonical Evidence Store.</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P14. Failure is diagnostic</w:t>
            </w:r>
            <w:r/>
          </w:p>
        </w:tc>
        <w:tc>
          <w:tcPr>
            <w:shd w:val="clear" w:color="auto" w:fill="f4f6f7"/>
            <w:tcBorders/>
            <w:tcMar>
              <w:left w:w="70" w:type="dxa"/>
              <w:top w:w="55" w:type="dxa"/>
              <w:right w:w="70" w:type="dxa"/>
              <w:bottom w:w="55" w:type="dxa"/>
            </w:tcMar>
            <w:tcW w:w="7012" w:type="dxa"/>
            <w:vAlign w:val="top"/>
          </w:tcPr>
          <w:p>
            <w:pPr>
              <w:pStyle w:val="1088"/>
              <w:pBdr/>
              <w:spacing/>
              <w:ind/>
              <w:rPr/>
            </w:pPr>
            <w:r>
              <w:t xml:space="preserve">Repeated category failure triggers controlled schema review; researchers do not force difficult cases into categories to preserve the taxonomy.</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P15. Independent status axes</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No compact display label may collapse or waive an unmet verdict, evidence, readiness, role, dependency, level or maturity condition.</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P16. Publication arguments are traceable</w:t>
            </w:r>
            <w:r/>
          </w:p>
        </w:tc>
        <w:tc>
          <w:tcPr>
            <w:shd w:val="clear" w:color="auto" w:fill="f4f6f7"/>
            <w:tcBorders/>
            <w:tcMar>
              <w:left w:w="70" w:type="dxa"/>
              <w:top w:w="55" w:type="dxa"/>
              <w:right w:w="70" w:type="dxa"/>
              <w:bottom w:w="55" w:type="dxa"/>
            </w:tcMar>
            <w:tcW w:w="7012" w:type="dxa"/>
            <w:vAlign w:val="top"/>
          </w:tcPr>
          <w:p>
            <w:pPr>
              <w:pStyle w:val="1088"/>
              <w:pBdr/>
              <w:spacing/>
              <w:ind/>
              <w:rPr/>
            </w:pPr>
            <w:r>
              <w:t xml:space="preserve">Thesis-bearing publication claims record canonical premises, inference rationale, scope, defeaters, review state and prohibited stronger reading.</w:t>
            </w:r>
            <w:r/>
          </w:p>
        </w:tc>
      </w:tr>
    </w:tbl>
    <w:p>
      <w:pPr>
        <w:pStyle w:val="1097"/>
        <w:pBdr/>
        <w:spacing/>
        <w:ind/>
        <w:rPr/>
      </w:pPr>
      <w:r/>
      <w:r/>
    </w:p>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Core discipline</w:t>
            </w:r>
            <w:r/>
          </w:p>
          <w:p>
            <w:pPr>
              <w:pStyle w:val="1092"/>
              <w:pBdr/>
              <w:spacing/>
              <w:ind/>
              <w:rPr/>
            </w:pPr>
            <w:r>
              <w:t xml:space="preserve">Accurate non-answers, legitimate internal variation and expl</w:t>
            </w:r>
            <w:r>
              <w:t xml:space="preserve">icit category warnings are valid research outcomes. Completeness means faithfully representing what a bounded Position answers, denies, reframes, varies, leaves open or cannot presently support. It does not require an ANS response in every analytical cell.</w:t>
            </w:r>
            <w:r/>
          </w:p>
        </w:tc>
      </w:tr>
    </w:tbl>
    <w:p>
      <w:pPr>
        <w:pStyle w:val="1097"/>
        <w:pBdr/>
        <w:spacing/>
        <w:ind/>
        <w:rPr/>
      </w:pPr>
      <w:r/>
      <w:r/>
    </w:p>
    <w:p>
      <w:pPr>
        <w:pStyle w:val="923"/>
        <w:keepNext w:val="true"/>
        <w:keepLines w:val="true"/>
        <w:pBdr/>
        <w:spacing/>
        <w:ind/>
        <w:rPr/>
      </w:pPr>
      <w:r/>
      <w:bookmarkStart w:id="18" w:name="section_2_research_model"/>
      <w:r>
        <w:t xml:space="preserve">2. Research model and objects</w:t>
      </w:r>
      <w:bookmarkEnd w:id="18"/>
      <w:r/>
      <w:r/>
    </w:p>
    <w:p>
      <w:pPr>
        <w:pStyle w:val="1083"/>
        <w:keepLines w:val="false"/>
        <w:pBdr/>
        <w:spacing/>
        <w:ind/>
        <w:rPr/>
      </w:pPr>
      <w:r>
        <w:t xml:space="preserve">The core production s</w:t>
      </w:r>
      <w:r>
        <w:t xml:space="preserve">equence is Position -&gt; Concept -&gt; Claim/Evidence -&gt; QuestionResponse -&gt; Comparison -&gt; Synthesis -&gt; PublicationClaim -&gt; Review/Gate/Release. Supporting context, source-instance, practice, experience, readiness and provenance objects do not alter that chain.</w:t>
      </w:r>
      <w:r/>
    </w:p>
    <w:p>
      <w:pPr>
        <w:pStyle w:val="1086"/>
        <w:keepNext w:val="true"/>
        <w:keepLines w:val="true"/>
        <w:pBdr/>
        <w:spacing/>
        <w:ind/>
        <w:rPr/>
      </w:pPr>
      <w:r/>
      <w:bookmarkStart w:id="19" w:name="tbl_core_chain"/>
      <w:r>
        <w:t xml:space="preserve">Governing — Core operating chain</w:t>
      </w:r>
      <w:bookmarkEnd w:id="19"/>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730"/>
        <w:gridCol w:w="2994"/>
        <w:gridCol w:w="6281"/>
      </w:tblGrid>
      <w:tr>
        <w:trPr>
          <w:cantSplit/>
          <w:tblHeader/>
        </w:trPr>
        <w:tc>
          <w:tcPr>
            <w:shd w:val="clear" w:color="auto" w:fill="1f5d7a"/>
            <w:tcBorders/>
            <w:tcMar>
              <w:left w:w="70" w:type="dxa"/>
              <w:top w:w="55" w:type="dxa"/>
              <w:right w:w="70" w:type="dxa"/>
              <w:bottom w:w="55" w:type="dxa"/>
            </w:tcMar>
            <w:tcW w:w="730" w:type="dxa"/>
            <w:vAlign w:val="top"/>
          </w:tcPr>
          <w:p>
            <w:pPr>
              <w:pStyle w:val="1087"/>
              <w:pBdr/>
              <w:spacing/>
              <w:ind/>
              <w:rPr/>
            </w:pPr>
            <w:r>
              <w:t xml:space="preserve">Step</w:t>
            </w:r>
            <w:r/>
          </w:p>
        </w:tc>
        <w:tc>
          <w:tcPr>
            <w:shd w:val="clear" w:color="auto" w:fill="1f5d7a"/>
            <w:tcBorders/>
            <w:tcMar>
              <w:left w:w="70" w:type="dxa"/>
              <w:top w:w="55" w:type="dxa"/>
              <w:right w:w="70" w:type="dxa"/>
              <w:bottom w:w="55" w:type="dxa"/>
            </w:tcMar>
            <w:tcW w:w="2994" w:type="dxa"/>
            <w:vAlign w:val="top"/>
          </w:tcPr>
          <w:p>
            <w:pPr>
              <w:pStyle w:val="1087"/>
              <w:pBdr/>
              <w:spacing/>
              <w:ind/>
              <w:rPr/>
            </w:pPr>
            <w:r>
              <w:t xml:space="preserve">Core object</w:t>
            </w:r>
            <w:r/>
          </w:p>
        </w:tc>
        <w:tc>
          <w:tcPr>
            <w:shd w:val="clear" w:color="auto" w:fill="1f5d7a"/>
            <w:tcBorders/>
            <w:tcMar>
              <w:left w:w="70" w:type="dxa"/>
              <w:top w:w="55" w:type="dxa"/>
              <w:right w:w="70" w:type="dxa"/>
              <w:bottom w:w="55" w:type="dxa"/>
            </w:tcMar>
            <w:tcW w:w="6281" w:type="dxa"/>
            <w:vAlign w:val="top"/>
          </w:tcPr>
          <w:p>
            <w:pPr>
              <w:pStyle w:val="1087"/>
              <w:pBdr/>
              <w:spacing/>
              <w:ind/>
              <w:rPr/>
            </w:pPr>
            <w:r>
              <w:t xml:space="preserve">Operational meaning</w:t>
            </w:r>
            <w:r/>
          </w:p>
        </w:tc>
      </w:tr>
      <w:tr>
        <w:trPr>
          <w:cantSplit/>
        </w:trPr>
        <w:tc>
          <w:tcPr>
            <w:shd w:val="clear" w:color="auto" w:fill="ffffff"/>
            <w:tcBorders/>
            <w:tcMar>
              <w:left w:w="70" w:type="dxa"/>
              <w:top w:w="55" w:type="dxa"/>
              <w:right w:w="70" w:type="dxa"/>
              <w:bottom w:w="55" w:type="dxa"/>
            </w:tcMar>
            <w:tcW w:w="730" w:type="dxa"/>
            <w:vAlign w:val="top"/>
          </w:tcPr>
          <w:p>
            <w:pPr>
              <w:pStyle w:val="1088"/>
              <w:pBdr/>
              <w:spacing/>
              <w:ind/>
              <w:rPr/>
            </w:pPr>
            <w:r>
              <w:t xml:space="preserve">1</w:t>
            </w:r>
            <w:r/>
          </w:p>
        </w:tc>
        <w:tc>
          <w:tcPr>
            <w:shd w:val="clear" w:color="auto" w:fill="ffffff"/>
            <w:tcBorders/>
            <w:tcMar>
              <w:left w:w="70" w:type="dxa"/>
              <w:top w:w="55" w:type="dxa"/>
              <w:right w:w="70" w:type="dxa"/>
              <w:bottom w:w="55" w:type="dxa"/>
            </w:tcMar>
            <w:tcW w:w="2994" w:type="dxa"/>
            <w:vAlign w:val="top"/>
          </w:tcPr>
          <w:p>
            <w:pPr>
              <w:pStyle w:val="1088"/>
              <w:pBdr/>
              <w:spacing/>
              <w:ind/>
              <w:rPr/>
            </w:pPr>
            <w:r>
              <w:t xml:space="preserve">Position</w:t>
            </w:r>
            <w:r/>
          </w:p>
        </w:tc>
        <w:tc>
          <w:tcPr>
            <w:shd w:val="clear" w:color="auto" w:fill="ffffff"/>
            <w:tcBorders/>
            <w:tcMar>
              <w:left w:w="70" w:type="dxa"/>
              <w:top w:w="55" w:type="dxa"/>
              <w:right w:w="70" w:type="dxa"/>
              <w:bottom w:w="55" w:type="dxa"/>
            </w:tcMar>
            <w:tcW w:w="6281" w:type="dxa"/>
            <w:vAlign w:val="top"/>
          </w:tcPr>
          <w:p>
            <w:pPr>
              <w:pStyle w:val="1088"/>
              <w:pBdr/>
              <w:spacing/>
              <w:ind/>
              <w:rPr/>
            </w:pPr>
            <w:r>
              <w:t xml:space="preserve">Define exactly what is being studied and at what historical, textual, community or thesis scope.</w:t>
            </w:r>
            <w:r/>
          </w:p>
        </w:tc>
      </w:tr>
      <w:tr>
        <w:trPr>
          <w:cantSplit/>
        </w:trPr>
        <w:tc>
          <w:tcPr>
            <w:shd w:val="clear" w:color="auto" w:fill="f4f6f7"/>
            <w:tcBorders/>
            <w:tcMar>
              <w:left w:w="70" w:type="dxa"/>
              <w:top w:w="55" w:type="dxa"/>
              <w:right w:w="70" w:type="dxa"/>
              <w:bottom w:w="55" w:type="dxa"/>
            </w:tcMar>
            <w:tcW w:w="730" w:type="dxa"/>
            <w:vAlign w:val="top"/>
          </w:tcPr>
          <w:p>
            <w:pPr>
              <w:pStyle w:val="1088"/>
              <w:pBdr/>
              <w:spacing/>
              <w:ind/>
              <w:rPr/>
            </w:pPr>
            <w:r>
              <w:t xml:space="preserve">2</w:t>
            </w:r>
            <w:r/>
          </w:p>
        </w:tc>
        <w:tc>
          <w:tcPr>
            <w:shd w:val="clear" w:color="auto" w:fill="f4f6f7"/>
            <w:tcBorders/>
            <w:tcMar>
              <w:left w:w="70" w:type="dxa"/>
              <w:top w:w="55" w:type="dxa"/>
              <w:right w:w="70" w:type="dxa"/>
              <w:bottom w:w="55" w:type="dxa"/>
            </w:tcMar>
            <w:tcW w:w="2994" w:type="dxa"/>
            <w:vAlign w:val="top"/>
          </w:tcPr>
          <w:p>
            <w:pPr>
              <w:pStyle w:val="1088"/>
              <w:pBdr/>
              <w:spacing/>
              <w:ind/>
              <w:rPr/>
            </w:pPr>
            <w:r>
              <w:t xml:space="preserve">Concept</w:t>
            </w:r>
            <w:r/>
          </w:p>
        </w:tc>
        <w:tc>
          <w:tcPr>
            <w:shd w:val="clear" w:color="auto" w:fill="f4f6f7"/>
            <w:tcBorders/>
            <w:tcMar>
              <w:left w:w="70" w:type="dxa"/>
              <w:top w:w="55" w:type="dxa"/>
              <w:right w:w="70" w:type="dxa"/>
              <w:bottom w:w="55" w:type="dxa"/>
            </w:tcMar>
            <w:tcW w:w="6281" w:type="dxa"/>
            <w:vAlign w:val="top"/>
          </w:tcPr>
          <w:p>
            <w:pPr>
              <w:pStyle w:val="1088"/>
              <w:pBdr/>
              <w:spacing/>
              <w:ind/>
              <w:rPr/>
            </w:pPr>
            <w:r>
              <w:t xml:space="preserve">Establish source terminology and translation/semantic constraints before normalization.</w:t>
            </w:r>
            <w:r/>
          </w:p>
        </w:tc>
      </w:tr>
      <w:tr>
        <w:trPr>
          <w:cantSplit/>
        </w:trPr>
        <w:tc>
          <w:tcPr>
            <w:shd w:val="clear" w:color="auto" w:fill="ffffff"/>
            <w:tcBorders/>
            <w:tcMar>
              <w:left w:w="70" w:type="dxa"/>
              <w:top w:w="55" w:type="dxa"/>
              <w:right w:w="70" w:type="dxa"/>
              <w:bottom w:w="55" w:type="dxa"/>
            </w:tcMar>
            <w:tcW w:w="730" w:type="dxa"/>
            <w:vAlign w:val="top"/>
          </w:tcPr>
          <w:p>
            <w:pPr>
              <w:pStyle w:val="1088"/>
              <w:pBdr/>
              <w:spacing/>
              <w:ind/>
              <w:rPr/>
            </w:pPr>
            <w:r>
              <w:t xml:space="preserve">3</w:t>
            </w:r>
            <w:r/>
          </w:p>
        </w:tc>
        <w:tc>
          <w:tcPr>
            <w:shd w:val="clear" w:color="auto" w:fill="ffffff"/>
            <w:tcBorders/>
            <w:tcMar>
              <w:left w:w="70" w:type="dxa"/>
              <w:top w:w="55" w:type="dxa"/>
              <w:right w:w="70" w:type="dxa"/>
              <w:bottom w:w="55" w:type="dxa"/>
            </w:tcMar>
            <w:tcW w:w="2994" w:type="dxa"/>
            <w:vAlign w:val="top"/>
          </w:tcPr>
          <w:p>
            <w:pPr>
              <w:pStyle w:val="1088"/>
              <w:pBdr/>
              <w:spacing/>
              <w:ind/>
              <w:rPr/>
            </w:pPr>
            <w:r>
              <w:t xml:space="preserve">Claim + EvidenceLink</w:t>
            </w:r>
            <w:r/>
          </w:p>
        </w:tc>
        <w:tc>
          <w:tcPr>
            <w:shd w:val="clear" w:color="auto" w:fill="ffffff"/>
            <w:tcBorders/>
            <w:tcMar>
              <w:left w:w="70" w:type="dxa"/>
              <w:top w:w="55" w:type="dxa"/>
              <w:right w:w="70" w:type="dxa"/>
              <w:bottom w:w="55" w:type="dxa"/>
            </w:tcMar>
            <w:tcW w:w="6281" w:type="dxa"/>
            <w:vAlign w:val="top"/>
          </w:tcPr>
          <w:p>
            <w:pPr>
              <w:pStyle w:val="1088"/>
              <w:pBdr/>
              <w:spacing/>
              <w:ind/>
              <w:rPr/>
            </w:pPr>
            <w:r>
              <w:t xml:space="preserve">Extract evidence-bearing assertions atomically and attach human-verifiable support or explicit derivation.</w:t>
            </w:r>
            <w:r/>
          </w:p>
        </w:tc>
      </w:tr>
      <w:tr>
        <w:trPr>
          <w:cantSplit/>
        </w:trPr>
        <w:tc>
          <w:tcPr>
            <w:shd w:val="clear" w:color="auto" w:fill="f4f6f7"/>
            <w:tcBorders/>
            <w:tcMar>
              <w:left w:w="70" w:type="dxa"/>
              <w:top w:w="55" w:type="dxa"/>
              <w:right w:w="70" w:type="dxa"/>
              <w:bottom w:w="55" w:type="dxa"/>
            </w:tcMar>
            <w:tcW w:w="730" w:type="dxa"/>
            <w:vAlign w:val="top"/>
          </w:tcPr>
          <w:p>
            <w:pPr>
              <w:pStyle w:val="1088"/>
              <w:pBdr/>
              <w:spacing/>
              <w:ind/>
              <w:rPr/>
            </w:pPr>
            <w:r>
              <w:t xml:space="preserve">4</w:t>
            </w:r>
            <w:r/>
          </w:p>
        </w:tc>
        <w:tc>
          <w:tcPr>
            <w:shd w:val="clear" w:color="auto" w:fill="f4f6f7"/>
            <w:tcBorders/>
            <w:tcMar>
              <w:left w:w="70" w:type="dxa"/>
              <w:top w:w="55" w:type="dxa"/>
              <w:right w:w="70" w:type="dxa"/>
              <w:bottom w:w="55" w:type="dxa"/>
            </w:tcMar>
            <w:tcW w:w="2994" w:type="dxa"/>
            <w:vAlign w:val="top"/>
          </w:tcPr>
          <w:p>
            <w:pPr>
              <w:pStyle w:val="1088"/>
              <w:pBdr/>
              <w:spacing/>
              <w:ind/>
              <w:rPr/>
            </w:pPr>
            <w:r>
              <w:t xml:space="preserve">QuestionResponse</w:t>
            </w:r>
            <w:r/>
          </w:p>
        </w:tc>
        <w:tc>
          <w:tcPr>
            <w:shd w:val="clear" w:color="auto" w:fill="f4f6f7"/>
            <w:tcBorders/>
            <w:tcMar>
              <w:left w:w="70" w:type="dxa"/>
              <w:top w:w="55" w:type="dxa"/>
              <w:right w:w="70" w:type="dxa"/>
              <w:bottom w:w="55" w:type="dxa"/>
            </w:tcMar>
            <w:tcW w:w="6281" w:type="dxa"/>
            <w:vAlign w:val="top"/>
          </w:tcPr>
          <w:p>
            <w:pPr>
              <w:pStyle w:val="1088"/>
              <w:pBdr/>
              <w:spacing/>
              <w:ind/>
              <w:rPr/>
            </w:pPr>
            <w:r>
              <w:t xml:space="preserve">Determine how the bounded Position answers, denies, reframes, varies, leaves open, or cannot presently support an Atlas question.</w:t>
            </w:r>
            <w:r/>
          </w:p>
        </w:tc>
      </w:tr>
      <w:tr>
        <w:trPr>
          <w:cantSplit/>
        </w:trPr>
        <w:tc>
          <w:tcPr>
            <w:shd w:val="clear" w:color="auto" w:fill="ffffff"/>
            <w:tcBorders/>
            <w:tcMar>
              <w:left w:w="70" w:type="dxa"/>
              <w:top w:w="55" w:type="dxa"/>
              <w:right w:w="70" w:type="dxa"/>
              <w:bottom w:w="55" w:type="dxa"/>
            </w:tcMar>
            <w:tcW w:w="730" w:type="dxa"/>
            <w:vAlign w:val="top"/>
          </w:tcPr>
          <w:p>
            <w:pPr>
              <w:pStyle w:val="1088"/>
              <w:pBdr/>
              <w:spacing/>
              <w:ind/>
              <w:rPr/>
            </w:pPr>
            <w:r>
              <w:t xml:space="preserve">5</w:t>
            </w:r>
            <w:r/>
          </w:p>
        </w:tc>
        <w:tc>
          <w:tcPr>
            <w:shd w:val="clear" w:color="auto" w:fill="ffffff"/>
            <w:tcBorders/>
            <w:tcMar>
              <w:left w:w="70" w:type="dxa"/>
              <w:top w:w="55" w:type="dxa"/>
              <w:right w:w="70" w:type="dxa"/>
              <w:bottom w:w="55" w:type="dxa"/>
            </w:tcMar>
            <w:tcW w:w="2994" w:type="dxa"/>
            <w:vAlign w:val="top"/>
          </w:tcPr>
          <w:p>
            <w:pPr>
              <w:pStyle w:val="1088"/>
              <w:pBdr/>
              <w:spacing/>
              <w:ind/>
              <w:rPr/>
            </w:pPr>
            <w:r>
              <w:t xml:space="preserve">ComparisonEvent + ComparativeRelation</w:t>
            </w:r>
            <w:r/>
          </w:p>
        </w:tc>
        <w:tc>
          <w:tcPr>
            <w:shd w:val="clear" w:color="auto" w:fill="ffffff"/>
            <w:tcBorders/>
            <w:tcMar>
              <w:left w:w="70" w:type="dxa"/>
              <w:top w:w="55" w:type="dxa"/>
              <w:right w:w="70" w:type="dxa"/>
              <w:bottom w:w="55" w:type="dxa"/>
            </w:tcMar>
            <w:tcW w:w="6281" w:type="dxa"/>
            <w:vAlign w:val="top"/>
          </w:tcPr>
          <w:p>
            <w:pPr>
              <w:pStyle w:val="1088"/>
              <w:pBdr/>
              <w:spacing/>
              <w:ind/>
              <w:rPr/>
            </w:pPr>
            <w:r>
              <w:t xml:space="preserve">Compare exact claim pairs under an explicit tertium, relation dimension, temporal/Position scope, disanalogy and genealogy status.</w:t>
            </w:r>
            <w:r/>
          </w:p>
        </w:tc>
      </w:tr>
      <w:tr>
        <w:trPr>
          <w:cantSplit/>
        </w:trPr>
        <w:tc>
          <w:tcPr>
            <w:shd w:val="clear" w:color="auto" w:fill="f4f6f7"/>
            <w:tcBorders/>
            <w:tcMar>
              <w:left w:w="70" w:type="dxa"/>
              <w:top w:w="55" w:type="dxa"/>
              <w:right w:w="70" w:type="dxa"/>
              <w:bottom w:w="55" w:type="dxa"/>
            </w:tcMar>
            <w:tcW w:w="730" w:type="dxa"/>
            <w:vAlign w:val="top"/>
          </w:tcPr>
          <w:p>
            <w:pPr>
              <w:pStyle w:val="1088"/>
              <w:pBdr/>
              <w:spacing/>
              <w:ind/>
              <w:rPr/>
            </w:pPr>
            <w:r>
              <w:t xml:space="preserve">6</w:t>
            </w:r>
            <w:r/>
          </w:p>
        </w:tc>
        <w:tc>
          <w:tcPr>
            <w:shd w:val="clear" w:color="auto" w:fill="f4f6f7"/>
            <w:tcBorders/>
            <w:tcMar>
              <w:left w:w="70" w:type="dxa"/>
              <w:top w:w="55" w:type="dxa"/>
              <w:right w:w="70" w:type="dxa"/>
              <w:bottom w:w="55" w:type="dxa"/>
            </w:tcMar>
            <w:tcW w:w="2994" w:type="dxa"/>
            <w:vAlign w:val="top"/>
          </w:tcPr>
          <w:p>
            <w:pPr>
              <w:pStyle w:val="1088"/>
              <w:pBdr/>
              <w:spacing/>
              <w:ind/>
              <w:rPr/>
            </w:pPr>
            <w:r>
              <w:t xml:space="preserve">SynthesisRecord</w:t>
            </w:r>
            <w:r/>
          </w:p>
        </w:tc>
        <w:tc>
          <w:tcPr>
            <w:shd w:val="clear" w:color="auto" w:fill="f4f6f7"/>
            <w:tcBorders/>
            <w:tcMar>
              <w:left w:w="70" w:type="dxa"/>
              <w:top w:w="55" w:type="dxa"/>
              <w:right w:w="70" w:type="dxa"/>
              <w:bottom w:w="55" w:type="dxa"/>
            </w:tcMar>
            <w:tcW w:w="6281" w:type="dxa"/>
            <w:vAlign w:val="top"/>
          </w:tcPr>
          <w:p>
            <w:pPr>
              <w:pStyle w:val="1088"/>
              <w:pBdr/>
              <w:spacing/>
              <w:ind/>
              <w:rPr/>
            </w:pPr>
            <w:r>
              <w:t xml:space="preserve">Generalize only at a permitted synthesis level and maturity state. Keep level and maturity separate, and meet the applicable requirements for selection, coverage, negative cases and sensitivity testing.</w:t>
            </w:r>
            <w:r/>
          </w:p>
        </w:tc>
      </w:tr>
      <w:tr>
        <w:trPr>
          <w:cantSplit/>
        </w:trPr>
        <w:tc>
          <w:tcPr>
            <w:shd w:val="clear" w:color="auto" w:fill="ffffff"/>
            <w:tcBorders/>
            <w:tcMar>
              <w:left w:w="70" w:type="dxa"/>
              <w:top w:w="55" w:type="dxa"/>
              <w:right w:w="70" w:type="dxa"/>
              <w:bottom w:w="55" w:type="dxa"/>
            </w:tcMar>
            <w:tcW w:w="730" w:type="dxa"/>
            <w:vAlign w:val="top"/>
          </w:tcPr>
          <w:p>
            <w:pPr>
              <w:pStyle w:val="1088"/>
              <w:pBdr/>
              <w:spacing/>
              <w:ind/>
              <w:rPr/>
            </w:pPr>
            <w:r>
              <w:t xml:space="preserve">7</w:t>
            </w:r>
            <w:r/>
          </w:p>
        </w:tc>
        <w:tc>
          <w:tcPr>
            <w:shd w:val="clear" w:color="auto" w:fill="ffffff"/>
            <w:tcBorders/>
            <w:tcMar>
              <w:left w:w="70" w:type="dxa"/>
              <w:top w:w="55" w:type="dxa"/>
              <w:right w:w="70" w:type="dxa"/>
              <w:bottom w:w="55" w:type="dxa"/>
            </w:tcMar>
            <w:tcW w:w="2994" w:type="dxa"/>
            <w:vAlign w:val="top"/>
          </w:tcPr>
          <w:p>
            <w:pPr>
              <w:pStyle w:val="1088"/>
              <w:pBdr/>
              <w:spacing/>
              <w:ind/>
              <w:rPr/>
            </w:pPr>
            <w:r>
              <w:t xml:space="preserve">PublicationClaimRecord</w:t>
            </w:r>
            <w:r/>
          </w:p>
        </w:tc>
        <w:tc>
          <w:tcPr>
            <w:shd w:val="clear" w:color="auto" w:fill="ffffff"/>
            <w:tcBorders/>
            <w:tcMar>
              <w:left w:w="70" w:type="dxa"/>
              <w:top w:w="55" w:type="dxa"/>
              <w:right w:w="70" w:type="dxa"/>
              <w:bottom w:w="55" w:type="dxa"/>
            </w:tcMar>
            <w:tcW w:w="6281" w:type="dxa"/>
            <w:vAlign w:val="top"/>
          </w:tcPr>
          <w:p>
            <w:pPr>
              <w:pStyle w:val="1088"/>
              <w:pBdr/>
              <w:spacing/>
              <w:ind/>
              <w:rPr/>
            </w:pPr>
            <w:r>
              <w:t xml:space="preserve">Trace each thesis-bearing publication claim to canonical premises, rationale, scope, defeaters and prohibited stronger reading.</w:t>
            </w:r>
            <w:r/>
          </w:p>
        </w:tc>
      </w:tr>
      <w:tr>
        <w:trPr>
          <w:cantSplit/>
        </w:trPr>
        <w:tc>
          <w:tcPr>
            <w:shd w:val="clear" w:color="auto" w:fill="f4f6f7"/>
            <w:tcBorders/>
            <w:tcMar>
              <w:left w:w="70" w:type="dxa"/>
              <w:top w:w="55" w:type="dxa"/>
              <w:right w:w="70" w:type="dxa"/>
              <w:bottom w:w="55" w:type="dxa"/>
            </w:tcMar>
            <w:tcW w:w="730" w:type="dxa"/>
            <w:vAlign w:val="top"/>
          </w:tcPr>
          <w:p>
            <w:pPr>
              <w:pStyle w:val="1088"/>
              <w:pBdr/>
              <w:spacing/>
              <w:ind/>
              <w:rPr/>
            </w:pPr>
            <w:r>
              <w:t xml:space="preserve">8</w:t>
            </w:r>
            <w:r/>
          </w:p>
        </w:tc>
        <w:tc>
          <w:tcPr>
            <w:shd w:val="clear" w:color="auto" w:fill="f4f6f7"/>
            <w:tcBorders/>
            <w:tcMar>
              <w:left w:w="70" w:type="dxa"/>
              <w:top w:w="55" w:type="dxa"/>
              <w:right w:w="70" w:type="dxa"/>
              <w:bottom w:w="55" w:type="dxa"/>
            </w:tcMar>
            <w:tcW w:w="2994" w:type="dxa"/>
            <w:vAlign w:val="top"/>
          </w:tcPr>
          <w:p>
            <w:pPr>
              <w:pStyle w:val="1088"/>
              <w:pBdr/>
              <w:spacing/>
              <w:ind/>
              <w:rPr/>
            </w:pPr>
            <w:r>
              <w:t xml:space="preserve">ReviewRelease + CriterionResult + GateRun</w:t>
            </w:r>
            <w:r/>
          </w:p>
        </w:tc>
        <w:tc>
          <w:tcPr>
            <w:shd w:val="clear" w:color="auto" w:fill="f4f6f7"/>
            <w:tcBorders/>
            <w:tcMar>
              <w:left w:w="70" w:type="dxa"/>
              <w:top w:w="55" w:type="dxa"/>
              <w:right w:w="70" w:type="dxa"/>
              <w:bottom w:w="55" w:type="dxa"/>
            </w:tcMar>
            <w:tcW w:w="6281" w:type="dxa"/>
            <w:vAlign w:val="top"/>
          </w:tcPr>
          <w:p>
            <w:pPr>
              <w:pStyle w:val="1088"/>
              <w:pBdr/>
              <w:spacing/>
              <w:ind/>
              <w:rPr/>
            </w:pPr>
            <w:r>
              <w:t xml:space="preserve">Record review results, gate evidence and verdicts, unresolved issues, version and authorization without collapsing independent status axes.</w:t>
            </w:r>
            <w:r/>
          </w:p>
        </w:tc>
      </w:tr>
    </w:tbl>
    <w:p>
      <w:pPr>
        <w:pStyle w:val="1097"/>
        <w:pBdr/>
        <w:spacing/>
        <w:ind/>
        <w:rPr/>
      </w:pPr>
      <w:r/>
      <w:r/>
    </w:p>
    <w:p>
      <w:pPr>
        <w:pStyle w:val="1086"/>
        <w:keepNext w:val="true"/>
        <w:keepLines w:val="true"/>
        <w:pBdr/>
        <w:spacing/>
        <w:ind/>
        <w:rPr/>
      </w:pPr>
      <w:r/>
      <w:bookmarkStart w:id="20" w:name="tbl_object_overview"/>
      <w:r>
        <w:t xml:space="preserve">Governing summary — Compact object overview; full definitions are in Annex B</w:t>
      </w:r>
      <w:bookmarkEnd w:id="20"/>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483"/>
        <w:gridCol w:w="7523"/>
      </w:tblGrid>
      <w:tr>
        <w:trPr>
          <w:cantSplit/>
          <w:tblHeader/>
        </w:trPr>
        <w:tc>
          <w:tcPr>
            <w:shd w:val="clear" w:color="auto" w:fill="1f5d7a"/>
            <w:tcBorders/>
            <w:tcMar>
              <w:left w:w="70" w:type="dxa"/>
              <w:top w:w="55" w:type="dxa"/>
              <w:right w:w="70" w:type="dxa"/>
              <w:bottom w:w="55" w:type="dxa"/>
            </w:tcMar>
            <w:tcW w:w="2483" w:type="dxa"/>
            <w:vAlign w:val="top"/>
          </w:tcPr>
          <w:p>
            <w:pPr>
              <w:pStyle w:val="1087"/>
              <w:pBdr/>
              <w:spacing/>
              <w:ind/>
              <w:rPr/>
            </w:pPr>
            <w:r>
              <w:t xml:space="preserve">Object group</w:t>
            </w:r>
            <w:r/>
          </w:p>
        </w:tc>
        <w:tc>
          <w:tcPr>
            <w:shd w:val="clear" w:color="auto" w:fill="1f5d7a"/>
            <w:tcBorders/>
            <w:tcMar>
              <w:left w:w="70" w:type="dxa"/>
              <w:top w:w="55" w:type="dxa"/>
              <w:right w:w="70" w:type="dxa"/>
              <w:bottom w:w="55" w:type="dxa"/>
            </w:tcMar>
            <w:tcW w:w="7523" w:type="dxa"/>
            <w:vAlign w:val="top"/>
          </w:tcPr>
          <w:p>
            <w:pPr>
              <w:pStyle w:val="1087"/>
              <w:pBdr/>
              <w:spacing/>
              <w:ind/>
              <w:rPr/>
            </w:pPr>
            <w:r>
              <w:t xml:space="preserve">Included objects and use</w:t>
            </w:r>
            <w:r/>
          </w:p>
        </w:tc>
      </w:tr>
      <w:tr>
        <w:trPr>
          <w:cantSplit/>
        </w:trPr>
        <w:tc>
          <w:tcPr>
            <w:shd w:val="clear" w:color="auto" w:fill="ffffff"/>
            <w:tcBorders/>
            <w:tcMar>
              <w:left w:w="70" w:type="dxa"/>
              <w:top w:w="55" w:type="dxa"/>
              <w:right w:w="70" w:type="dxa"/>
              <w:bottom w:w="55" w:type="dxa"/>
            </w:tcMar>
            <w:tcW w:w="2483" w:type="dxa"/>
            <w:vAlign w:val="top"/>
          </w:tcPr>
          <w:p>
            <w:pPr>
              <w:pStyle w:val="1088"/>
              <w:pBdr/>
              <w:spacing/>
              <w:ind/>
              <w:rPr/>
            </w:pPr>
            <w:r>
              <w:t xml:space="preserve">Context</w:t>
            </w:r>
            <w:r/>
          </w:p>
        </w:tc>
        <w:tc>
          <w:tcPr>
            <w:shd w:val="clear" w:color="auto" w:fill="ffffff"/>
            <w:tcBorders/>
            <w:tcMar>
              <w:left w:w="70" w:type="dxa"/>
              <w:top w:w="55" w:type="dxa"/>
              <w:right w:w="70" w:type="dxa"/>
              <w:bottom w:w="55" w:type="dxa"/>
            </w:tcMar>
            <w:tcW w:w="7523" w:type="dxa"/>
            <w:vAlign w:val="top"/>
          </w:tcPr>
          <w:p>
            <w:pPr>
              <w:pStyle w:val="1088"/>
              <w:pBdr/>
              <w:spacing/>
              <w:ind/>
              <w:rPr/>
            </w:pPr>
            <w:r>
              <w:t xml:space="preserve">Worldview family, tradition, branch, historical formation, community, agent, corpus, time span and geography situate research; they are not default answer-sets.</w:t>
            </w:r>
            <w:r/>
          </w:p>
        </w:tc>
      </w:tr>
      <w:tr>
        <w:trPr>
          <w:cantSplit/>
        </w:trPr>
        <w:tc>
          <w:tcPr>
            <w:shd w:val="clear" w:color="auto" w:fill="f4f6f7"/>
            <w:tcBorders/>
            <w:tcMar>
              <w:left w:w="70" w:type="dxa"/>
              <w:top w:w="55" w:type="dxa"/>
              <w:right w:w="70" w:type="dxa"/>
              <w:bottom w:w="55" w:type="dxa"/>
            </w:tcMar>
            <w:tcW w:w="2483" w:type="dxa"/>
            <w:vAlign w:val="top"/>
          </w:tcPr>
          <w:p>
            <w:pPr>
              <w:pStyle w:val="1088"/>
              <w:pBdr/>
              <w:spacing/>
              <w:ind/>
              <w:rPr/>
            </w:pPr>
            <w:r>
              <w:t xml:space="preserve">Research core</w:t>
            </w:r>
            <w:r/>
          </w:p>
        </w:tc>
        <w:tc>
          <w:tcPr>
            <w:shd w:val="clear" w:color="auto" w:fill="f4f6f7"/>
            <w:tcBorders/>
            <w:tcMar>
              <w:left w:w="70" w:type="dxa"/>
              <w:top w:w="55" w:type="dxa"/>
              <w:right w:w="70" w:type="dxa"/>
              <w:bottom w:w="55" w:type="dxa"/>
            </w:tcMar>
            <w:tcW w:w="7523" w:type="dxa"/>
            <w:vAlign w:val="top"/>
          </w:tcPr>
          <w:p>
            <w:pPr>
              <w:pStyle w:val="1088"/>
              <w:pBdr/>
              <w:spacing/>
              <w:ind/>
              <w:rPr/>
            </w:pPr>
            <w:r>
              <w:t xml:space="preserve">Position, Concept, Claim, QuestionResponse and CategoryWarning define the unit, terminology, atomic assertions and answer/non-answer status.</w:t>
            </w:r>
            <w:r/>
          </w:p>
        </w:tc>
      </w:tr>
      <w:tr>
        <w:trPr>
          <w:cantSplit/>
        </w:trPr>
        <w:tc>
          <w:tcPr>
            <w:shd w:val="clear" w:color="auto" w:fill="ffffff"/>
            <w:tcBorders/>
            <w:tcMar>
              <w:left w:w="70" w:type="dxa"/>
              <w:top w:w="55" w:type="dxa"/>
              <w:right w:w="70" w:type="dxa"/>
              <w:bottom w:w="55" w:type="dxa"/>
            </w:tcMar>
            <w:tcW w:w="2483" w:type="dxa"/>
            <w:vAlign w:val="top"/>
          </w:tcPr>
          <w:p>
            <w:pPr>
              <w:pStyle w:val="1088"/>
              <w:pBdr/>
              <w:spacing/>
              <w:ind/>
              <w:rPr/>
            </w:pPr>
            <w:r>
              <w:t xml:space="preserve">Evidence and interpretation</w:t>
            </w:r>
            <w:r/>
          </w:p>
        </w:tc>
        <w:tc>
          <w:tcPr>
            <w:shd w:val="clear" w:color="auto" w:fill="ffffff"/>
            <w:tcBorders/>
            <w:tcMar>
              <w:left w:w="70" w:type="dxa"/>
              <w:top w:w="55" w:type="dxa"/>
              <w:right w:w="70" w:type="dxa"/>
              <w:bottom w:w="55" w:type="dxa"/>
            </w:tcMar>
            <w:tcW w:w="7523" w:type="dxa"/>
            <w:vAlign w:val="top"/>
          </w:tcPr>
          <w:p>
            <w:pPr>
              <w:pStyle w:val="1088"/>
              <w:pBdr/>
              <w:spacing/>
              <w:ind/>
              <w:rPr/>
            </w:pPr>
            <w:r>
              <w:t xml:space="preserve">SourceRecord, SourceInstance, EvidenceLink, Argument, Practice, ExperienceReport and Interpretation support claims without collapsing evidence forms.</w:t>
            </w:r>
            <w:r/>
          </w:p>
        </w:tc>
      </w:tr>
      <w:tr>
        <w:trPr>
          <w:cantSplit/>
        </w:trPr>
        <w:tc>
          <w:tcPr>
            <w:shd w:val="clear" w:color="auto" w:fill="f4f6f7"/>
            <w:tcBorders/>
            <w:tcMar>
              <w:left w:w="70" w:type="dxa"/>
              <w:top w:w="55" w:type="dxa"/>
              <w:right w:w="70" w:type="dxa"/>
              <w:bottom w:w="55" w:type="dxa"/>
            </w:tcMar>
            <w:tcW w:w="2483" w:type="dxa"/>
            <w:vAlign w:val="top"/>
          </w:tcPr>
          <w:p>
            <w:pPr>
              <w:pStyle w:val="1088"/>
              <w:pBdr/>
              <w:spacing/>
              <w:ind/>
              <w:rPr/>
            </w:pPr>
            <w:r>
              <w:t xml:space="preserve">Comparison and synthesis</w:t>
            </w:r>
            <w:r/>
          </w:p>
        </w:tc>
        <w:tc>
          <w:tcPr>
            <w:shd w:val="clear" w:color="auto" w:fill="f4f6f7"/>
            <w:tcBorders/>
            <w:tcMar>
              <w:left w:w="70" w:type="dxa"/>
              <w:top w:w="55" w:type="dxa"/>
              <w:right w:w="70" w:type="dxa"/>
              <w:bottom w:w="55" w:type="dxa"/>
            </w:tcMar>
            <w:tcW w:w="7523" w:type="dxa"/>
            <w:vAlign w:val="top"/>
          </w:tcPr>
          <w:p>
            <w:pPr>
              <w:pStyle w:val="1088"/>
              <w:pBdr/>
              <w:spacing/>
              <w:ind/>
              <w:rPr/>
            </w:pPr>
            <w:r>
              <w:t xml:space="preserve">ComparisonEvent, ComparativeRelation, SynthesisRecord and PublicationClaimRecord carry proposition-scoped comparison and bounded inference.</w:t>
            </w:r>
            <w:r/>
          </w:p>
        </w:tc>
      </w:tr>
      <w:tr>
        <w:trPr>
          <w:cantSplit/>
        </w:trPr>
        <w:tc>
          <w:tcPr>
            <w:shd w:val="clear" w:color="auto" w:fill="ffffff"/>
            <w:tcBorders/>
            <w:tcMar>
              <w:left w:w="70" w:type="dxa"/>
              <w:top w:w="55" w:type="dxa"/>
              <w:right w:w="70" w:type="dxa"/>
              <w:bottom w:w="55" w:type="dxa"/>
            </w:tcMar>
            <w:tcW w:w="2483" w:type="dxa"/>
            <w:vAlign w:val="top"/>
          </w:tcPr>
          <w:p>
            <w:pPr>
              <w:pStyle w:val="1088"/>
              <w:pBdr/>
              <w:spacing/>
              <w:ind/>
              <w:rPr/>
            </w:pPr>
            <w:r>
              <w:t xml:space="preserve">Review and governance</w:t>
            </w:r>
            <w:r/>
          </w:p>
        </w:tc>
        <w:tc>
          <w:tcPr>
            <w:shd w:val="clear" w:color="auto" w:fill="ffffff"/>
            <w:tcBorders/>
            <w:tcMar>
              <w:left w:w="70" w:type="dxa"/>
              <w:top w:w="55" w:type="dxa"/>
              <w:right w:w="70" w:type="dxa"/>
              <w:bottom w:w="55" w:type="dxa"/>
            </w:tcMar>
            <w:tcW w:w="7523" w:type="dxa"/>
            <w:vAlign w:val="top"/>
          </w:tcPr>
          <w:p>
            <w:pPr>
              <w:pStyle w:val="1088"/>
              <w:pBdr/>
              <w:spacing/>
              <w:ind/>
              <w:rPr/>
            </w:pPr>
            <w:r>
              <w:t xml:space="preserve">RepresentationReadiness, SourceCommunityCoverage, ReviewRelease, CriterionResult, GateRun and AIProvenance record review, authority, rights, evidence and release state.</w:t>
            </w:r>
            <w:r/>
          </w:p>
        </w:tc>
      </w:tr>
    </w:tbl>
    <w:p>
      <w:pPr>
        <w:pStyle w:val="1097"/>
        <w:pBdr/>
        <w:spacing/>
        <w:ind/>
        <w:rPr/>
      </w:pPr>
      <w:r/>
      <w:r/>
    </w:p>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Multi-parent graph rule</w:t>
            </w:r>
            <w:r/>
          </w:p>
          <w:p>
            <w:pPr>
              <w:pStyle w:val="1092"/>
              <w:pBdr/>
              <w:spacing/>
              <w:ind/>
              <w:rPr/>
            </w:pPr>
            <w:r>
              <w:t xml:space="preserve">No entity is required to have one parent. Hybridization, transmission, polemic, multiple authority streams and overlapping communities MUST be representable without forcing false single-parent hierarchies.</w:t>
            </w:r>
            <w:r/>
          </w:p>
        </w:tc>
      </w:tr>
    </w:tbl>
    <w:p>
      <w:pPr>
        <w:pStyle w:val="1097"/>
        <w:pBdr/>
        <w:spacing/>
        <w:ind/>
        <w:rPr/>
      </w:pPr>
      <w:r/>
      <w:r/>
    </w:p>
    <w:p>
      <w:pPr>
        <w:pStyle w:val="923"/>
        <w:keepNext w:val="true"/>
        <w:keepLines w:val="true"/>
        <w:pBdr/>
        <w:spacing/>
        <w:ind/>
        <w:rPr/>
      </w:pPr>
      <w:r/>
      <w:bookmarkStart w:id="21" w:name="section_3_domains"/>
      <w:r>
        <w:t xml:space="preserve">3. Analytical domains D1–D15</w:t>
      </w:r>
      <w:bookmarkEnd w:id="21"/>
      <w:r/>
      <w:r/>
    </w:p>
    <w:p>
      <w:pPr>
        <w:pStyle w:val="1083"/>
        <w:keepLines w:val="false"/>
        <w:pBdr/>
        <w:spacing/>
        <w:ind/>
        <w:rPr/>
      </w:pPr>
      <w:r>
        <w:t xml:space="preserve">The fifteen domains are neutral research prompts, not assumed compartments of </w:t>
      </w:r>
      <w:r>
        <w:t xml:space="preserve">reality. A Position may answer, deny, reframe, leave open, vary, render indeterminate, lack adequate sources for or expose category distortion in any domain. Annex A contains the one authoritative set of neutral master questions and illustrative subfields.</w:t>
      </w:r>
      <w:r/>
    </w:p>
    <w:p>
      <w:pPr>
        <w:pStyle w:val="1086"/>
        <w:keepNext w:val="true"/>
        <w:keepLines w:val="true"/>
        <w:pBdr/>
        <w:spacing/>
        <w:ind/>
        <w:rPr/>
      </w:pPr>
      <w:r/>
      <w:bookmarkStart w:id="22" w:name="tbl_domain_index"/>
      <w:r>
        <w:t xml:space="preserve">Governing summary — D1–D15 operational index</w:t>
      </w:r>
      <w:bookmarkEnd w:id="22"/>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949"/>
        <w:gridCol w:w="9057"/>
      </w:tblGrid>
      <w:tr>
        <w:trPr>
          <w:cantSplit/>
          <w:tblHeader/>
        </w:trPr>
        <w:tc>
          <w:tcPr>
            <w:shd w:val="clear" w:color="auto" w:fill="1f5d7a"/>
            <w:tcBorders/>
            <w:tcMar>
              <w:left w:w="70" w:type="dxa"/>
              <w:top w:w="55" w:type="dxa"/>
              <w:right w:w="70" w:type="dxa"/>
              <w:bottom w:w="55" w:type="dxa"/>
            </w:tcMar>
            <w:tcW w:w="949" w:type="dxa"/>
            <w:vAlign w:val="top"/>
          </w:tcPr>
          <w:p>
            <w:pPr>
              <w:pStyle w:val="1087"/>
              <w:pBdr/>
              <w:spacing/>
              <w:ind/>
              <w:rPr/>
            </w:pPr>
            <w:r>
              <w:t xml:space="preserve">Code</w:t>
            </w:r>
            <w:r/>
          </w:p>
        </w:tc>
        <w:tc>
          <w:tcPr>
            <w:shd w:val="clear" w:color="auto" w:fill="1f5d7a"/>
            <w:tcBorders/>
            <w:tcMar>
              <w:left w:w="70" w:type="dxa"/>
              <w:top w:w="55" w:type="dxa"/>
              <w:right w:w="70" w:type="dxa"/>
              <w:bottom w:w="55" w:type="dxa"/>
            </w:tcMar>
            <w:tcW w:w="9057" w:type="dxa"/>
            <w:vAlign w:val="top"/>
          </w:tcPr>
          <w:p>
            <w:pPr>
              <w:pStyle w:val="1087"/>
              <w:pBdr/>
              <w:spacing/>
              <w:ind/>
              <w:rPr/>
            </w:pPr>
            <w:r>
              <w:t xml:space="preserve">Domain</w:t>
            </w:r>
            <w:r/>
          </w:p>
        </w:tc>
      </w:tr>
      <w:tr>
        <w:trPr>
          <w:cantSplit/>
        </w:trPr>
        <w:tc>
          <w:tcPr>
            <w:shd w:val="clear" w:color="auto" w:fill="ffffff"/>
            <w:tcBorders/>
            <w:tcMar>
              <w:left w:w="70" w:type="dxa"/>
              <w:top w:w="55" w:type="dxa"/>
              <w:right w:w="70" w:type="dxa"/>
              <w:bottom w:w="55" w:type="dxa"/>
            </w:tcMar>
            <w:tcW w:w="949" w:type="dxa"/>
            <w:vAlign w:val="top"/>
          </w:tcPr>
          <w:p>
            <w:pPr>
              <w:pStyle w:val="1088"/>
              <w:pBdr/>
              <w:spacing/>
              <w:ind/>
              <w:rPr/>
            </w:pPr>
            <w:r>
              <w:t xml:space="preserve">D1</w:t>
            </w:r>
            <w:r/>
          </w:p>
        </w:tc>
        <w:tc>
          <w:tcPr>
            <w:shd w:val="clear" w:color="auto" w:fill="ffffff"/>
            <w:tcBorders/>
            <w:tcMar>
              <w:left w:w="70" w:type="dxa"/>
              <w:top w:w="55" w:type="dxa"/>
              <w:right w:w="70" w:type="dxa"/>
              <w:bottom w:w="55" w:type="dxa"/>
            </w:tcMar>
            <w:tcW w:w="9057" w:type="dxa"/>
            <w:vAlign w:val="top"/>
          </w:tcPr>
          <w:p>
            <w:pPr>
              <w:pStyle w:val="1088"/>
              <w:pBdr/>
              <w:spacing/>
              <w:ind/>
              <w:rPr/>
            </w:pPr>
            <w:r>
              <w:t xml:space="preserve">Ontology &amp; ultimacy</w:t>
            </w:r>
            <w:r/>
          </w:p>
        </w:tc>
      </w:tr>
      <w:tr>
        <w:trPr>
          <w:cantSplit/>
        </w:trPr>
        <w:tc>
          <w:tcPr>
            <w:shd w:val="clear" w:color="auto" w:fill="f4f6f7"/>
            <w:tcBorders/>
            <w:tcMar>
              <w:left w:w="70" w:type="dxa"/>
              <w:top w:w="55" w:type="dxa"/>
              <w:right w:w="70" w:type="dxa"/>
              <w:bottom w:w="55" w:type="dxa"/>
            </w:tcMar>
            <w:tcW w:w="949" w:type="dxa"/>
            <w:vAlign w:val="top"/>
          </w:tcPr>
          <w:p>
            <w:pPr>
              <w:pStyle w:val="1088"/>
              <w:pBdr/>
              <w:spacing/>
              <w:ind/>
              <w:rPr/>
            </w:pPr>
            <w:r>
              <w:t xml:space="preserve">D2</w:t>
            </w:r>
            <w:r/>
          </w:p>
        </w:tc>
        <w:tc>
          <w:tcPr>
            <w:shd w:val="clear" w:color="auto" w:fill="f4f6f7"/>
            <w:tcBorders/>
            <w:tcMar>
              <w:left w:w="70" w:type="dxa"/>
              <w:top w:w="55" w:type="dxa"/>
              <w:right w:w="70" w:type="dxa"/>
              <w:bottom w:w="55" w:type="dxa"/>
            </w:tcMar>
            <w:tcW w:w="9057" w:type="dxa"/>
            <w:vAlign w:val="top"/>
          </w:tcPr>
          <w:p>
            <w:pPr>
              <w:pStyle w:val="1088"/>
              <w:pBdr/>
              <w:spacing/>
              <w:ind/>
              <w:rPr/>
            </w:pPr>
            <w:r>
              <w:t xml:space="preserve">Cosmogenesis &amp; world structure</w:t>
            </w:r>
            <w:r/>
          </w:p>
        </w:tc>
      </w:tr>
      <w:tr>
        <w:trPr>
          <w:cantSplit/>
        </w:trPr>
        <w:tc>
          <w:tcPr>
            <w:shd w:val="clear" w:color="auto" w:fill="ffffff"/>
            <w:tcBorders/>
            <w:tcMar>
              <w:left w:w="70" w:type="dxa"/>
              <w:top w:w="55" w:type="dxa"/>
              <w:right w:w="70" w:type="dxa"/>
              <w:bottom w:w="55" w:type="dxa"/>
            </w:tcMar>
            <w:tcW w:w="949" w:type="dxa"/>
            <w:vAlign w:val="top"/>
          </w:tcPr>
          <w:p>
            <w:pPr>
              <w:pStyle w:val="1088"/>
              <w:pBdr/>
              <w:spacing/>
              <w:ind/>
              <w:rPr/>
            </w:pPr>
            <w:r>
              <w:t xml:space="preserve">D3</w:t>
            </w:r>
            <w:r/>
          </w:p>
        </w:tc>
        <w:tc>
          <w:tcPr>
            <w:shd w:val="clear" w:color="auto" w:fill="ffffff"/>
            <w:tcBorders/>
            <w:tcMar>
              <w:left w:w="70" w:type="dxa"/>
              <w:top w:w="55" w:type="dxa"/>
              <w:right w:w="70" w:type="dxa"/>
              <w:bottom w:w="55" w:type="dxa"/>
            </w:tcMar>
            <w:tcW w:w="9057" w:type="dxa"/>
            <w:vAlign w:val="top"/>
          </w:tcPr>
          <w:p>
            <w:pPr>
              <w:pStyle w:val="1088"/>
              <w:pBdr/>
              <w:spacing/>
              <w:ind/>
              <w:rPr/>
            </w:pPr>
            <w:r>
              <w:t xml:space="preserve">World-partitioning, materiality &amp; human/nonhuman relations</w:t>
            </w:r>
            <w:r/>
          </w:p>
        </w:tc>
      </w:tr>
      <w:tr>
        <w:trPr>
          <w:cantSplit/>
        </w:trPr>
        <w:tc>
          <w:tcPr>
            <w:shd w:val="clear" w:color="auto" w:fill="f4f6f7"/>
            <w:tcBorders/>
            <w:tcMar>
              <w:left w:w="70" w:type="dxa"/>
              <w:top w:w="55" w:type="dxa"/>
              <w:right w:w="70" w:type="dxa"/>
              <w:bottom w:w="55" w:type="dxa"/>
            </w:tcMar>
            <w:tcW w:w="949" w:type="dxa"/>
            <w:vAlign w:val="top"/>
          </w:tcPr>
          <w:p>
            <w:pPr>
              <w:pStyle w:val="1088"/>
              <w:pBdr/>
              <w:spacing/>
              <w:ind/>
              <w:rPr/>
            </w:pPr>
            <w:r>
              <w:t xml:space="preserve">D4</w:t>
            </w:r>
            <w:r/>
          </w:p>
        </w:tc>
        <w:tc>
          <w:tcPr>
            <w:shd w:val="clear" w:color="auto" w:fill="f4f6f7"/>
            <w:tcBorders/>
            <w:tcMar>
              <w:left w:w="70" w:type="dxa"/>
              <w:top w:w="55" w:type="dxa"/>
              <w:right w:w="70" w:type="dxa"/>
              <w:bottom w:w="55" w:type="dxa"/>
            </w:tcMar>
            <w:tcW w:w="9057" w:type="dxa"/>
            <w:vAlign w:val="top"/>
          </w:tcPr>
          <w:p>
            <w:pPr>
              <w:pStyle w:val="1088"/>
              <w:pBdr/>
              <w:spacing/>
              <w:ind/>
              <w:rPr/>
            </w:pPr>
            <w:r>
              <w:t xml:space="preserve">Human constitution &amp; embodiment</w:t>
            </w:r>
            <w:r/>
          </w:p>
        </w:tc>
      </w:tr>
      <w:tr>
        <w:trPr>
          <w:cantSplit/>
        </w:trPr>
        <w:tc>
          <w:tcPr>
            <w:shd w:val="clear" w:color="auto" w:fill="ffffff"/>
            <w:tcBorders/>
            <w:tcMar>
              <w:left w:w="70" w:type="dxa"/>
              <w:top w:w="55" w:type="dxa"/>
              <w:right w:w="70" w:type="dxa"/>
              <w:bottom w:w="55" w:type="dxa"/>
            </w:tcMar>
            <w:tcW w:w="949" w:type="dxa"/>
            <w:vAlign w:val="top"/>
          </w:tcPr>
          <w:p>
            <w:pPr>
              <w:pStyle w:val="1088"/>
              <w:pBdr/>
              <w:spacing/>
              <w:ind/>
              <w:rPr/>
            </w:pPr>
            <w:r>
              <w:t xml:space="preserve">D5</w:t>
            </w:r>
            <w:r/>
          </w:p>
        </w:tc>
        <w:tc>
          <w:tcPr>
            <w:shd w:val="clear" w:color="auto" w:fill="ffffff"/>
            <w:tcBorders/>
            <w:tcMar>
              <w:left w:w="70" w:type="dxa"/>
              <w:top w:w="55" w:type="dxa"/>
              <w:right w:w="70" w:type="dxa"/>
              <w:bottom w:w="55" w:type="dxa"/>
            </w:tcMar>
            <w:tcW w:w="9057" w:type="dxa"/>
            <w:vAlign w:val="top"/>
          </w:tcPr>
          <w:p>
            <w:pPr>
              <w:pStyle w:val="1088"/>
              <w:pBdr/>
              <w:spacing/>
              <w:ind/>
              <w:rPr/>
            </w:pPr>
            <w:r>
              <w:t xml:space="preserve">Mind &amp; consciousness</w:t>
            </w:r>
            <w:r/>
          </w:p>
        </w:tc>
      </w:tr>
      <w:tr>
        <w:trPr>
          <w:cantSplit/>
        </w:trPr>
        <w:tc>
          <w:tcPr>
            <w:shd w:val="clear" w:color="auto" w:fill="f4f6f7"/>
            <w:tcBorders/>
            <w:tcMar>
              <w:left w:w="70" w:type="dxa"/>
              <w:top w:w="55" w:type="dxa"/>
              <w:right w:w="70" w:type="dxa"/>
              <w:bottom w:w="55" w:type="dxa"/>
            </w:tcMar>
            <w:tcW w:w="949" w:type="dxa"/>
            <w:vAlign w:val="top"/>
          </w:tcPr>
          <w:p>
            <w:pPr>
              <w:pStyle w:val="1088"/>
              <w:pBdr/>
              <w:spacing/>
              <w:ind/>
              <w:rPr/>
            </w:pPr>
            <w:r>
              <w:t xml:space="preserve">D6</w:t>
            </w:r>
            <w:r/>
          </w:p>
        </w:tc>
        <w:tc>
          <w:tcPr>
            <w:shd w:val="clear" w:color="auto" w:fill="f4f6f7"/>
            <w:tcBorders/>
            <w:tcMar>
              <w:left w:w="70" w:type="dxa"/>
              <w:top w:w="55" w:type="dxa"/>
              <w:right w:w="70" w:type="dxa"/>
              <w:bottom w:w="55" w:type="dxa"/>
            </w:tcMar>
            <w:tcW w:w="9057" w:type="dxa"/>
            <w:vAlign w:val="top"/>
          </w:tcPr>
          <w:p>
            <w:pPr>
              <w:pStyle w:val="1088"/>
              <w:pBdr/>
              <w:spacing/>
              <w:ind/>
              <w:rPr/>
            </w:pPr>
            <w:r>
              <w:t xml:space="preserve">Self, personhood &amp; identity</w:t>
            </w:r>
            <w:r/>
          </w:p>
        </w:tc>
      </w:tr>
      <w:tr>
        <w:trPr>
          <w:cantSplit/>
        </w:trPr>
        <w:tc>
          <w:tcPr>
            <w:shd w:val="clear" w:color="auto" w:fill="ffffff"/>
            <w:tcBorders/>
            <w:tcMar>
              <w:left w:w="70" w:type="dxa"/>
              <w:top w:w="55" w:type="dxa"/>
              <w:right w:w="70" w:type="dxa"/>
              <w:bottom w:w="55" w:type="dxa"/>
            </w:tcMar>
            <w:tcW w:w="949" w:type="dxa"/>
            <w:vAlign w:val="top"/>
          </w:tcPr>
          <w:p>
            <w:pPr>
              <w:pStyle w:val="1088"/>
              <w:pBdr/>
              <w:spacing/>
              <w:ind/>
              <w:rPr/>
            </w:pPr>
            <w:r>
              <w:t xml:space="preserve">D7</w:t>
            </w:r>
            <w:r/>
          </w:p>
        </w:tc>
        <w:tc>
          <w:tcPr>
            <w:shd w:val="clear" w:color="auto" w:fill="ffffff"/>
            <w:tcBorders/>
            <w:tcMar>
              <w:left w:w="70" w:type="dxa"/>
              <w:top w:w="55" w:type="dxa"/>
              <w:right w:w="70" w:type="dxa"/>
              <w:bottom w:w="55" w:type="dxa"/>
            </w:tcMar>
            <w:tcW w:w="9057" w:type="dxa"/>
            <w:vAlign w:val="top"/>
          </w:tcPr>
          <w:p>
            <w:pPr>
              <w:pStyle w:val="1088"/>
              <w:pBdr/>
              <w:spacing/>
              <w:ind/>
              <w:rPr/>
            </w:pPr>
            <w:r>
              <w:t xml:space="preserve">Epistemology &amp; authority</w:t>
            </w:r>
            <w:r/>
          </w:p>
        </w:tc>
      </w:tr>
      <w:tr>
        <w:trPr>
          <w:cantSplit/>
        </w:trPr>
        <w:tc>
          <w:tcPr>
            <w:shd w:val="clear" w:color="auto" w:fill="f4f6f7"/>
            <w:tcBorders/>
            <w:tcMar>
              <w:left w:w="70" w:type="dxa"/>
              <w:top w:w="55" w:type="dxa"/>
              <w:right w:w="70" w:type="dxa"/>
              <w:bottom w:w="55" w:type="dxa"/>
            </w:tcMar>
            <w:tcW w:w="949" w:type="dxa"/>
            <w:vAlign w:val="top"/>
          </w:tcPr>
          <w:p>
            <w:pPr>
              <w:pStyle w:val="1088"/>
              <w:pBdr/>
              <w:spacing/>
              <w:ind/>
              <w:rPr/>
            </w:pPr>
            <w:r>
              <w:t xml:space="preserve">D8</w:t>
            </w:r>
            <w:r/>
          </w:p>
        </w:tc>
        <w:tc>
          <w:tcPr>
            <w:shd w:val="clear" w:color="auto" w:fill="f4f6f7"/>
            <w:tcBorders/>
            <w:tcMar>
              <w:left w:w="70" w:type="dxa"/>
              <w:top w:w="55" w:type="dxa"/>
              <w:right w:w="70" w:type="dxa"/>
              <w:bottom w:w="55" w:type="dxa"/>
            </w:tcMar>
            <w:tcW w:w="9057" w:type="dxa"/>
            <w:vAlign w:val="top"/>
          </w:tcPr>
          <w:p>
            <w:pPr>
              <w:pStyle w:val="1088"/>
              <w:pBdr/>
              <w:spacing/>
              <w:ind/>
              <w:rPr/>
            </w:pPr>
            <w:r>
              <w:t xml:space="preserve">Axiology, meaning &amp; value</w:t>
            </w:r>
            <w:r/>
          </w:p>
        </w:tc>
      </w:tr>
      <w:tr>
        <w:trPr>
          <w:cantSplit/>
        </w:trPr>
        <w:tc>
          <w:tcPr>
            <w:shd w:val="clear" w:color="auto" w:fill="ffffff"/>
            <w:tcBorders/>
            <w:tcMar>
              <w:left w:w="70" w:type="dxa"/>
              <w:top w:w="55" w:type="dxa"/>
              <w:right w:w="70" w:type="dxa"/>
              <w:bottom w:w="55" w:type="dxa"/>
            </w:tcMar>
            <w:tcW w:w="949" w:type="dxa"/>
            <w:vAlign w:val="top"/>
          </w:tcPr>
          <w:p>
            <w:pPr>
              <w:pStyle w:val="1088"/>
              <w:pBdr/>
              <w:spacing/>
              <w:ind/>
              <w:rPr/>
            </w:pPr>
            <w:r>
              <w:t xml:space="preserve">D9</w:t>
            </w:r>
            <w:r/>
          </w:p>
        </w:tc>
        <w:tc>
          <w:tcPr>
            <w:shd w:val="clear" w:color="auto" w:fill="ffffff"/>
            <w:tcBorders/>
            <w:tcMar>
              <w:left w:w="70" w:type="dxa"/>
              <w:top w:w="55" w:type="dxa"/>
              <w:right w:w="70" w:type="dxa"/>
              <w:bottom w:w="55" w:type="dxa"/>
            </w:tcMar>
            <w:tcW w:w="9057" w:type="dxa"/>
            <w:vAlign w:val="top"/>
          </w:tcPr>
          <w:p>
            <w:pPr>
              <w:pStyle w:val="1088"/>
              <w:pBdr/>
              <w:spacing/>
              <w:ind/>
              <w:rPr/>
            </w:pPr>
            <w:r>
              <w:t xml:space="preserve">Human condition &amp; diagnosis</w:t>
            </w:r>
            <w:r/>
          </w:p>
        </w:tc>
      </w:tr>
      <w:tr>
        <w:trPr>
          <w:cantSplit/>
        </w:trPr>
        <w:tc>
          <w:tcPr>
            <w:shd w:val="clear" w:color="auto" w:fill="f4f6f7"/>
            <w:tcBorders/>
            <w:tcMar>
              <w:left w:w="70" w:type="dxa"/>
              <w:top w:w="55" w:type="dxa"/>
              <w:right w:w="70" w:type="dxa"/>
              <w:bottom w:w="55" w:type="dxa"/>
            </w:tcMar>
            <w:tcW w:w="949" w:type="dxa"/>
            <w:vAlign w:val="top"/>
          </w:tcPr>
          <w:p>
            <w:pPr>
              <w:pStyle w:val="1088"/>
              <w:pBdr/>
              <w:spacing/>
              <w:ind/>
              <w:rPr/>
            </w:pPr>
            <w:r>
              <w:t xml:space="preserve">D10</w:t>
            </w:r>
            <w:r/>
          </w:p>
        </w:tc>
        <w:tc>
          <w:tcPr>
            <w:shd w:val="clear" w:color="auto" w:fill="f4f6f7"/>
            <w:tcBorders/>
            <w:tcMar>
              <w:left w:w="70" w:type="dxa"/>
              <w:top w:w="55" w:type="dxa"/>
              <w:right w:w="70" w:type="dxa"/>
              <w:bottom w:w="55" w:type="dxa"/>
            </w:tcMar>
            <w:tcW w:w="9057" w:type="dxa"/>
            <w:vAlign w:val="top"/>
          </w:tcPr>
          <w:p>
            <w:pPr>
              <w:pStyle w:val="1088"/>
              <w:pBdr/>
              <w:spacing/>
              <w:ind/>
              <w:rPr/>
            </w:pPr>
            <w:r>
              <w:t xml:space="preserve">Causal order &amp; dependence</w:t>
            </w:r>
            <w:r/>
          </w:p>
        </w:tc>
      </w:tr>
      <w:tr>
        <w:trPr>
          <w:cantSplit/>
        </w:trPr>
        <w:tc>
          <w:tcPr>
            <w:shd w:val="clear" w:color="auto" w:fill="ffffff"/>
            <w:tcBorders/>
            <w:tcMar>
              <w:left w:w="70" w:type="dxa"/>
              <w:top w:w="55" w:type="dxa"/>
              <w:right w:w="70" w:type="dxa"/>
              <w:bottom w:w="55" w:type="dxa"/>
            </w:tcMar>
            <w:tcW w:w="949" w:type="dxa"/>
            <w:vAlign w:val="top"/>
          </w:tcPr>
          <w:p>
            <w:pPr>
              <w:pStyle w:val="1088"/>
              <w:pBdr/>
              <w:spacing/>
              <w:ind/>
              <w:rPr/>
            </w:pPr>
            <w:r>
              <w:t xml:space="preserve">D11</w:t>
            </w:r>
            <w:r/>
          </w:p>
        </w:tc>
        <w:tc>
          <w:tcPr>
            <w:shd w:val="clear" w:color="auto" w:fill="ffffff"/>
            <w:tcBorders/>
            <w:tcMar>
              <w:left w:w="70" w:type="dxa"/>
              <w:top w:w="55" w:type="dxa"/>
              <w:right w:w="70" w:type="dxa"/>
              <w:bottom w:w="55" w:type="dxa"/>
            </w:tcMar>
            <w:tcW w:w="9057" w:type="dxa"/>
            <w:vAlign w:val="top"/>
          </w:tcPr>
          <w:p>
            <w:pPr>
              <w:pStyle w:val="1088"/>
              <w:pBdr/>
              <w:spacing/>
              <w:ind/>
              <w:rPr/>
            </w:pPr>
            <w:r>
              <w:t xml:space="preserve">Agency, freedom &amp; constraint</w:t>
            </w:r>
            <w:r/>
          </w:p>
        </w:tc>
      </w:tr>
      <w:tr>
        <w:trPr>
          <w:cantSplit/>
        </w:trPr>
        <w:tc>
          <w:tcPr>
            <w:shd w:val="clear" w:color="auto" w:fill="f4f6f7"/>
            <w:tcBorders/>
            <w:tcMar>
              <w:left w:w="70" w:type="dxa"/>
              <w:top w:w="55" w:type="dxa"/>
              <w:right w:w="70" w:type="dxa"/>
              <w:bottom w:w="55" w:type="dxa"/>
            </w:tcMar>
            <w:tcW w:w="949" w:type="dxa"/>
            <w:vAlign w:val="top"/>
          </w:tcPr>
          <w:p>
            <w:pPr>
              <w:pStyle w:val="1088"/>
              <w:pBdr/>
              <w:spacing/>
              <w:ind/>
              <w:rPr/>
            </w:pPr>
            <w:r>
              <w:t xml:space="preserve">D12</w:t>
            </w:r>
            <w:r/>
          </w:p>
        </w:tc>
        <w:tc>
          <w:tcPr>
            <w:shd w:val="clear" w:color="auto" w:fill="f4f6f7"/>
            <w:tcBorders/>
            <w:tcMar>
              <w:left w:w="70" w:type="dxa"/>
              <w:top w:w="55" w:type="dxa"/>
              <w:right w:w="70" w:type="dxa"/>
              <w:bottom w:w="55" w:type="dxa"/>
            </w:tcMar>
            <w:tcW w:w="9057" w:type="dxa"/>
            <w:vAlign w:val="top"/>
          </w:tcPr>
          <w:p>
            <w:pPr>
              <w:pStyle w:val="1088"/>
              <w:pBdr/>
              <w:spacing/>
              <w:ind/>
              <w:rPr/>
            </w:pPr>
            <w:r>
              <w:t xml:space="preserve">Praxis &amp; transformation</w:t>
            </w:r>
            <w:r/>
          </w:p>
        </w:tc>
      </w:tr>
      <w:tr>
        <w:trPr>
          <w:cantSplit/>
        </w:trPr>
        <w:tc>
          <w:tcPr>
            <w:shd w:val="clear" w:color="auto" w:fill="ffffff"/>
            <w:tcBorders/>
            <w:tcMar>
              <w:left w:w="70" w:type="dxa"/>
              <w:top w:w="55" w:type="dxa"/>
              <w:right w:w="70" w:type="dxa"/>
              <w:bottom w:w="55" w:type="dxa"/>
            </w:tcMar>
            <w:tcW w:w="949" w:type="dxa"/>
            <w:vAlign w:val="top"/>
          </w:tcPr>
          <w:p>
            <w:pPr>
              <w:pStyle w:val="1088"/>
              <w:pBdr/>
              <w:spacing/>
              <w:ind/>
              <w:rPr/>
            </w:pPr>
            <w:r>
              <w:t xml:space="preserve">D13</w:t>
            </w:r>
            <w:r/>
          </w:p>
        </w:tc>
        <w:tc>
          <w:tcPr>
            <w:shd w:val="clear" w:color="auto" w:fill="ffffff"/>
            <w:tcBorders/>
            <w:tcMar>
              <w:left w:w="70" w:type="dxa"/>
              <w:top w:w="55" w:type="dxa"/>
              <w:right w:w="70" w:type="dxa"/>
              <w:bottom w:w="55" w:type="dxa"/>
            </w:tcMar>
            <w:tcW w:w="9057" w:type="dxa"/>
            <w:vAlign w:val="top"/>
          </w:tcPr>
          <w:p>
            <w:pPr>
              <w:pStyle w:val="1088"/>
              <w:pBdr/>
              <w:spacing/>
              <w:ind/>
              <w:rPr/>
            </w:pPr>
            <w:r>
              <w:t xml:space="preserve">Death &amp; continuity</w:t>
            </w:r>
            <w:r/>
          </w:p>
        </w:tc>
      </w:tr>
      <w:tr>
        <w:trPr>
          <w:cantSplit/>
        </w:trPr>
        <w:tc>
          <w:tcPr>
            <w:shd w:val="clear" w:color="auto" w:fill="f4f6f7"/>
            <w:tcBorders/>
            <w:tcMar>
              <w:left w:w="70" w:type="dxa"/>
              <w:top w:w="55" w:type="dxa"/>
              <w:right w:w="70" w:type="dxa"/>
              <w:bottom w:w="55" w:type="dxa"/>
            </w:tcMar>
            <w:tcW w:w="949" w:type="dxa"/>
            <w:vAlign w:val="top"/>
          </w:tcPr>
          <w:p>
            <w:pPr>
              <w:pStyle w:val="1088"/>
              <w:pBdr/>
              <w:spacing/>
              <w:ind/>
              <w:rPr/>
            </w:pPr>
            <w:r>
              <w:t xml:space="preserve">D14</w:t>
            </w:r>
            <w:r/>
          </w:p>
        </w:tc>
        <w:tc>
          <w:tcPr>
            <w:shd w:val="clear" w:color="auto" w:fill="f4f6f7"/>
            <w:tcBorders/>
            <w:tcMar>
              <w:left w:w="70" w:type="dxa"/>
              <w:top w:w="55" w:type="dxa"/>
              <w:right w:w="70" w:type="dxa"/>
              <w:bottom w:w="55" w:type="dxa"/>
            </w:tcMar>
            <w:tcW w:w="9057" w:type="dxa"/>
            <w:vAlign w:val="top"/>
          </w:tcPr>
          <w:p>
            <w:pPr>
              <w:pStyle w:val="1088"/>
              <w:pBdr/>
              <w:spacing/>
              <w:ind/>
              <w:rPr/>
            </w:pPr>
            <w:r>
              <w:t xml:space="preserve">Telos / desired condition</w:t>
            </w:r>
            <w:r/>
          </w:p>
        </w:tc>
      </w:tr>
      <w:tr>
        <w:trPr>
          <w:cantSplit/>
        </w:trPr>
        <w:tc>
          <w:tcPr>
            <w:shd w:val="clear" w:color="auto" w:fill="ffffff"/>
            <w:tcBorders/>
            <w:tcMar>
              <w:left w:w="70" w:type="dxa"/>
              <w:top w:w="55" w:type="dxa"/>
              <w:right w:w="70" w:type="dxa"/>
              <w:bottom w:w="55" w:type="dxa"/>
            </w:tcMar>
            <w:tcW w:w="949" w:type="dxa"/>
            <w:vAlign w:val="top"/>
          </w:tcPr>
          <w:p>
            <w:pPr>
              <w:pStyle w:val="1088"/>
              <w:pBdr/>
              <w:spacing/>
              <w:ind/>
              <w:rPr/>
            </w:pPr>
            <w:r>
              <w:t xml:space="preserve">D15</w:t>
            </w:r>
            <w:r/>
          </w:p>
        </w:tc>
        <w:tc>
          <w:tcPr>
            <w:shd w:val="clear" w:color="auto" w:fill="ffffff"/>
            <w:tcBorders/>
            <w:tcMar>
              <w:left w:w="70" w:type="dxa"/>
              <w:top w:w="55" w:type="dxa"/>
              <w:right w:w="70" w:type="dxa"/>
              <w:bottom w:w="55" w:type="dxa"/>
            </w:tcMar>
            <w:tcW w:w="9057" w:type="dxa"/>
            <w:vAlign w:val="top"/>
          </w:tcPr>
          <w:p>
            <w:pPr>
              <w:pStyle w:val="1088"/>
              <w:pBdr/>
              <w:spacing/>
              <w:ind/>
              <w:rPr/>
            </w:pPr>
            <w:r>
              <w:t xml:space="preserve">World relation &amp; normative orientation</w:t>
            </w:r>
            <w:r/>
          </w:p>
        </w:tc>
      </w:tr>
    </w:tbl>
    <w:p>
      <w:pPr>
        <w:pStyle w:val="1097"/>
        <w:pBdr/>
        <w:spacing/>
        <w:ind/>
        <w:rPr/>
      </w:pPr>
      <w:r/>
      <w:r/>
    </w:p>
    <w:p>
      <w:pPr>
        <w:pStyle w:val="924"/>
        <w:keepNext w:val="true"/>
        <w:keepLines w:val="true"/>
        <w:pBdr/>
        <w:spacing/>
        <w:ind/>
        <w:rPr/>
      </w:pPr>
      <w:r/>
      <w:bookmarkStart w:id="23" w:name="s3_1_boundary_rules"/>
      <w:r>
        <w:t xml:space="preserve">3.1 High-risk boundary rules</w:t>
      </w:r>
      <w:bookmarkEnd w:id="23"/>
      <w:r/>
      <w:r/>
    </w:p>
    <w:p>
      <w:pPr>
        <w:pStyle w:val="1086"/>
        <w:keepNext w:val="true"/>
        <w:keepLines w:val="true"/>
        <w:pBdr/>
        <w:spacing/>
        <w:ind/>
        <w:rPr/>
      </w:pPr>
      <w:r/>
      <w:bookmarkStart w:id="24" w:name="tbl_domain_boundaries"/>
      <w:r>
        <w:t xml:space="preserve">Governing — Binding domain-boundary rules</w:t>
      </w:r>
      <w:bookmarkEnd w:id="24"/>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1680"/>
        <w:gridCol w:w="8326"/>
      </w:tblGrid>
      <w:tr>
        <w:trPr>
          <w:cantSplit/>
          <w:tblHeader/>
        </w:trPr>
        <w:tc>
          <w:tcPr>
            <w:shd w:val="clear" w:color="auto" w:fill="1f5d7a"/>
            <w:tcBorders/>
            <w:tcMar>
              <w:left w:w="70" w:type="dxa"/>
              <w:top w:w="55" w:type="dxa"/>
              <w:right w:w="70" w:type="dxa"/>
              <w:bottom w:w="55" w:type="dxa"/>
            </w:tcMar>
            <w:tcW w:w="1680" w:type="dxa"/>
            <w:vAlign w:val="top"/>
          </w:tcPr>
          <w:p>
            <w:pPr>
              <w:pStyle w:val="1087"/>
              <w:pBdr/>
              <w:spacing/>
              <w:ind/>
              <w:rPr/>
            </w:pPr>
            <w:r>
              <w:t xml:space="preserve">Boundary</w:t>
            </w:r>
            <w:r/>
          </w:p>
        </w:tc>
        <w:tc>
          <w:tcPr>
            <w:shd w:val="clear" w:color="auto" w:fill="1f5d7a"/>
            <w:tcBorders/>
            <w:tcMar>
              <w:left w:w="70" w:type="dxa"/>
              <w:top w:w="55" w:type="dxa"/>
              <w:right w:w="70" w:type="dxa"/>
              <w:bottom w:w="55" w:type="dxa"/>
            </w:tcMar>
            <w:tcW w:w="8326" w:type="dxa"/>
            <w:vAlign w:val="top"/>
          </w:tcPr>
          <w:p>
            <w:pPr>
              <w:pStyle w:val="1087"/>
              <w:pBdr/>
              <w:spacing/>
              <w:ind/>
              <w:rPr/>
            </w:pPr>
            <w:r>
              <w:t xml:space="preserve">Rule</w:t>
            </w:r>
            <w:r/>
          </w:p>
        </w:tc>
      </w:tr>
      <w:tr>
        <w:trPr>
          <w:cantSplit/>
        </w:trPr>
        <w:tc>
          <w:tcPr>
            <w:shd w:val="clear" w:color="auto" w:fill="ffffff"/>
            <w:tcBorders/>
            <w:tcMar>
              <w:left w:w="70" w:type="dxa"/>
              <w:top w:w="55" w:type="dxa"/>
              <w:right w:w="70" w:type="dxa"/>
              <w:bottom w:w="55" w:type="dxa"/>
            </w:tcMar>
            <w:tcW w:w="1680" w:type="dxa"/>
            <w:vAlign w:val="top"/>
          </w:tcPr>
          <w:p>
            <w:pPr>
              <w:pStyle w:val="1088"/>
              <w:pBdr/>
              <w:spacing/>
              <w:ind/>
              <w:rPr/>
            </w:pPr>
            <w:r>
              <w:t xml:space="preserve">D3 vs D6</w:t>
            </w:r>
            <w:r/>
          </w:p>
        </w:tc>
        <w:tc>
          <w:tcPr>
            <w:shd w:val="clear" w:color="auto" w:fill="ffffff"/>
            <w:tcBorders/>
            <w:tcMar>
              <w:left w:w="70" w:type="dxa"/>
              <w:top w:w="55" w:type="dxa"/>
              <w:right w:w="70" w:type="dxa"/>
              <w:bottom w:w="55" w:type="dxa"/>
            </w:tcMar>
            <w:tcW w:w="8326" w:type="dxa"/>
            <w:vAlign w:val="top"/>
          </w:tcPr>
          <w:p>
            <w:pPr>
              <w:pStyle w:val="1088"/>
              <w:pBdr/>
              <w:spacing/>
              <w:ind/>
              <w:rPr/>
            </w:pPr>
            <w:r>
              <w:t xml:space="preserve">D3 asks how categories/personhood/interiority are distributed across kinds of beings; D6 asks what constitutes self/personhood/identity within the bounded position.</w:t>
            </w:r>
            <w:r/>
          </w:p>
        </w:tc>
      </w:tr>
      <w:tr>
        <w:trPr>
          <w:cantSplit/>
        </w:trPr>
        <w:tc>
          <w:tcPr>
            <w:shd w:val="clear" w:color="auto" w:fill="f4f6f7"/>
            <w:tcBorders/>
            <w:tcMar>
              <w:left w:w="70" w:type="dxa"/>
              <w:top w:w="55" w:type="dxa"/>
              <w:right w:w="70" w:type="dxa"/>
              <w:bottom w:w="55" w:type="dxa"/>
            </w:tcMar>
            <w:tcW w:w="1680" w:type="dxa"/>
            <w:vAlign w:val="top"/>
          </w:tcPr>
          <w:p>
            <w:pPr>
              <w:pStyle w:val="1088"/>
              <w:pBdr/>
              <w:spacing/>
              <w:ind/>
              <w:rPr/>
            </w:pPr>
            <w:r>
              <w:t xml:space="preserve">D4 vs D6</w:t>
            </w:r>
            <w:r/>
          </w:p>
        </w:tc>
        <w:tc>
          <w:tcPr>
            <w:shd w:val="clear" w:color="auto" w:fill="f4f6f7"/>
            <w:tcBorders/>
            <w:tcMar>
              <w:left w:w="70" w:type="dxa"/>
              <w:top w:w="55" w:type="dxa"/>
              <w:right w:w="70" w:type="dxa"/>
              <w:bottom w:w="55" w:type="dxa"/>
            </w:tcMar>
            <w:tcW w:w="8326" w:type="dxa"/>
            <w:vAlign w:val="top"/>
          </w:tcPr>
          <w:p>
            <w:pPr>
              <w:pStyle w:val="1088"/>
              <w:pBdr/>
              <w:spacing/>
              <w:ind/>
              <w:rPr/>
            </w:pPr>
            <w:r>
              <w:t xml:space="preserve">D4 is human constitution and embodiment; D6 is self/personhood/identity. A body theory does not automatically settle personal identity.</w:t>
            </w:r>
            <w:r/>
          </w:p>
        </w:tc>
      </w:tr>
      <w:tr>
        <w:trPr>
          <w:cantSplit/>
        </w:trPr>
        <w:tc>
          <w:tcPr>
            <w:shd w:val="clear" w:color="auto" w:fill="ffffff"/>
            <w:tcBorders/>
            <w:tcMar>
              <w:left w:w="70" w:type="dxa"/>
              <w:top w:w="55" w:type="dxa"/>
              <w:right w:w="70" w:type="dxa"/>
              <w:bottom w:w="55" w:type="dxa"/>
            </w:tcMar>
            <w:tcW w:w="1680" w:type="dxa"/>
            <w:vAlign w:val="top"/>
          </w:tcPr>
          <w:p>
            <w:pPr>
              <w:pStyle w:val="1088"/>
              <w:pBdr/>
              <w:spacing/>
              <w:ind/>
              <w:rPr/>
            </w:pPr>
            <w:r>
              <w:t xml:space="preserve">D5 vs D6</w:t>
            </w:r>
            <w:r/>
          </w:p>
        </w:tc>
        <w:tc>
          <w:tcPr>
            <w:shd w:val="clear" w:color="auto" w:fill="ffffff"/>
            <w:tcBorders/>
            <w:tcMar>
              <w:left w:w="70" w:type="dxa"/>
              <w:top w:w="55" w:type="dxa"/>
              <w:right w:w="70" w:type="dxa"/>
              <w:bottom w:w="55" w:type="dxa"/>
            </w:tcMar>
            <w:tcW w:w="8326" w:type="dxa"/>
            <w:vAlign w:val="top"/>
          </w:tcPr>
          <w:p>
            <w:pPr>
              <w:pStyle w:val="1088"/>
              <w:pBdr/>
              <w:spacing/>
              <w:ind/>
              <w:rPr/>
            </w:pPr>
            <w:r>
              <w:t xml:space="preserve">Consciousness and personhood are never presumed coextensive.</w:t>
            </w:r>
            <w:r/>
          </w:p>
        </w:tc>
      </w:tr>
      <w:tr>
        <w:trPr>
          <w:cantSplit/>
        </w:trPr>
        <w:tc>
          <w:tcPr>
            <w:shd w:val="clear" w:color="auto" w:fill="ffffff"/>
            <w:tcBorders/>
            <w:tcMar>
              <w:left w:w="70" w:type="dxa"/>
              <w:top w:w="55" w:type="dxa"/>
              <w:right w:w="70" w:type="dxa"/>
              <w:bottom w:w="55" w:type="dxa"/>
            </w:tcMar>
            <w:tcW w:w="1680" w:type="dxa"/>
            <w:vAlign w:val="top"/>
          </w:tcPr>
          <w:p>
            <w:pPr>
              <w:pStyle w:val="1088"/>
              <w:pBdr/>
              <w:spacing/>
              <w:ind/>
              <w:rPr/>
            </w:pPr>
            <w:r>
              <w:t xml:space="preserve">D1/D5/D6 vs D7</w:t>
            </w:r>
            <w:r/>
          </w:p>
        </w:tc>
        <w:tc>
          <w:tcPr>
            <w:shd w:val="clear" w:color="auto" w:fill="ffffff"/>
            <w:tcBorders/>
            <w:tcMar>
              <w:left w:w="70" w:type="dxa"/>
              <w:top w:w="55" w:type="dxa"/>
              <w:right w:w="70" w:type="dxa"/>
              <w:bottom w:w="55" w:type="dxa"/>
            </w:tcMar>
            <w:tcW w:w="8326" w:type="dxa"/>
            <w:vAlign w:val="top"/>
          </w:tcPr>
          <w:p>
            <w:pPr>
              <w:pStyle w:val="1088"/>
              <w:pBdr/>
              <w:spacing/>
              <w:ind/>
              <w:rPr/>
            </w:pPr>
            <w:r>
              <w:t xml:space="preserve">Claims about ultimacy, mind, consciousness</w:t>
            </w:r>
            <w:r>
              <w:t xml:space="preserve">, self or subjecthood do not by themselves establish what can be known, who or what can know, or by what means. Ontological, consciousness and personhood claims remain separate from epistemic authority or access and require distinct source-grounded Claims.</w:t>
            </w:r>
            <w:r/>
          </w:p>
        </w:tc>
      </w:tr>
      <w:tr>
        <w:trPr>
          <w:cantSplit/>
        </w:trPr>
        <w:tc>
          <w:tcPr>
            <w:shd w:val="clear" w:color="auto" w:fill="ffffff"/>
            <w:tcBorders/>
            <w:tcMar>
              <w:left w:w="70" w:type="dxa"/>
              <w:top w:w="55" w:type="dxa"/>
              <w:right w:w="70" w:type="dxa"/>
              <w:bottom w:w="55" w:type="dxa"/>
            </w:tcMar>
            <w:tcW w:w="1680" w:type="dxa"/>
            <w:vAlign w:val="top"/>
          </w:tcPr>
          <w:p>
            <w:pPr>
              <w:pStyle w:val="1088"/>
              <w:pBdr/>
              <w:spacing/>
              <w:ind/>
              <w:rPr/>
            </w:pPr>
            <w:r>
              <w:t xml:space="preserve">D7 vs D12</w:t>
            </w:r>
            <w:r/>
          </w:p>
        </w:tc>
        <w:tc>
          <w:tcPr>
            <w:shd w:val="clear" w:color="auto" w:fill="ffffff"/>
            <w:tcBorders/>
            <w:tcMar>
              <w:left w:w="70" w:type="dxa"/>
              <w:top w:w="55" w:type="dxa"/>
              <w:right w:w="70" w:type="dxa"/>
              <w:bottom w:w="55" w:type="dxa"/>
            </w:tcMar>
            <w:tcW w:w="8326" w:type="dxa"/>
            <w:vAlign w:val="top"/>
          </w:tcPr>
          <w:p>
            <w:pPr>
              <w:pStyle w:val="1088"/>
              <w:pBdr/>
              <w:spacing/>
              <w:ind/>
              <w:rPr/>
            </w:pPr>
            <w:r>
              <w:t xml:space="preserve">D7 asks what can be known, by what means and </w:t>
            </w:r>
            <w:r>
              <w:t xml:space="preserve">under what authority; D12 asks what practices or processes transform understanding, character, status or mode of being. Transformative effect does not by itself establish epistemic warrant, and epistemic warrant does not by itself establish transformation.</w:t>
            </w:r>
            <w:r/>
          </w:p>
        </w:tc>
      </w:tr>
      <w:tr>
        <w:trPr>
          <w:cantSplit/>
        </w:trPr>
        <w:tc>
          <w:tcPr>
            <w:shd w:val="clear" w:color="auto" w:fill="ffffff"/>
            <w:tcBorders/>
            <w:tcMar>
              <w:left w:w="70" w:type="dxa"/>
              <w:top w:w="55" w:type="dxa"/>
              <w:right w:w="70" w:type="dxa"/>
              <w:bottom w:w="55" w:type="dxa"/>
            </w:tcMar>
            <w:tcW w:w="1680" w:type="dxa"/>
            <w:vAlign w:val="top"/>
          </w:tcPr>
          <w:p>
            <w:pPr>
              <w:pStyle w:val="1088"/>
              <w:pBdr/>
              <w:spacing/>
              <w:ind/>
              <w:rPr/>
            </w:pPr>
            <w:r>
              <w:t xml:space="preserve">D9 vs D7/D12</w:t>
            </w:r>
            <w:r/>
          </w:p>
        </w:tc>
        <w:tc>
          <w:tcPr>
            <w:shd w:val="clear" w:color="auto" w:fill="ffffff"/>
            <w:tcBorders/>
            <w:tcMar>
              <w:left w:w="70" w:type="dxa"/>
              <w:top w:w="55" w:type="dxa"/>
              <w:right w:w="70" w:type="dxa"/>
              <w:bottom w:w="55" w:type="dxa"/>
            </w:tcMar>
            <w:tcW w:w="8326" w:type="dxa"/>
            <w:vAlign w:val="top"/>
          </w:tcPr>
          <w:p>
            <w:pPr>
              <w:pStyle w:val="1088"/>
              <w:pBdr/>
              <w:spacing/>
              <w:ind/>
              <w:rPr/>
            </w:pPr>
            <w:r>
              <w:t xml:space="preserve">D9</w:t>
            </w:r>
            <w:r>
              <w:t xml:space="preserve"> diagnoses error, ignorance, disorder or predicament; D7 records epistemic authority or access, and D12 records transformative process. A diagnosis does not automatically supply a method of knowing or a remedy; each claimed link requires separate evidence.</w:t>
            </w:r>
            <w:r/>
          </w:p>
        </w:tc>
      </w:tr>
      <w:tr>
        <w:trPr>
          <w:cantSplit/>
        </w:trPr>
        <w:tc>
          <w:tcPr>
            <w:shd w:val="clear" w:color="auto" w:fill="f4f6f7"/>
            <w:tcBorders/>
            <w:tcMar>
              <w:left w:w="70" w:type="dxa"/>
              <w:top w:w="55" w:type="dxa"/>
              <w:right w:w="70" w:type="dxa"/>
              <w:bottom w:w="55" w:type="dxa"/>
            </w:tcMar>
            <w:tcW w:w="1680" w:type="dxa"/>
            <w:vAlign w:val="top"/>
          </w:tcPr>
          <w:p>
            <w:pPr>
              <w:pStyle w:val="1088"/>
              <w:pBdr/>
              <w:spacing/>
              <w:ind/>
              <w:rPr/>
            </w:pPr>
            <w:r>
              <w:t xml:space="preserve">D8 vs D14</w:t>
            </w:r>
            <w:r/>
          </w:p>
        </w:tc>
        <w:tc>
          <w:tcPr>
            <w:shd w:val="clear" w:color="auto" w:fill="f4f6f7"/>
            <w:tcBorders/>
            <w:tcMar>
              <w:left w:w="70" w:type="dxa"/>
              <w:top w:w="55" w:type="dxa"/>
              <w:right w:w="70" w:type="dxa"/>
              <w:bottom w:w="55" w:type="dxa"/>
            </w:tcMar>
            <w:tcW w:w="8326" w:type="dxa"/>
            <w:vAlign w:val="top"/>
          </w:tcPr>
          <w:p>
            <w:pPr>
              <w:pStyle w:val="1088"/>
              <w:pBdr/>
              <w:spacing/>
              <w:ind/>
              <w:rPr/>
            </w:pPr>
            <w:r>
              <w:t xml:space="preserve">D8 concerns value/meaning generally; D14 concerns a desired or culminating condition. A position may have values without a cosmic telos.</w:t>
            </w:r>
            <w:r/>
          </w:p>
        </w:tc>
      </w:tr>
      <w:tr>
        <w:trPr>
          <w:cantSplit/>
        </w:trPr>
        <w:tc>
          <w:tcPr>
            <w:shd w:val="clear" w:color="auto" w:fill="ffffff"/>
            <w:tcBorders/>
            <w:tcMar>
              <w:left w:w="70" w:type="dxa"/>
              <w:top w:w="55" w:type="dxa"/>
              <w:right w:w="70" w:type="dxa"/>
              <w:bottom w:w="55" w:type="dxa"/>
            </w:tcMar>
            <w:tcW w:w="1680" w:type="dxa"/>
            <w:vAlign w:val="top"/>
          </w:tcPr>
          <w:p>
            <w:pPr>
              <w:pStyle w:val="1088"/>
              <w:pBdr/>
              <w:spacing/>
              <w:ind/>
              <w:rPr/>
            </w:pPr>
            <w:r>
              <w:t xml:space="preserve">D10 vs D11</w:t>
            </w:r>
            <w:r/>
          </w:p>
        </w:tc>
        <w:tc>
          <w:tcPr>
            <w:shd w:val="clear" w:color="auto" w:fill="ffffff"/>
            <w:tcBorders/>
            <w:tcMar>
              <w:left w:w="70" w:type="dxa"/>
              <w:top w:w="55" w:type="dxa"/>
              <w:right w:w="70" w:type="dxa"/>
              <w:bottom w:w="55" w:type="dxa"/>
            </w:tcMar>
            <w:tcW w:w="8326" w:type="dxa"/>
            <w:vAlign w:val="top"/>
          </w:tcPr>
          <w:p>
            <w:pPr>
              <w:pStyle w:val="1088"/>
              <w:pBdr/>
              <w:spacing/>
              <w:ind/>
              <w:rPr/>
            </w:pPr>
            <w:r>
              <w:t xml:space="preserve">Causal/metaphysical order is distinct from agency/free will/responsibility. One does not automatically entail the other.</w:t>
            </w:r>
            <w:r/>
          </w:p>
        </w:tc>
      </w:tr>
      <w:tr>
        <w:trPr>
          <w:cantSplit/>
        </w:trPr>
        <w:tc>
          <w:tcPr>
            <w:shd w:val="clear" w:color="auto" w:fill="f4f6f7"/>
            <w:tcBorders/>
            <w:tcMar>
              <w:left w:w="70" w:type="dxa"/>
              <w:top w:w="55" w:type="dxa"/>
              <w:right w:w="70" w:type="dxa"/>
              <w:bottom w:w="55" w:type="dxa"/>
            </w:tcMar>
            <w:tcW w:w="1680" w:type="dxa"/>
            <w:vAlign w:val="top"/>
          </w:tcPr>
          <w:p>
            <w:pPr>
              <w:pStyle w:val="1088"/>
              <w:pBdr/>
              <w:spacing/>
              <w:ind/>
              <w:rPr/>
            </w:pPr>
            <w:r>
              <w:t xml:space="preserve">D12 vs D14</w:t>
            </w:r>
            <w:r/>
          </w:p>
        </w:tc>
        <w:tc>
          <w:tcPr>
            <w:shd w:val="clear" w:color="auto" w:fill="f4f6f7"/>
            <w:tcBorders/>
            <w:tcMar>
              <w:left w:w="70" w:type="dxa"/>
              <w:top w:w="55" w:type="dxa"/>
              <w:right w:w="70" w:type="dxa"/>
              <w:bottom w:w="55" w:type="dxa"/>
            </w:tcMar>
            <w:tcW w:w="8326" w:type="dxa"/>
            <w:vAlign w:val="top"/>
          </w:tcPr>
          <w:p>
            <w:pPr>
              <w:pStyle w:val="1088"/>
              <w:pBdr/>
              <w:spacing/>
              <w:ind/>
              <w:rPr/>
            </w:pPr>
            <w:r>
              <w:t xml:space="preserve">Praxis is process/practice; telos is a desired condition. Preparatory practice is not itself the final state.</w:t>
            </w:r>
            <w:r/>
          </w:p>
        </w:tc>
      </w:tr>
      <w:tr>
        <w:trPr>
          <w:cantSplit/>
        </w:trPr>
        <w:tc>
          <w:tcPr>
            <w:shd w:val="clear" w:color="auto" w:fill="ffffff"/>
            <w:tcBorders/>
            <w:tcMar>
              <w:left w:w="70" w:type="dxa"/>
              <w:top w:w="55" w:type="dxa"/>
              <w:right w:w="70" w:type="dxa"/>
              <w:bottom w:w="55" w:type="dxa"/>
            </w:tcMar>
            <w:tcW w:w="1680" w:type="dxa"/>
            <w:vAlign w:val="top"/>
          </w:tcPr>
          <w:p>
            <w:pPr>
              <w:pStyle w:val="1088"/>
              <w:pBdr/>
              <w:spacing/>
              <w:ind/>
              <w:rPr/>
            </w:pPr>
            <w:r>
              <w:t xml:space="preserve">D15 vs D8/D12</w:t>
            </w:r>
            <w:r/>
          </w:p>
        </w:tc>
        <w:tc>
          <w:tcPr>
            <w:shd w:val="clear" w:color="auto" w:fill="ffffff"/>
            <w:tcBorders/>
            <w:tcMar>
              <w:left w:w="70" w:type="dxa"/>
              <w:top w:w="55" w:type="dxa"/>
              <w:right w:w="70" w:type="dxa"/>
              <w:bottom w:w="55" w:type="dxa"/>
            </w:tcMar>
            <w:tcW w:w="8326" w:type="dxa"/>
            <w:vAlign w:val="top"/>
          </w:tcPr>
          <w:p>
            <w:pPr>
              <w:pStyle w:val="1088"/>
              <w:pBdr/>
              <w:spacing/>
              <w:ind/>
              <w:rPr/>
            </w:pPr>
            <w:r>
              <w:t xml:space="preserve">D15 captures normative relation to world/others/community; it must not duplicate general value theory or enumerate practices.</w:t>
            </w:r>
            <w:r/>
          </w:p>
        </w:tc>
      </w:tr>
    </w:tbl>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Cross-domain coupling rule</w:t>
            </w:r>
            <w:r/>
          </w:p>
          <w:p>
            <w:pPr>
              <w:pStyle w:val="1092"/>
              <w:pBdr/>
              <w:spacing/>
              <w:ind/>
              <w:rPr/>
            </w:pPr>
            <w:r>
              <w:t xml:space="preserve">A Position may connect or separate claims about reality, epistemic authority or acc</w:t>
            </w:r>
            <w:r>
              <w:t xml:space="preserve">ess, diagnosis and transformation, including claims about a knower, subject or equivalent role where these are source-relevant. Researchers MUST decompose any such architecture into atomic Claims and QuestionResponses under the applicable existing domains.</w:t>
            </w:r>
            <w:r/>
          </w:p>
          <w:p>
            <w:pPr>
              <w:pStyle w:val="1092"/>
              <w:pBdr/>
              <w:spacing/>
              <w:ind/>
              <w:rPr/>
            </w:pPr>
            <w:r>
              <w:t xml:space="preserve">A claimed link, such as transformation as a condition, consequence or constituent of knowing, must be source-grounded or recorded as an explicit Atlas infere</w:t>
            </w:r>
            <w:r>
              <w:t xml:space="preserve">nce with premises, direction, scope, defeaters and review. No such link is inferred from shared English terminology, textual sequence, a D5 consciousness claim, or the mere presence of contemplative, ritual, therapeutic, ethical or soteriological practice.</w:t>
            </w:r>
            <w:r/>
          </w:p>
          <w:p>
            <w:pPr>
              <w:pStyle w:val="1092"/>
              <w:pBdr/>
              <w:spacing/>
              <w:ind/>
              <w:rPr/>
            </w:pPr>
            <w:r>
              <w:t xml:space="preserve">Condition, consequence, constituent, separation and similar terms remain prose characte</w:t>
            </w:r>
            <w:r>
              <w:t xml:space="preserve">rizations, not controlled values. Where the Position denies, reframes, varies, leaves open or renders the distinction non-salient, preserve that result through the existing response states and CAT rather than forcing a directional or subject-bearing model.</w:t>
            </w:r>
            <w:r/>
          </w:p>
          <w:p>
            <w:pPr>
              <w:pStyle w:val="1097"/>
              <w:pBdr/>
              <w:spacing/>
              <w:ind/>
              <w:rPr/>
            </w:pPr>
            <w:r>
              <w:t xml:space="preserve">Implementation note: within one Position, encode the architecture through separate Claims, QuestionResponses, Arguments or derivations and sour</w:t>
            </w:r>
            <w:r>
              <w:t xml:space="preserve">ce links. Across Positions, compare the resulting claim structures through existing ComparisonEvents and relation types. Do not use ComparativeRelation as a substitute for an intra-Position claim, and do not use P5 or any D5 record as a proxy for D6 or D7.</w:t>
            </w:r>
            <w:r/>
          </w:p>
        </w:tc>
      </w:tr>
    </w:tbl>
    <w:p>
      <w:pPr>
        <w:pStyle w:val="1097"/>
        <w:pBdr/>
        <w:spacing/>
        <w:ind/>
        <w:rPr/>
      </w:pPr>
      <w:r/>
      <w:r/>
    </w:p>
    <w:p>
      <w:pPr>
        <w:pStyle w:val="923"/>
        <w:keepNext w:val="true"/>
        <w:keepLines w:val="true"/>
        <w:pBdr/>
        <w:spacing/>
        <w:ind/>
        <w:rPr/>
      </w:pPr>
      <w:r/>
      <w:bookmarkStart w:id="25" w:name="section_4_response_claim"/>
      <w:r>
        <w:t xml:space="preserve">4. QuestionResponse and claim semantics</w:t>
      </w:r>
      <w:bookmarkEnd w:id="25"/>
      <w:r/>
      <w:r/>
    </w:p>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One primary state plus optional CAT</w:t>
            </w:r>
            <w:r/>
          </w:p>
          <w:p>
            <w:pPr>
              <w:pStyle w:val="1092"/>
              <w:pBdr/>
              <w:spacing/>
              <w:ind/>
              <w:rPr/>
            </w:pPr>
            <w:r>
              <w:t xml:space="preserve">Every Position-by-question QuestionResponse MUST </w:t>
            </w:r>
            <w:r>
              <w:t xml:space="preserve">contain exactly one primary state: ANS, DEN, REF, NSA, VAR, UND, IND or INS. CAT is an orthogonal category-warning modifier and MAY accompany any primary state. CAT is never itself a primary state. Exact meanings and decision tests are governed in Annex A.</w:t>
            </w:r>
            <w:r/>
          </w:p>
        </w:tc>
      </w:tr>
    </w:tbl>
    <w:p>
      <w:pPr>
        <w:pStyle w:val="1097"/>
        <w:pBdr/>
        <w:spacing/>
        <w:ind/>
        <w:rPr/>
      </w:pPr>
      <w:r/>
      <w:r/>
    </w:p>
    <w:p>
      <w:pPr>
        <w:pStyle w:val="924"/>
        <w:keepNext w:val="true"/>
        <w:keepLines w:val="true"/>
        <w:pBdr/>
        <w:spacing/>
        <w:ind/>
        <w:rPr/>
      </w:pPr>
      <w:r/>
      <w:bookmarkStart w:id="26" w:name="s4_1_discrimination"/>
      <w:r>
        <w:t xml:space="preserve">4.1 Status discrimination order</w:t>
      </w:r>
      <w:bookmarkEnd w:id="26"/>
      <w:r/>
      <w:r/>
    </w:p>
    <w:p>
      <w:pPr>
        <w:pStyle w:val="1085"/>
        <w:keepLines w:val="false"/>
        <w:pBdr/>
        <w:spacing/>
        <w:ind/>
        <w:rPr/>
      </w:pPr>
      <w:r>
        <w:t xml:space="preserve">1. Evaluate category fit first. If Atlas framing distorts the source, attach CAT, record the warning scope and handling instruction, and continue to determine the primary state.</w:t>
      </w:r>
      <w:r/>
    </w:p>
    <w:p>
      <w:pPr>
        <w:pStyle w:val="1085"/>
        <w:keepLines w:val="false"/>
        <w:pBdr/>
        <w:spacing/>
        <w:ind/>
        <w:rPr/>
      </w:pPr>
      <w:r>
        <w:t xml:space="preserve">2. Test boundary adequacy before VAR. If materially different answers can be separately bounded, revise the boundary instead of using VAR for avoidable heterogeneity.</w:t>
      </w:r>
      <w:r/>
    </w:p>
    <w:p>
      <w:pPr>
        <w:pStyle w:val="1085"/>
        <w:keepLines w:val="false"/>
        <w:pBdr/>
        <w:spacing/>
        <w:ind/>
        <w:rPr/>
      </w:pPr>
      <w:r>
        <w:t xml:space="preserve">3. Use VAR only when plurality is constitutive of the adequately bounded unit; link competing subpositions or claims and the variation basis.</w:t>
      </w:r>
      <w:r/>
    </w:p>
    <w:p>
      <w:pPr>
        <w:pStyle w:val="1085"/>
        <w:keepLines w:val="false"/>
        <w:pBdr/>
        <w:spacing/>
        <w:ind/>
        <w:rPr/>
      </w:pPr>
      <w:r>
        <w:t xml:space="preserve">4. Use DEN when the Position explicitly rejects the question’s presupposition or answer class.</w:t>
      </w:r>
      <w:r/>
    </w:p>
    <w:p>
      <w:pPr>
        <w:pStyle w:val="1085"/>
        <w:keepLines w:val="false"/>
        <w:pBdr/>
        <w:spacing/>
        <w:ind/>
        <w:rPr/>
      </w:pPr>
      <w:r>
        <w:t xml:space="preserve">5. Use REF when the Position transforms the question into a materially different problem-space.</w:t>
      </w:r>
      <w:r/>
    </w:p>
    <w:p>
      <w:pPr>
        <w:pStyle w:val="1085"/>
        <w:keepLines w:val="false"/>
        <w:pBdr/>
        <w:spacing/>
        <w:ind/>
        <w:rPr/>
      </w:pPr>
      <w:r>
        <w:t xml:space="preserve">6. Use ANS when the Position gives a substantive answer.</w:t>
      </w:r>
      <w:r/>
    </w:p>
    <w:p>
      <w:pPr>
        <w:pStyle w:val="1085"/>
        <w:keepLines w:val="false"/>
        <w:pBdr/>
        <w:spacing/>
        <w:ind/>
        <w:rPr/>
      </w:pPr>
      <w:r>
        <w:t xml:space="preserve">7. Use NSA when the question is not structurally important to the bounded unit.</w:t>
      </w:r>
      <w:r/>
    </w:p>
    <w:p>
      <w:pPr>
        <w:pStyle w:val="1085"/>
        <w:keepLines w:val="false"/>
        <w:pBdr/>
        <w:spacing/>
        <w:ind/>
        <w:rPr/>
      </w:pPr>
      <w:r>
        <w:t xml:space="preserve">8. Use UND when evidence is adequate but the Position itself leaves the issue open.</w:t>
      </w:r>
      <w:r/>
    </w:p>
    <w:p>
      <w:pPr>
        <w:pStyle w:val="1085"/>
        <w:keepLines w:val="false"/>
        <w:pBdr/>
        <w:spacing/>
        <w:ind/>
        <w:rPr/>
      </w:pPr>
      <w:r>
        <w:t xml:space="preserve">9. Use IND when relevant evidence exists but stable interpretation cannot presently be established.</w:t>
      </w:r>
      <w:r/>
    </w:p>
    <w:p>
      <w:pPr>
        <w:pStyle w:val="1085"/>
        <w:keepLines w:val="false"/>
        <w:pBdr/>
        <w:spacing/>
        <w:ind/>
        <w:rPr/>
      </w:pPr>
      <w:r>
        <w:t xml:space="preserve">10. Use INS when the current evidence package is too weak or incomplete to decide.</w:t>
      </w:r>
      <w:r/>
    </w:p>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VAR admission rule</w:t>
            </w:r>
            <w:r/>
          </w:p>
          <w:p>
            <w:pPr>
              <w:pStyle w:val="1092"/>
              <w:pBdr/>
              <w:spacing/>
              <w:ind/>
              <w:rPr/>
            </w:pPr>
            <w:r>
              <w:t xml:space="preserve">Before assigning VAR, the researcher MUST test whether materially different answers should be represented as separate b</w:t>
            </w:r>
            <w:r>
              <w:t xml:space="preserve">ounded Positions or subpositions. VAR is permitted only when plurality is constitutive of the declared unit or the higher-level contested unit is itself the research object. Record the boundary assessment, variation basis and linked subpositions or claims.</w:t>
            </w:r>
            <w:r/>
          </w:p>
        </w:tc>
      </w:tr>
    </w:tbl>
    <w:p>
      <w:pPr>
        <w:pStyle w:val="1097"/>
        <w:pBdr/>
        <w:spacing/>
        <w:ind/>
        <w:rPr/>
      </w:pPr>
      <w:r/>
      <w:r/>
    </w:p>
    <w:p>
      <w:pPr>
        <w:pStyle w:val="1083"/>
        <w:keepLines w:val="false"/>
        <w:pBdr/>
        <w:spacing/>
        <w:ind/>
        <w:rPr/>
      </w:pPr>
      <w:r>
        <w:t xml:space="preserve">UND is a property of the bounded Position; INS is a property of the current evidence package. Better evidence may resolve INS. It cannot resolve UND without expanding or changing the Position under study.</w:t>
      </w:r>
      <w:r/>
    </w:p>
    <w:p>
      <w:pPr>
        <w:pStyle w:val="1083"/>
        <w:keepLines w:val="false"/>
        <w:pBdr/>
        <w:spacing/>
        <w:ind/>
        <w:rPr/>
      </w:pPr>
      <w:r>
        <w:t xml:space="preserve">REF describes what the Position does with the question. CAT warns that Atlas framing or translation risks distortion. REF+CAT, DEN+CAT and ANS+CAT are valid when supported.</w:t>
      </w:r>
      <w:r/>
    </w:p>
    <w:p>
      <w:pPr>
        <w:pStyle w:val="924"/>
        <w:keepNext w:val="true"/>
        <w:keepLines w:val="true"/>
        <w:pBdr/>
        <w:spacing/>
        <w:ind/>
        <w:rPr/>
      </w:pPr>
      <w:r/>
      <w:bookmarkStart w:id="27" w:name="s4_2_claim_semantics"/>
      <w:r>
        <w:t xml:space="preserve">4.2 Claim attachment and origin</w:t>
      </w:r>
      <w:bookmarkEnd w:id="27"/>
      <w:r/>
      <w:r/>
    </w:p>
    <w:p>
      <w:pPr>
        <w:pStyle w:val="1083"/>
        <w:keepLines w:val="false"/>
        <w:pBdr/>
        <w:spacing/>
        <w:ind/>
        <w:rPr/>
      </w:pPr>
      <w:r>
        <w:t xml:space="preserve">Claim attachment and claim origin are separate. Attachment records whether a claim is definitional, explicit, derived or con</w:t>
      </w:r>
      <w:r>
        <w:t xml:space="preserve">textual. Origin records whether the attribution is source-grounded or an Atlas inference. Logical compatibility is not an attachment class; a claim is not attributed merely because it is compatible with a Position. Exact controlled meanings are in Annex A.</w:t>
      </w:r>
      <w:r/>
    </w:p>
    <w:p>
      <w:pPr>
        <w:pStyle w:val="1084"/>
        <w:keepLines w:val="false"/>
        <w:pBdr/>
        <w:spacing/>
        <w:ind/>
        <w:rPr/>
      </w:pPr>
      <w:r>
        <w:t xml:space="preserve">• Definitional claims require a boundary rationale showing why removal would materially change the bounded Position.</w:t>
      </w:r>
      <w:r/>
    </w:p>
    <w:p>
      <w:pPr>
        <w:pStyle w:val="1084"/>
        <w:keepLines w:val="false"/>
        <w:pBdr/>
        <w:spacing/>
        <w:ind/>
        <w:rPr/>
      </w:pPr>
      <w:r>
        <w:t xml:space="preserve">• Derived claims require source-grounded premises and an explicit inference rationale; they are not presented as direct source assertion.</w:t>
      </w:r>
      <w:r/>
    </w:p>
    <w:p>
      <w:pPr>
        <w:pStyle w:val="1084"/>
        <w:keepLines w:val="false"/>
        <w:pBdr/>
        <w:spacing/>
        <w:ind/>
        <w:rPr/>
      </w:pPr>
      <w:r>
        <w:t xml:space="preserve">• Contextual claims cannot by themselves convert UND, NSA or INS into ANS for the bounded Position.</w:t>
      </w:r>
      <w:r/>
    </w:p>
    <w:p>
      <w:pPr>
        <w:pStyle w:val="1084"/>
        <w:keepLines w:val="false"/>
        <w:pBdr/>
        <w:spacing/>
        <w:ind/>
        <w:rPr/>
      </w:pPr>
      <w:r>
        <w:t xml:space="preserve">• Every upward aggregation from text or thinker to school or branch preserves attachment and scope; no default inheritance is allowed.</w:t>
      </w:r>
      <w:r/>
    </w:p>
    <w:p>
      <w:pPr>
        <w:pStyle w:val="1084"/>
        <w:keepLines w:val="false"/>
        <w:pBdr/>
        <w:spacing/>
        <w:ind/>
        <w:rPr/>
      </w:pPr>
      <w:r>
        <w:t xml:space="preserve">• Claim function and claim origin remain separate. A comparative claim function does not show whether the statement is source-grounded or Atlas-generated.</w:t>
      </w:r>
      <w:r/>
    </w:p>
    <w:p>
      <w:pPr>
        <w:pStyle w:val="1084"/>
        <w:keepLines w:val="false"/>
        <w:pBdr/>
        <w:spacing/>
        <w:ind/>
        <w:rPr/>
      </w:pPr>
      <w:r>
        <w:t xml:space="preserve">• PublicationClaim records do not replace Claim records; they make thesis-bearing publication inference explicit.</w:t>
      </w:r>
      <w:r/>
    </w:p>
    <w:p>
      <w:pPr>
        <w:pStyle w:val="923"/>
        <w:keepNext w:val="true"/>
        <w:keepLines w:val="true"/>
        <w:pBdr/>
        <w:spacing/>
        <w:ind/>
        <w:rPr/>
      </w:pPr>
      <w:r/>
      <w:bookmarkStart w:id="28" w:name="section_5_evidence"/>
      <w:r>
        <w:t xml:space="preserve">5. Evidence, provenance and concept control</w:t>
      </w:r>
      <w:bookmarkEnd w:id="28"/>
      <w:r/>
      <w:r/>
    </w:p>
    <w:p>
      <w:pPr>
        <w:pStyle w:val="924"/>
        <w:keepNext w:val="true"/>
        <w:keepLines w:val="true"/>
        <w:pBdr/>
        <w:spacing/>
        <w:ind/>
        <w:rPr/>
      </w:pPr>
      <w:r/>
      <w:bookmarkStart w:id="29" w:name="s5_1_source_fit"/>
      <w:r>
        <w:t xml:space="preserve">5.1 Source-fit evidence</w:t>
      </w:r>
      <w:bookmarkEnd w:id="29"/>
      <w:r/>
      <w:r/>
    </w:p>
    <w:p>
      <w:pPr>
        <w:pStyle w:val="1083"/>
        <w:keepLines w:val="false"/>
        <w:pBdr/>
        <w:spacing/>
        <w:ind/>
        <w:rPr/>
      </w:pPr>
      <w:r>
        <w:t xml:space="preserve">Evidence quality is evaluated relative to claim type. There is no universal source ladder across text, oral performance, ethnography, history, philosophy and science.</w:t>
      </w:r>
      <w:r/>
    </w:p>
    <w:p>
      <w:pPr>
        <w:pStyle w:val="1086"/>
        <w:keepNext w:val="true"/>
        <w:keepLines w:val="true"/>
        <w:pBdr/>
        <w:spacing/>
        <w:ind/>
        <w:rPr/>
      </w:pPr>
      <w:r/>
      <w:bookmarkStart w:id="30" w:name="tbl_source_fit"/>
      <w:r>
        <w:t xml:space="preserve">Governing — Source-fit evidence packages</w:t>
      </w:r>
      <w:bookmarkEnd w:id="30"/>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118"/>
        <w:gridCol w:w="4017"/>
        <w:gridCol w:w="3870"/>
      </w:tblGrid>
      <w:tr>
        <w:trPr>
          <w:cantSplit/>
          <w:tblHeader/>
        </w:trPr>
        <w:tc>
          <w:tcPr>
            <w:shd w:val="clear" w:color="auto" w:fill="1f5d7a"/>
            <w:tcBorders/>
            <w:tcMar>
              <w:left w:w="55" w:type="dxa"/>
              <w:top w:w="45" w:type="dxa"/>
              <w:right w:w="55" w:type="dxa"/>
              <w:bottom w:w="45" w:type="dxa"/>
            </w:tcMar>
            <w:tcW w:w="2118" w:type="dxa"/>
            <w:vAlign w:val="top"/>
          </w:tcPr>
          <w:p>
            <w:pPr>
              <w:pStyle w:val="1090"/>
              <w:pBdr/>
              <w:spacing/>
              <w:ind/>
              <w:rPr/>
            </w:pPr>
            <w:r>
              <w:t xml:space="preserve">Claim type</w:t>
            </w:r>
            <w:r/>
          </w:p>
        </w:tc>
        <w:tc>
          <w:tcPr>
            <w:shd w:val="clear" w:color="auto" w:fill="1f5d7a"/>
            <w:tcBorders/>
            <w:tcMar>
              <w:left w:w="55" w:type="dxa"/>
              <w:top w:w="45" w:type="dxa"/>
              <w:right w:w="55" w:type="dxa"/>
              <w:bottom w:w="45" w:type="dxa"/>
            </w:tcMar>
            <w:tcW w:w="4017" w:type="dxa"/>
            <w:vAlign w:val="top"/>
          </w:tcPr>
          <w:p>
            <w:pPr>
              <w:pStyle w:val="1090"/>
              <w:pBdr/>
              <w:spacing/>
              <w:ind/>
              <w:rPr/>
            </w:pPr>
            <w:r>
              <w:t xml:space="preserve">Preferred evidence package</w:t>
            </w:r>
            <w:r/>
          </w:p>
        </w:tc>
        <w:tc>
          <w:tcPr>
            <w:shd w:val="clear" w:color="auto" w:fill="1f5d7a"/>
            <w:tcBorders/>
            <w:tcMar>
              <w:left w:w="55" w:type="dxa"/>
              <w:top w:w="45" w:type="dxa"/>
              <w:right w:w="55" w:type="dxa"/>
              <w:bottom w:w="45" w:type="dxa"/>
            </w:tcMar>
            <w:tcW w:w="3870" w:type="dxa"/>
            <w:vAlign w:val="top"/>
          </w:tcPr>
          <w:p>
            <w:pPr>
              <w:pStyle w:val="1090"/>
              <w:pBdr/>
              <w:spacing/>
              <w:ind/>
              <w:rPr/>
            </w:pPr>
            <w:r>
              <w:t xml:space="preserve">Mandatory caution</w:t>
            </w:r>
            <w:r/>
          </w:p>
        </w:tc>
      </w:tr>
      <w:tr>
        <w:trPr>
          <w:cantSplit/>
        </w:trPr>
        <w:tc>
          <w:tcPr>
            <w:shd w:val="clear" w:color="auto" w:fill="ffffff"/>
            <w:tcBorders/>
            <w:tcMar>
              <w:left w:w="55" w:type="dxa"/>
              <w:top w:w="45" w:type="dxa"/>
              <w:right w:w="55" w:type="dxa"/>
              <w:bottom w:w="45" w:type="dxa"/>
            </w:tcMar>
            <w:tcW w:w="2118" w:type="dxa"/>
            <w:vAlign w:val="top"/>
          </w:tcPr>
          <w:p>
            <w:pPr>
              <w:pStyle w:val="1089"/>
              <w:pBdr/>
              <w:spacing/>
              <w:ind/>
              <w:rPr/>
            </w:pPr>
            <w:r>
              <w:t xml:space="preserve">Textual/doctrinal</w:t>
            </w:r>
            <w:r/>
          </w:p>
        </w:tc>
        <w:tc>
          <w:tcPr>
            <w:shd w:val="clear" w:color="auto" w:fill="ffffff"/>
            <w:tcBorders/>
            <w:tcMar>
              <w:left w:w="55" w:type="dxa"/>
              <w:top w:w="45" w:type="dxa"/>
              <w:right w:w="55" w:type="dxa"/>
              <w:bottom w:w="45" w:type="dxa"/>
            </w:tcMar>
            <w:tcW w:w="4017" w:type="dxa"/>
            <w:vAlign w:val="top"/>
          </w:tcPr>
          <w:p>
            <w:pPr>
              <w:pStyle w:val="1089"/>
              <w:pBdr/>
              <w:spacing/>
              <w:ind/>
              <w:rPr/>
            </w:pPr>
            <w:r>
              <w:t xml:space="preserve">Critical edition/source-near witness; primary text/oral record; specialist translation/commentary</w:t>
            </w:r>
            <w:r/>
          </w:p>
        </w:tc>
        <w:tc>
          <w:tcPr>
            <w:shd w:val="clear" w:color="auto" w:fill="ffffff"/>
            <w:tcBorders/>
            <w:tcMar>
              <w:left w:w="55" w:type="dxa"/>
              <w:top w:w="45" w:type="dxa"/>
              <w:right w:w="55" w:type="dxa"/>
              <w:bottom w:w="45" w:type="dxa"/>
            </w:tcMar>
            <w:tcW w:w="3870" w:type="dxa"/>
            <w:vAlign w:val="top"/>
          </w:tcPr>
          <w:p>
            <w:pPr>
              <w:pStyle w:val="1089"/>
              <w:pBdr/>
              <w:spacing/>
              <w:ind/>
              <w:rPr/>
            </w:pPr>
            <w:r>
              <w:t xml:space="preserve">Original language/locator where possible; record redaction, dating, manuscript, recension and translation disputes.</w:t>
            </w:r>
            <w:r/>
          </w:p>
        </w:tc>
      </w:tr>
      <w:tr>
        <w:trPr>
          <w:cantSplit/>
        </w:trPr>
        <w:tc>
          <w:tcPr>
            <w:shd w:val="clear" w:color="auto" w:fill="f4f6f7"/>
            <w:tcBorders/>
            <w:tcMar>
              <w:left w:w="55" w:type="dxa"/>
              <w:top w:w="45" w:type="dxa"/>
              <w:right w:w="55" w:type="dxa"/>
              <w:bottom w:w="45" w:type="dxa"/>
            </w:tcMar>
            <w:tcW w:w="2118" w:type="dxa"/>
            <w:vAlign w:val="top"/>
          </w:tcPr>
          <w:p>
            <w:pPr>
              <w:pStyle w:val="1089"/>
              <w:pBdr/>
              <w:spacing/>
              <w:ind/>
              <w:rPr/>
            </w:pPr>
            <w:r>
              <w:t xml:space="preserve">Historical development/influence</w:t>
            </w:r>
            <w:r/>
          </w:p>
        </w:tc>
        <w:tc>
          <w:tcPr>
            <w:shd w:val="clear" w:color="auto" w:fill="f4f6f7"/>
            <w:tcBorders/>
            <w:tcMar>
              <w:left w:w="55" w:type="dxa"/>
              <w:top w:w="45" w:type="dxa"/>
              <w:right w:w="55" w:type="dxa"/>
              <w:bottom w:w="45" w:type="dxa"/>
            </w:tcMar>
            <w:tcW w:w="4017" w:type="dxa"/>
            <w:vAlign w:val="top"/>
          </w:tcPr>
          <w:p>
            <w:pPr>
              <w:pStyle w:val="1089"/>
              <w:pBdr/>
              <w:spacing/>
              <w:ind/>
              <w:rPr/>
            </w:pPr>
            <w:r>
              <w:t xml:space="preserve">Primary historical evidence + specialist historical scholarship</w:t>
            </w:r>
            <w:r/>
          </w:p>
        </w:tc>
        <w:tc>
          <w:tcPr>
            <w:shd w:val="clear" w:color="auto" w:fill="f4f6f7"/>
            <w:tcBorders/>
            <w:tcMar>
              <w:left w:w="55" w:type="dxa"/>
              <w:top w:w="45" w:type="dxa"/>
              <w:right w:w="55" w:type="dxa"/>
              <w:bottom w:w="45" w:type="dxa"/>
            </w:tcMar>
            <w:tcW w:w="3870" w:type="dxa"/>
            <w:vAlign w:val="top"/>
          </w:tcPr>
          <w:p>
            <w:pPr>
              <w:pStyle w:val="1089"/>
              <w:pBdr/>
              <w:spacing/>
              <w:ind/>
              <w:rPr/>
            </w:pPr>
            <w:r>
              <w:t xml:space="preserve">Similarity is never evidence of transmission by itself.</w:t>
            </w:r>
            <w:r/>
          </w:p>
        </w:tc>
      </w:tr>
      <w:tr>
        <w:trPr>
          <w:cantSplit/>
        </w:trPr>
        <w:tc>
          <w:tcPr>
            <w:shd w:val="clear" w:color="auto" w:fill="ffffff"/>
            <w:tcBorders/>
            <w:tcMar>
              <w:left w:w="55" w:type="dxa"/>
              <w:top w:w="45" w:type="dxa"/>
              <w:right w:w="55" w:type="dxa"/>
              <w:bottom w:w="45" w:type="dxa"/>
            </w:tcMar>
            <w:tcW w:w="2118" w:type="dxa"/>
            <w:vAlign w:val="top"/>
          </w:tcPr>
          <w:p>
            <w:pPr>
              <w:pStyle w:val="1089"/>
              <w:pBdr/>
              <w:spacing/>
              <w:ind/>
              <w:rPr/>
            </w:pPr>
            <w:r>
              <w:t xml:space="preserve">Lived worldview or practice</w:t>
            </w:r>
            <w:r/>
          </w:p>
        </w:tc>
        <w:tc>
          <w:tcPr>
            <w:shd w:val="clear" w:color="auto" w:fill="ffffff"/>
            <w:tcBorders/>
            <w:tcMar>
              <w:left w:w="55" w:type="dxa"/>
              <w:top w:w="45" w:type="dxa"/>
              <w:right w:w="55" w:type="dxa"/>
              <w:bottom w:w="45" w:type="dxa"/>
            </w:tcMar>
            <w:tcW w:w="4017" w:type="dxa"/>
            <w:vAlign w:val="top"/>
          </w:tcPr>
          <w:p>
            <w:pPr>
              <w:pStyle w:val="1089"/>
              <w:pBdr/>
              <w:spacing/>
              <w:ind/>
              <w:rPr/>
            </w:pPr>
            <w:r>
              <w:t xml:space="preserve">Ethnography, sociology, oral history, community scholarship/voices</w:t>
            </w:r>
            <w:r/>
          </w:p>
        </w:tc>
        <w:tc>
          <w:tcPr>
            <w:shd w:val="clear" w:color="auto" w:fill="ffffff"/>
            <w:tcBorders/>
            <w:tcMar>
              <w:left w:w="55" w:type="dxa"/>
              <w:top w:w="45" w:type="dxa"/>
              <w:right w:w="55" w:type="dxa"/>
              <w:bottom w:w="45" w:type="dxa"/>
            </w:tcMar>
            <w:tcW w:w="3870" w:type="dxa"/>
            <w:vAlign w:val="top"/>
          </w:tcPr>
          <w:p>
            <w:pPr>
              <w:pStyle w:val="1089"/>
              <w:pBdr/>
              <w:spacing/>
              <w:ind/>
              <w:rPr/>
            </w:pPr>
            <w:r>
              <w:t xml:space="preserve">Do not infer lived practice from normative texts alone.</w:t>
            </w:r>
            <w:r/>
          </w:p>
        </w:tc>
      </w:tr>
      <w:tr>
        <w:trPr>
          <w:cantSplit/>
        </w:trPr>
        <w:tc>
          <w:tcPr>
            <w:shd w:val="clear" w:color="auto" w:fill="f4f6f7"/>
            <w:tcBorders/>
            <w:tcMar>
              <w:left w:w="55" w:type="dxa"/>
              <w:top w:w="45" w:type="dxa"/>
              <w:right w:w="55" w:type="dxa"/>
              <w:bottom w:w="45" w:type="dxa"/>
            </w:tcMar>
            <w:tcW w:w="2118" w:type="dxa"/>
            <w:vAlign w:val="top"/>
          </w:tcPr>
          <w:p>
            <w:pPr>
              <w:pStyle w:val="1089"/>
              <w:pBdr/>
              <w:spacing/>
              <w:ind/>
              <w:rPr/>
            </w:pPr>
            <w:r>
              <w:t xml:space="preserve">Indigenous/local ontology</w:t>
            </w:r>
            <w:r/>
          </w:p>
        </w:tc>
        <w:tc>
          <w:tcPr>
            <w:shd w:val="clear" w:color="auto" w:fill="f4f6f7"/>
            <w:tcBorders/>
            <w:tcMar>
              <w:left w:w="55" w:type="dxa"/>
              <w:top w:w="45" w:type="dxa"/>
              <w:right w:w="55" w:type="dxa"/>
              <w:bottom w:w="45" w:type="dxa"/>
            </w:tcMar>
            <w:tcW w:w="4017" w:type="dxa"/>
            <w:vAlign w:val="top"/>
          </w:tcPr>
          <w:p>
            <w:pPr>
              <w:pStyle w:val="1089"/>
              <w:pBdr/>
              <w:spacing/>
              <w:ind/>
              <w:rPr/>
            </w:pPr>
            <w:r>
              <w:t xml:space="preserve">Source-community scholarship/voice where available + rigorous ethnography + linguistic/contextual evidence</w:t>
            </w:r>
            <w:r/>
          </w:p>
        </w:tc>
        <w:tc>
          <w:tcPr>
            <w:shd w:val="clear" w:color="auto" w:fill="f4f6f7"/>
            <w:tcBorders/>
            <w:tcMar>
              <w:left w:w="55" w:type="dxa"/>
              <w:top w:w="45" w:type="dxa"/>
              <w:right w:w="55" w:type="dxa"/>
              <w:bottom w:w="45" w:type="dxa"/>
            </w:tcMar>
            <w:tcW w:w="3870" w:type="dxa"/>
            <w:vAlign w:val="top"/>
          </w:tcPr>
          <w:p>
            <w:pPr>
              <w:pStyle w:val="1089"/>
              <w:pBdr/>
              <w:spacing/>
              <w:ind/>
              <w:rPr/>
            </w:pPr>
            <w:r>
              <w:t xml:space="preserve">Record cultural authority, access/rights, researcher mediation and disagreement; never aggregate a generic Indigenous worldview or unbounded Position.</w:t>
            </w:r>
            <w:r/>
          </w:p>
        </w:tc>
      </w:tr>
      <w:tr>
        <w:trPr>
          <w:cantSplit/>
        </w:trPr>
        <w:tc>
          <w:tcPr>
            <w:shd w:val="clear" w:color="auto" w:fill="ffffff"/>
            <w:tcBorders/>
            <w:tcMar>
              <w:left w:w="55" w:type="dxa"/>
              <w:top w:w="45" w:type="dxa"/>
              <w:right w:w="55" w:type="dxa"/>
              <w:bottom w:w="45" w:type="dxa"/>
            </w:tcMar>
            <w:tcW w:w="2118" w:type="dxa"/>
            <w:vAlign w:val="top"/>
          </w:tcPr>
          <w:p>
            <w:pPr>
              <w:pStyle w:val="1089"/>
              <w:pBdr/>
              <w:spacing/>
              <w:ind/>
              <w:rPr/>
            </w:pPr>
            <w:r>
              <w:t xml:space="preserve">Philosophical argument</w:t>
            </w:r>
            <w:r/>
          </w:p>
        </w:tc>
        <w:tc>
          <w:tcPr>
            <w:shd w:val="clear" w:color="auto" w:fill="ffffff"/>
            <w:tcBorders/>
            <w:tcMar>
              <w:left w:w="55" w:type="dxa"/>
              <w:top w:w="45" w:type="dxa"/>
              <w:right w:w="55" w:type="dxa"/>
              <w:bottom w:w="45" w:type="dxa"/>
            </w:tcMar>
            <w:tcW w:w="4017" w:type="dxa"/>
            <w:vAlign w:val="top"/>
          </w:tcPr>
          <w:p>
            <w:pPr>
              <w:pStyle w:val="1089"/>
              <w:pBdr/>
              <w:spacing/>
              <w:ind/>
              <w:rPr/>
            </w:pPr>
            <w:r>
              <w:t xml:space="preserve">Primary philosophical source + specialist interpretation + explicit argument reconstruction</w:t>
            </w:r>
            <w:r/>
          </w:p>
        </w:tc>
        <w:tc>
          <w:tcPr>
            <w:shd w:val="clear" w:color="auto" w:fill="ffffff"/>
            <w:tcBorders/>
            <w:tcMar>
              <w:left w:w="55" w:type="dxa"/>
              <w:top w:w="45" w:type="dxa"/>
              <w:right w:w="55" w:type="dxa"/>
              <w:bottom w:w="45" w:type="dxa"/>
            </w:tcMar>
            <w:tcW w:w="3870" w:type="dxa"/>
            <w:vAlign w:val="top"/>
          </w:tcPr>
          <w:p>
            <w:pPr>
              <w:pStyle w:val="1089"/>
              <w:pBdr/>
              <w:spacing/>
              <w:ind/>
              <w:rPr/>
            </w:pPr>
            <w:r>
              <w:t xml:space="preserve">Separate attribution from assessment of whether the argument succeeds.</w:t>
            </w:r>
            <w:r/>
          </w:p>
        </w:tc>
      </w:tr>
      <w:tr>
        <w:trPr>
          <w:cantSplit/>
        </w:trPr>
        <w:tc>
          <w:tcPr>
            <w:shd w:val="clear" w:color="auto" w:fill="f4f6f7"/>
            <w:tcBorders/>
            <w:tcMar>
              <w:left w:w="55" w:type="dxa"/>
              <w:top w:w="45" w:type="dxa"/>
              <w:right w:w="55" w:type="dxa"/>
              <w:bottom w:w="45" w:type="dxa"/>
            </w:tcMar>
            <w:tcW w:w="2118" w:type="dxa"/>
            <w:vAlign w:val="top"/>
          </w:tcPr>
          <w:p>
            <w:pPr>
              <w:pStyle w:val="1089"/>
              <w:pBdr/>
              <w:spacing/>
              <w:ind/>
              <w:rPr/>
            </w:pPr>
            <w:r>
              <w:t xml:space="preserve">Phenomenological report</w:t>
            </w:r>
            <w:r/>
          </w:p>
        </w:tc>
        <w:tc>
          <w:tcPr>
            <w:shd w:val="clear" w:color="auto" w:fill="f4f6f7"/>
            <w:tcBorders/>
            <w:tcMar>
              <w:left w:w="55" w:type="dxa"/>
              <w:top w:w="45" w:type="dxa"/>
              <w:right w:w="55" w:type="dxa"/>
              <w:bottom w:w="45" w:type="dxa"/>
            </w:tcMar>
            <w:tcW w:w="4017" w:type="dxa"/>
            <w:vAlign w:val="top"/>
          </w:tcPr>
          <w:p>
            <w:pPr>
              <w:pStyle w:val="1089"/>
              <w:pBdr/>
              <w:spacing/>
              <w:ind/>
              <w:rPr/>
            </w:pPr>
            <w:r>
              <w:t xml:space="preserve">First-person/ethnographic report + context + interpretive scholarship</w:t>
            </w:r>
            <w:r/>
          </w:p>
        </w:tc>
        <w:tc>
          <w:tcPr>
            <w:shd w:val="clear" w:color="auto" w:fill="f4f6f7"/>
            <w:tcBorders/>
            <w:tcMar>
              <w:left w:w="55" w:type="dxa"/>
              <w:top w:w="45" w:type="dxa"/>
              <w:right w:w="55" w:type="dxa"/>
              <w:bottom w:w="45" w:type="dxa"/>
            </w:tcMar>
            <w:tcW w:w="3870" w:type="dxa"/>
            <w:vAlign w:val="top"/>
          </w:tcPr>
          <w:p>
            <w:pPr>
              <w:pStyle w:val="1089"/>
              <w:pBdr/>
              <w:spacing/>
              <w:ind/>
              <w:rPr/>
            </w:pPr>
            <w:r>
              <w:t xml:space="preserve">Experience report is not automatic proof of its metaphysical interpretation.</w:t>
            </w:r>
            <w:r/>
          </w:p>
        </w:tc>
      </w:tr>
      <w:tr>
        <w:trPr>
          <w:cantSplit/>
        </w:trPr>
        <w:tc>
          <w:tcPr>
            <w:shd w:val="clear" w:color="auto" w:fill="ffffff"/>
            <w:tcBorders/>
            <w:tcMar>
              <w:left w:w="55" w:type="dxa"/>
              <w:top w:w="45" w:type="dxa"/>
              <w:right w:w="55" w:type="dxa"/>
              <w:bottom w:w="45" w:type="dxa"/>
            </w:tcMar>
            <w:tcW w:w="2118" w:type="dxa"/>
            <w:vAlign w:val="top"/>
          </w:tcPr>
          <w:p>
            <w:pPr>
              <w:pStyle w:val="1089"/>
              <w:pBdr/>
              <w:spacing/>
              <w:ind/>
              <w:rPr/>
            </w:pPr>
            <w:r>
              <w:t xml:space="preserve">Scientific/empirical</w:t>
            </w:r>
            <w:r/>
          </w:p>
        </w:tc>
        <w:tc>
          <w:tcPr>
            <w:shd w:val="clear" w:color="auto" w:fill="ffffff"/>
            <w:tcBorders/>
            <w:tcMar>
              <w:left w:w="55" w:type="dxa"/>
              <w:top w:w="45" w:type="dxa"/>
              <w:right w:w="55" w:type="dxa"/>
              <w:bottom w:w="45" w:type="dxa"/>
            </w:tcMar>
            <w:tcW w:w="4017" w:type="dxa"/>
            <w:vAlign w:val="top"/>
          </w:tcPr>
          <w:p>
            <w:pPr>
              <w:pStyle w:val="1089"/>
              <w:pBdr/>
              <w:spacing/>
              <w:ind/>
              <w:rPr/>
            </w:pPr>
            <w:r>
              <w:t xml:space="preserve">Peer-reviewed studies/reviews; authoritative datasets/consensus statements</w:t>
            </w:r>
            <w:r/>
          </w:p>
        </w:tc>
        <w:tc>
          <w:tcPr>
            <w:shd w:val="clear" w:color="auto" w:fill="ffffff"/>
            <w:tcBorders/>
            <w:tcMar>
              <w:left w:w="55" w:type="dxa"/>
              <w:top w:w="45" w:type="dxa"/>
              <w:right w:w="55" w:type="dxa"/>
              <w:bottom w:w="45" w:type="dxa"/>
            </w:tcMar>
            <w:tcW w:w="3870" w:type="dxa"/>
            <w:vAlign w:val="top"/>
          </w:tcPr>
          <w:p>
            <w:pPr>
              <w:pStyle w:val="1089"/>
              <w:pBdr/>
              <w:spacing/>
              <w:ind/>
              <w:rPr/>
            </w:pPr>
            <w:r>
              <w:t xml:space="preserve">Keep empirical result distinct from metaphysical extrapolation.</w:t>
            </w:r>
            <w:r/>
          </w:p>
        </w:tc>
      </w:tr>
      <w:tr>
        <w:trPr>
          <w:cantSplit/>
        </w:trPr>
        <w:tc>
          <w:tcPr>
            <w:shd w:val="clear" w:color="auto" w:fill="f4f6f7"/>
            <w:tcBorders/>
            <w:tcMar>
              <w:left w:w="55" w:type="dxa"/>
              <w:top w:w="45" w:type="dxa"/>
              <w:right w:w="55" w:type="dxa"/>
              <w:bottom w:w="45" w:type="dxa"/>
            </w:tcMar>
            <w:tcW w:w="2118" w:type="dxa"/>
            <w:vAlign w:val="top"/>
          </w:tcPr>
          <w:p>
            <w:pPr>
              <w:pStyle w:val="1089"/>
              <w:pBdr/>
              <w:spacing/>
              <w:ind/>
              <w:rPr/>
            </w:pPr>
            <w:r>
              <w:t xml:space="preserve">Contemporary position</w:t>
            </w:r>
            <w:r/>
          </w:p>
        </w:tc>
        <w:tc>
          <w:tcPr>
            <w:shd w:val="clear" w:color="auto" w:fill="f4f6f7"/>
            <w:tcBorders/>
            <w:tcMar>
              <w:left w:w="55" w:type="dxa"/>
              <w:top w:w="45" w:type="dxa"/>
              <w:right w:w="55" w:type="dxa"/>
              <w:bottom w:w="45" w:type="dxa"/>
            </w:tcMar>
            <w:tcW w:w="4017" w:type="dxa"/>
            <w:vAlign w:val="top"/>
          </w:tcPr>
          <w:p>
            <w:pPr>
              <w:pStyle w:val="1089"/>
              <w:pBdr/>
              <w:spacing/>
              <w:ind/>
              <w:rPr/>
            </w:pPr>
            <w:r>
              <w:t xml:space="preserve">Recent primary publications + current specialist literature</w:t>
            </w:r>
            <w:r/>
          </w:p>
        </w:tc>
        <w:tc>
          <w:tcPr>
            <w:shd w:val="clear" w:color="auto" w:fill="f4f6f7"/>
            <w:tcBorders/>
            <w:tcMar>
              <w:left w:w="55" w:type="dxa"/>
              <w:top w:w="45" w:type="dxa"/>
              <w:right w:w="55" w:type="dxa"/>
              <w:bottom w:w="45" w:type="dxa"/>
            </w:tcMar>
            <w:tcW w:w="3870" w:type="dxa"/>
            <w:vAlign w:val="top"/>
          </w:tcPr>
          <w:p>
            <w:pPr>
              <w:pStyle w:val="1089"/>
              <w:pBdr/>
              <w:spacing/>
              <w:ind/>
              <w:rPr/>
            </w:pPr>
            <w:r>
              <w:t xml:space="preserve">Version/date profiles; contemporary positions can change rapidly.</w:t>
            </w:r>
            <w:r/>
          </w:p>
        </w:tc>
      </w:tr>
    </w:tbl>
    <w:p>
      <w:pPr>
        <w:pStyle w:val="1097"/>
        <w:pBdr/>
        <w:spacing/>
        <w:ind/>
        <w:rPr/>
      </w:pPr>
      <w:r/>
      <w:r/>
    </w:p>
    <w:p>
      <w:pPr>
        <w:pStyle w:val="924"/>
        <w:keepNext w:val="true"/>
        <w:keepLines w:val="true"/>
        <w:pBdr/>
        <w:spacing/>
        <w:ind/>
        <w:rPr/>
      </w:pPr>
      <w:r/>
      <w:bookmarkStart w:id="31" w:name="s5_2_source_fields"/>
      <w:r>
        <w:t xml:space="preserve">5.2 Orthogonal source and epistemic fields</w:t>
      </w:r>
      <w:bookmarkEnd w:id="31"/>
      <w:r/>
      <w:r/>
    </w:p>
    <w:p>
      <w:pPr>
        <w:pStyle w:val="1083"/>
        <w:keepLines w:val="false"/>
        <w:pBdr/>
        <w:spacing/>
        <w:ind/>
        <w:rPr/>
      </w:pPr>
      <w:r>
        <w:t xml:space="preserve">Source proximity</w:t>
      </w:r>
      <w:r>
        <w:t xml:space="preserve">, source form, authority relation and claim-specific evidence role are independent dimensions. A SourceRecord is not forced into one exclusive class when several forms or authority relations materially apply. Evidence role belongs on the EvidenceLink, beca</w:t>
      </w:r>
      <w:r>
        <w:t xml:space="preserve">use it is claim-specific. Claim function, confidence, scholarly status, evidence completeness, interpretive dependence, attachment, origin and representation readiness remain separate fields; Annex A governs their values and Annex B their record placement.</w:t>
      </w:r>
      <w:r/>
    </w:p>
    <w:p>
      <w:pPr>
        <w:pStyle w:val="924"/>
        <w:keepNext w:val="true"/>
        <w:keepLines w:val="true"/>
        <w:pBdr/>
        <w:spacing/>
        <w:ind/>
        <w:rPr/>
      </w:pPr>
      <w:r/>
      <w:bookmarkStart w:id="32" w:name="s5_3_locators"/>
      <w:r>
        <w:t xml:space="preserve">5.3 Exact locators and traceability</w:t>
      </w:r>
      <w:bookmarkEnd w:id="32"/>
      <w:r/>
      <w:r/>
    </w:p>
    <w:p>
      <w:pPr>
        <w:pStyle w:val="1086"/>
        <w:keepNext w:val="true"/>
        <w:keepLines w:val="true"/>
        <w:pBdr/>
        <w:spacing/>
        <w:ind/>
        <w:rPr/>
      </w:pPr>
      <w:r/>
      <w:bookmarkStart w:id="33" w:name="tbl_locator_standard"/>
      <w:r>
        <w:t xml:space="preserve">Governing — Minimum human-verifiable locator by evidence form</w:t>
      </w:r>
      <w:bookmarkEnd w:id="33"/>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921"/>
        <w:gridCol w:w="7085"/>
      </w:tblGrid>
      <w:tr>
        <w:trPr>
          <w:cantSplit/>
          <w:tblHeader/>
        </w:trPr>
        <w:tc>
          <w:tcPr>
            <w:shd w:val="clear" w:color="auto" w:fill="1f5d7a"/>
            <w:tcBorders/>
            <w:tcMar>
              <w:left w:w="70" w:type="dxa"/>
              <w:top w:w="55" w:type="dxa"/>
              <w:right w:w="70" w:type="dxa"/>
              <w:bottom w:w="55" w:type="dxa"/>
            </w:tcMar>
            <w:tcW w:w="2921" w:type="dxa"/>
            <w:vAlign w:val="top"/>
          </w:tcPr>
          <w:p>
            <w:pPr>
              <w:pStyle w:val="1087"/>
              <w:pBdr/>
              <w:spacing/>
              <w:ind/>
              <w:rPr/>
            </w:pPr>
            <w:r>
              <w:t xml:space="preserve">Evidence type</w:t>
            </w:r>
            <w:r/>
          </w:p>
        </w:tc>
        <w:tc>
          <w:tcPr>
            <w:shd w:val="clear" w:color="auto" w:fill="1f5d7a"/>
            <w:tcBorders/>
            <w:tcMar>
              <w:left w:w="70" w:type="dxa"/>
              <w:top w:w="55" w:type="dxa"/>
              <w:right w:w="70" w:type="dxa"/>
              <w:bottom w:w="55" w:type="dxa"/>
            </w:tcMar>
            <w:tcW w:w="7085" w:type="dxa"/>
            <w:vAlign w:val="top"/>
          </w:tcPr>
          <w:p>
            <w:pPr>
              <w:pStyle w:val="1087"/>
              <w:pBdr/>
              <w:spacing/>
              <w:ind/>
              <w:rPr/>
            </w:pPr>
            <w:r>
              <w:t xml:space="preserve">Minimum locator</w:t>
            </w:r>
            <w:r/>
          </w:p>
        </w:tc>
      </w:tr>
      <w:tr>
        <w:trPr>
          <w:cantSplit/>
        </w:trPr>
        <w:tc>
          <w:tcPr>
            <w:shd w:val="clear" w:color="auto" w:fill="ffffff"/>
            <w:tcBorders/>
            <w:tcMar>
              <w:left w:w="70" w:type="dxa"/>
              <w:top w:w="55" w:type="dxa"/>
              <w:right w:w="70" w:type="dxa"/>
              <w:bottom w:w="55" w:type="dxa"/>
            </w:tcMar>
            <w:tcW w:w="2921" w:type="dxa"/>
            <w:vAlign w:val="top"/>
          </w:tcPr>
          <w:p>
            <w:pPr>
              <w:pStyle w:val="1088"/>
              <w:pBdr/>
              <w:spacing/>
              <w:ind/>
              <w:rPr/>
            </w:pPr>
            <w:r>
              <w:t xml:space="preserve">Book / critical edition</w:t>
            </w:r>
            <w:r/>
          </w:p>
        </w:tc>
        <w:tc>
          <w:tcPr>
            <w:shd w:val="clear" w:color="auto" w:fill="ffffff"/>
            <w:tcBorders/>
            <w:tcMar>
              <w:left w:w="70" w:type="dxa"/>
              <w:top w:w="55" w:type="dxa"/>
              <w:right w:w="70" w:type="dxa"/>
              <w:bottom w:w="55" w:type="dxa"/>
            </w:tcMar>
            <w:tcW w:w="7085" w:type="dxa"/>
            <w:vAlign w:val="top"/>
          </w:tcPr>
          <w:p>
            <w:pPr>
              <w:pStyle w:val="1088"/>
              <w:pBdr/>
              <w:spacing/>
              <w:ind/>
              <w:rPr/>
            </w:pPr>
            <w:r>
              <w:t xml:space="preserve">Edition + page; add chapter/section/verse where available and stable.</w:t>
            </w:r>
            <w:r/>
          </w:p>
        </w:tc>
      </w:tr>
      <w:tr>
        <w:trPr>
          <w:cantSplit/>
        </w:trPr>
        <w:tc>
          <w:tcPr>
            <w:shd w:val="clear" w:color="auto" w:fill="f4f6f7"/>
            <w:tcBorders/>
            <w:tcMar>
              <w:left w:w="70" w:type="dxa"/>
              <w:top w:w="55" w:type="dxa"/>
              <w:right w:w="70" w:type="dxa"/>
              <w:bottom w:w="55" w:type="dxa"/>
            </w:tcMar>
            <w:tcW w:w="2921" w:type="dxa"/>
            <w:vAlign w:val="top"/>
          </w:tcPr>
          <w:p>
            <w:pPr>
              <w:pStyle w:val="1088"/>
              <w:pBdr/>
              <w:spacing/>
              <w:ind/>
              <w:rPr/>
            </w:pPr>
            <w:r>
              <w:t xml:space="preserve">Journal article / chapter</w:t>
            </w:r>
            <w:r/>
          </w:p>
        </w:tc>
        <w:tc>
          <w:tcPr>
            <w:shd w:val="clear" w:color="auto" w:fill="f4f6f7"/>
            <w:tcBorders/>
            <w:tcMar>
              <w:left w:w="70" w:type="dxa"/>
              <w:top w:w="55" w:type="dxa"/>
              <w:right w:w="70" w:type="dxa"/>
              <w:bottom w:w="55" w:type="dxa"/>
            </w:tcMar>
            <w:tcW w:w="7085" w:type="dxa"/>
            <w:vAlign w:val="top"/>
          </w:tcPr>
          <w:p>
            <w:pPr>
              <w:pStyle w:val="1088"/>
              <w:pBdr/>
              <w:spacing/>
              <w:ind/>
              <w:rPr/>
            </w:pPr>
            <w:r>
              <w:t xml:space="preserve">DOI/stable ID + page/section; paragraph only where pagination is unavailable.</w:t>
            </w:r>
            <w:r/>
          </w:p>
        </w:tc>
      </w:tr>
      <w:tr>
        <w:trPr>
          <w:cantSplit/>
        </w:trPr>
        <w:tc>
          <w:tcPr>
            <w:shd w:val="clear" w:color="auto" w:fill="ffffff"/>
            <w:tcBorders/>
            <w:tcMar>
              <w:left w:w="70" w:type="dxa"/>
              <w:top w:w="55" w:type="dxa"/>
              <w:right w:w="70" w:type="dxa"/>
              <w:bottom w:w="55" w:type="dxa"/>
            </w:tcMar>
            <w:tcW w:w="2921" w:type="dxa"/>
            <w:vAlign w:val="top"/>
          </w:tcPr>
          <w:p>
            <w:pPr>
              <w:pStyle w:val="1088"/>
              <w:pBdr/>
              <w:spacing/>
              <w:ind/>
              <w:rPr/>
            </w:pPr>
            <w:r>
              <w:t xml:space="preserve">Primary text with standard divisions</w:t>
            </w:r>
            <w:r/>
          </w:p>
        </w:tc>
        <w:tc>
          <w:tcPr>
            <w:shd w:val="clear" w:color="auto" w:fill="ffffff"/>
            <w:tcBorders/>
            <w:tcMar>
              <w:left w:w="70" w:type="dxa"/>
              <w:top w:w="55" w:type="dxa"/>
              <w:right w:w="70" w:type="dxa"/>
              <w:bottom w:w="55" w:type="dxa"/>
            </w:tcMar>
            <w:tcW w:w="7085" w:type="dxa"/>
            <w:vAlign w:val="top"/>
          </w:tcPr>
          <w:p>
            <w:pPr>
              <w:pStyle w:val="1088"/>
              <w:pBdr/>
              <w:spacing/>
              <w:ind/>
              <w:rPr/>
            </w:pPr>
            <w:r>
              <w:t xml:space="preserve">Work/witness + book/chapter/section/verse/karika or equivalent; page may be supplementary.</w:t>
            </w:r>
            <w:r/>
          </w:p>
        </w:tc>
      </w:tr>
      <w:tr>
        <w:trPr>
          <w:cantSplit/>
        </w:trPr>
        <w:tc>
          <w:tcPr>
            <w:shd w:val="clear" w:color="auto" w:fill="f4f6f7"/>
            <w:tcBorders/>
            <w:tcMar>
              <w:left w:w="70" w:type="dxa"/>
              <w:top w:w="55" w:type="dxa"/>
              <w:right w:w="70" w:type="dxa"/>
              <w:bottom w:w="55" w:type="dxa"/>
            </w:tcMar>
            <w:tcW w:w="2921" w:type="dxa"/>
            <w:vAlign w:val="top"/>
          </w:tcPr>
          <w:p>
            <w:pPr>
              <w:pStyle w:val="1088"/>
              <w:pBdr/>
              <w:spacing/>
              <w:ind/>
              <w:rPr/>
            </w:pPr>
            <w:r>
              <w:t xml:space="preserve">Web source</w:t>
            </w:r>
            <w:r/>
          </w:p>
        </w:tc>
        <w:tc>
          <w:tcPr>
            <w:shd w:val="clear" w:color="auto" w:fill="f4f6f7"/>
            <w:tcBorders/>
            <w:tcMar>
              <w:left w:w="70" w:type="dxa"/>
              <w:top w:w="55" w:type="dxa"/>
              <w:right w:w="70" w:type="dxa"/>
              <w:bottom w:w="55" w:type="dxa"/>
            </w:tcMar>
            <w:tcW w:w="7085" w:type="dxa"/>
            <w:vAlign w:val="top"/>
          </w:tcPr>
          <w:p>
            <w:pPr>
              <w:pStyle w:val="1088"/>
              <w:pBdr/>
              <w:spacing/>
              <w:ind/>
              <w:rPr/>
            </w:pPr>
            <w:r>
              <w:t xml:space="preserve">Stable URL + page title + access date + section/anchor or quoted-text pointer sufficient for human verification.</w:t>
            </w:r>
            <w:r/>
          </w:p>
        </w:tc>
      </w:tr>
      <w:tr>
        <w:trPr>
          <w:cantSplit/>
        </w:trPr>
        <w:tc>
          <w:tcPr>
            <w:shd w:val="clear" w:color="auto" w:fill="ffffff"/>
            <w:tcBorders/>
            <w:tcMar>
              <w:left w:w="70" w:type="dxa"/>
              <w:top w:w="55" w:type="dxa"/>
              <w:right w:w="70" w:type="dxa"/>
              <w:bottom w:w="55" w:type="dxa"/>
            </w:tcMar>
            <w:tcW w:w="2921" w:type="dxa"/>
            <w:vAlign w:val="top"/>
          </w:tcPr>
          <w:p>
            <w:pPr>
              <w:pStyle w:val="1088"/>
              <w:pBdr/>
              <w:spacing/>
              <w:ind/>
              <w:rPr/>
            </w:pPr>
            <w:r>
              <w:t xml:space="preserve">Audio/video</w:t>
            </w:r>
            <w:r/>
          </w:p>
        </w:tc>
        <w:tc>
          <w:tcPr>
            <w:shd w:val="clear" w:color="auto" w:fill="ffffff"/>
            <w:tcBorders/>
            <w:tcMar>
              <w:left w:w="70" w:type="dxa"/>
              <w:top w:w="55" w:type="dxa"/>
              <w:right w:w="70" w:type="dxa"/>
              <w:bottom w:w="55" w:type="dxa"/>
            </w:tcMar>
            <w:tcW w:w="7085" w:type="dxa"/>
            <w:vAlign w:val="top"/>
          </w:tcPr>
          <w:p>
            <w:pPr>
              <w:pStyle w:val="1088"/>
              <w:pBdr/>
              <w:spacing/>
              <w:ind/>
              <w:rPr/>
            </w:pPr>
            <w:r>
              <w:t xml:space="preserve">Artifact ID + timestamp start/end + SourceInstance ID.</w:t>
            </w:r>
            <w:r/>
          </w:p>
        </w:tc>
      </w:tr>
      <w:tr>
        <w:trPr>
          <w:cantSplit/>
        </w:trPr>
        <w:tc>
          <w:tcPr>
            <w:shd w:val="clear" w:color="auto" w:fill="f4f6f7"/>
            <w:tcBorders/>
            <w:tcMar>
              <w:left w:w="70" w:type="dxa"/>
              <w:top w:w="55" w:type="dxa"/>
              <w:right w:w="70" w:type="dxa"/>
              <w:bottom w:w="55" w:type="dxa"/>
            </w:tcMar>
            <w:tcW w:w="2921" w:type="dxa"/>
            <w:vAlign w:val="top"/>
          </w:tcPr>
          <w:p>
            <w:pPr>
              <w:pStyle w:val="1088"/>
              <w:pBdr/>
              <w:spacing/>
              <w:ind/>
              <w:rPr/>
            </w:pPr>
            <w:r>
              <w:t xml:space="preserve">Oral performance/interview</w:t>
            </w:r>
            <w:r/>
          </w:p>
        </w:tc>
        <w:tc>
          <w:tcPr>
            <w:shd w:val="clear" w:color="auto" w:fill="f4f6f7"/>
            <w:tcBorders/>
            <w:tcMar>
              <w:left w:w="70" w:type="dxa"/>
              <w:top w:w="55" w:type="dxa"/>
              <w:right w:w="70" w:type="dxa"/>
              <w:bottom w:w="55" w:type="dxa"/>
            </w:tcMar>
            <w:tcW w:w="7085" w:type="dxa"/>
            <w:vAlign w:val="top"/>
          </w:tcPr>
          <w:p>
            <w:pPr>
              <w:pStyle w:val="1088"/>
              <w:pBdr/>
              <w:spacing/>
              <w:ind/>
              <w:rPr/>
            </w:pPr>
            <w:r>
              <w:t xml:space="preserve">SourceInstance event metadata + native oral unit ID where applicable + artifact ID/timestamp + transcription/translation version.</w:t>
            </w:r>
            <w:r/>
          </w:p>
        </w:tc>
      </w:tr>
      <w:tr>
        <w:trPr>
          <w:cantSplit/>
        </w:trPr>
        <w:tc>
          <w:tcPr>
            <w:shd w:val="clear" w:color="auto" w:fill="ffffff"/>
            <w:tcBorders/>
            <w:tcMar>
              <w:left w:w="70" w:type="dxa"/>
              <w:top w:w="55" w:type="dxa"/>
              <w:right w:w="70" w:type="dxa"/>
              <w:bottom w:w="55" w:type="dxa"/>
            </w:tcMar>
            <w:tcW w:w="2921" w:type="dxa"/>
            <w:vAlign w:val="top"/>
          </w:tcPr>
          <w:p>
            <w:pPr>
              <w:pStyle w:val="1088"/>
              <w:pBdr/>
              <w:spacing/>
              <w:ind/>
              <w:rPr/>
            </w:pPr>
            <w:r>
              <w:t xml:space="preserve">Dataset/scientific evidence</w:t>
            </w:r>
            <w:r/>
          </w:p>
        </w:tc>
        <w:tc>
          <w:tcPr>
            <w:shd w:val="clear" w:color="auto" w:fill="ffffff"/>
            <w:tcBorders/>
            <w:tcMar>
              <w:left w:w="70" w:type="dxa"/>
              <w:top w:w="55" w:type="dxa"/>
              <w:right w:w="70" w:type="dxa"/>
              <w:bottom w:w="55" w:type="dxa"/>
            </w:tcMar>
            <w:tcW w:w="7085" w:type="dxa"/>
            <w:vAlign w:val="top"/>
          </w:tcPr>
          <w:p>
            <w:pPr>
              <w:pStyle w:val="1088"/>
              <w:pBdr/>
              <w:spacing/>
              <w:ind/>
              <w:rPr/>
            </w:pPr>
            <w:r>
              <w:t xml:space="preserve">Persistent dataset identifier/version + table/variable/record/query or analysis artifact required to reproduce the cited result.</w:t>
            </w:r>
            <w:r/>
          </w:p>
        </w:tc>
      </w:tr>
      <w:tr>
        <w:trPr>
          <w:cantSplit/>
        </w:trPr>
        <w:tc>
          <w:tcPr>
            <w:shd w:val="clear" w:color="auto" w:fill="f4f6f7"/>
            <w:tcBorders/>
            <w:tcMar>
              <w:left w:w="70" w:type="dxa"/>
              <w:top w:w="55" w:type="dxa"/>
              <w:right w:w="70" w:type="dxa"/>
              <w:bottom w:w="55" w:type="dxa"/>
            </w:tcMar>
            <w:tcW w:w="2921" w:type="dxa"/>
            <w:vAlign w:val="top"/>
          </w:tcPr>
          <w:p>
            <w:pPr>
              <w:pStyle w:val="1088"/>
              <w:pBdr/>
              <w:spacing/>
              <w:ind/>
              <w:rPr/>
            </w:pPr>
            <w:r>
              <w:t xml:space="preserve">Archive/manuscript</w:t>
            </w:r>
            <w:r/>
          </w:p>
        </w:tc>
        <w:tc>
          <w:tcPr>
            <w:shd w:val="clear" w:color="auto" w:fill="f4f6f7"/>
            <w:tcBorders/>
            <w:tcMar>
              <w:left w:w="70" w:type="dxa"/>
              <w:top w:w="55" w:type="dxa"/>
              <w:right w:w="70" w:type="dxa"/>
              <w:bottom w:w="55" w:type="dxa"/>
            </w:tcMar>
            <w:tcW w:w="7085" w:type="dxa"/>
            <w:vAlign w:val="top"/>
          </w:tcPr>
          <w:p>
            <w:pPr>
              <w:pStyle w:val="1088"/>
              <w:pBdr/>
              <w:spacing/>
              <w:ind/>
              <w:rPr/>
            </w:pPr>
            <w:r>
              <w:t xml:space="preserve">Repository + collection + box/folder/item/witness/shelfmark + folio/page/segment as applicable.</w:t>
            </w:r>
            <w:r/>
          </w:p>
        </w:tc>
      </w:tr>
    </w:tbl>
    <w:p>
      <w:pPr>
        <w:pStyle w:val="1097"/>
        <w:pBdr/>
        <w:spacing/>
        <w:ind/>
        <w:rPr/>
      </w:pPr>
      <w:r/>
      <w:r/>
    </w:p>
    <w:tbl>
      <w:tblPr>
        <w:jc w:val="center"/>
        <w:tblW w:w="0" w:type="auto"/>
        <w:tblBorders>
          <w:top w:val="single" w:color="a33a3a" w:sz="5" w:space="0"/>
          <w:left w:val="single" w:color="a33a3a" w:sz="5" w:space="0"/>
          <w:bottom w:val="single" w:color="a33a3a" w:sz="5" w:space="0"/>
          <w:right w:val="single" w:color="a33a3a" w:sz="5" w:space="0"/>
          <w:insideH w:val="single" w:color="a33a3a" w:sz="5" w:space="0"/>
          <w:insideV w:val="single" w:color="a33a3a" w:sz="5" w:space="0"/>
        </w:tblBorders>
        <w:tblLayout w:type="fixed"/>
        <w:tblLook w:val="04A0" w:firstRow="1" w:lastRow="0" w:firstColumn="1" w:lastColumn="0" w:noHBand="0" w:noVBand="1"/>
      </w:tblPr>
      <w:tblGrid>
        <w:gridCol w:w="10006"/>
      </w:tblGrid>
      <w:tr>
        <w:trPr>
          <w:cantSplit/>
          <w:tblHeader/>
        </w:trPr>
        <w:tc>
          <w:tcPr>
            <w:shd w:val="clear" w:color="auto" w:fill="fbeaea"/>
            <w:tcBorders/>
            <w:tcMar>
              <w:left w:w="90" w:type="dxa"/>
              <w:top w:w="0" w:type="dxa"/>
              <w:right w:w="90" w:type="dxa"/>
              <w:bottom w:w="65" w:type="dxa"/>
            </w:tcMar>
            <w:tcW w:w="9864" w:type="dxa"/>
            <w:vAlign w:val="center"/>
          </w:tcPr>
          <w:p>
            <w:pPr>
              <w:pStyle w:val="1091"/>
              <w:pBdr/>
              <w:shd w:val="clear" w:color="auto" w:fill="a33a3a"/>
              <w:spacing/>
              <w:ind/>
              <w:rPr/>
            </w:pPr>
            <w:r>
              <w:t xml:space="preserve">Governing: Zero-tolerance traceability rule</w:t>
            </w:r>
            <w:r/>
          </w:p>
          <w:p>
            <w:pPr>
              <w:pStyle w:val="1092"/>
              <w:pBdr/>
              <w:spacing/>
              <w:ind/>
              <w:rPr/>
            </w:pPr>
            <w:r>
              <w:t xml:space="preserve">A release-candidate source-grounded substantive Claim with a missing, non-human-verifiable or merely bibliographic locator fails G6. A bibliography entry alone is not a Claim locator.</w:t>
            </w:r>
            <w:r/>
          </w:p>
        </w:tc>
      </w:tr>
    </w:tbl>
    <w:p>
      <w:pPr>
        <w:pStyle w:val="1097"/>
        <w:pBdr/>
        <w:spacing/>
        <w:ind/>
        <w:rPr/>
      </w:pPr>
      <w:r/>
      <w:r/>
    </w:p>
    <w:p>
      <w:pPr>
        <w:pStyle w:val="924"/>
        <w:keepNext w:val="true"/>
        <w:keepLines w:val="true"/>
        <w:pBdr/>
        <w:spacing/>
        <w:ind/>
        <w:rPr/>
      </w:pPr>
      <w:r/>
      <w:bookmarkStart w:id="34" w:name="s5_4_oral_provenance"/>
      <w:r>
        <w:t xml:space="preserve">5.4 Oral, performed and interview provenance</w:t>
      </w:r>
      <w:bookmarkEnd w:id="34"/>
      <w:r/>
      <w:r/>
    </w:p>
    <w:p>
      <w:pPr>
        <w:pStyle w:val="1083"/>
        <w:keepLines w:val="false"/>
        <w:pBdr/>
        <w:spacing/>
        <w:ind/>
        <w:rPr/>
      </w:pPr>
      <w:r>
        <w:t xml:space="preserve">Release-candidate oral, performed or interview evidence requires an event-level SourceInstance. The complete field set—identity or ethica</w:t>
      </w:r>
      <w:r>
        <w:t xml:space="preserve">l restriction rationale, role and affiliation, event context, place/date, recorder or collector, native unit ID where applicable, language, transcription, translation, authorization and rights, artifact locator and editorial history—is governed in Annex B.</w:t>
      </w:r>
      <w:r/>
    </w:p>
    <w:tbl>
      <w:tblPr>
        <w:jc w:val="center"/>
        <w:tblW w:w="0" w:type="auto"/>
        <w:tblBorders>
          <w:top w:val="single" w:color="a33a3a" w:sz="5" w:space="0"/>
          <w:left w:val="single" w:color="a33a3a" w:sz="5" w:space="0"/>
          <w:bottom w:val="single" w:color="a33a3a" w:sz="5" w:space="0"/>
          <w:right w:val="single" w:color="a33a3a" w:sz="5" w:space="0"/>
          <w:insideH w:val="single" w:color="a33a3a" w:sz="5" w:space="0"/>
          <w:insideV w:val="single" w:color="a33a3a" w:sz="5" w:space="0"/>
        </w:tblBorders>
        <w:tblLayout w:type="fixed"/>
        <w:tblLook w:val="04A0" w:firstRow="1" w:lastRow="0" w:firstColumn="1" w:lastColumn="0" w:noHBand="0" w:noVBand="1"/>
      </w:tblPr>
      <w:tblGrid>
        <w:gridCol w:w="10006"/>
      </w:tblGrid>
      <w:tr>
        <w:trPr>
          <w:cantSplit/>
          <w:tblHeader/>
        </w:trPr>
        <w:tc>
          <w:tcPr>
            <w:shd w:val="clear" w:color="auto" w:fill="fbeaea"/>
            <w:tcBorders/>
            <w:tcMar>
              <w:left w:w="90" w:type="dxa"/>
              <w:top w:w="0" w:type="dxa"/>
              <w:right w:w="90" w:type="dxa"/>
              <w:bottom w:w="65" w:type="dxa"/>
            </w:tcMar>
            <w:tcW w:w="9864" w:type="dxa"/>
            <w:vAlign w:val="center"/>
          </w:tcPr>
          <w:p>
            <w:pPr>
              <w:pStyle w:val="1091"/>
              <w:pBdr/>
              <w:shd w:val="clear" w:color="auto" w:fill="a33a3a"/>
              <w:spacing/>
              <w:ind/>
              <w:rPr/>
            </w:pPr>
            <w:r>
              <w:t xml:space="preserve">Governing: Ethical stop condition</w:t>
            </w:r>
            <w:r/>
          </w:p>
          <w:p>
            <w:pPr>
              <w:pStyle w:val="1092"/>
              <w:pBdr/>
              <w:spacing/>
              <w:ind/>
              <w:rPr/>
            </w:pPr>
            <w:r>
              <w:t xml:space="preserve">Do not reconstruct or guess performer i</w:t>
            </w:r>
            <w:r>
              <w:t xml:space="preserve">dentity, consent, community authority or access rights from a published transcription. If a required event or authorization chain cannot be lawfully and ethically documented, retain the record as restricted/internal or select another eligible source event.</w:t>
            </w:r>
            <w:r/>
          </w:p>
        </w:tc>
      </w:tr>
    </w:tbl>
    <w:p>
      <w:pPr>
        <w:pStyle w:val="1097"/>
        <w:pBdr/>
        <w:spacing/>
        <w:ind/>
        <w:rPr/>
      </w:pPr>
      <w:r/>
      <w:r/>
    </w:p>
    <w:p>
      <w:pPr>
        <w:pStyle w:val="924"/>
        <w:keepNext w:val="true"/>
        <w:keepLines w:val="true"/>
        <w:pBdr/>
        <w:spacing/>
        <w:ind/>
        <w:rPr/>
      </w:pPr>
      <w:r/>
      <w:bookmarkStart w:id="35" w:name="s5_5_interoperability"/>
      <w:r>
        <w:t xml:space="preserve">5.5 Provenance interoperability and governance</w:t>
      </w:r>
      <w:bookmarkEnd w:id="35"/>
      <w:r/>
      <w:r/>
    </w:p>
    <w:p>
      <w:pPr>
        <w:pStyle w:val="1083"/>
        <w:keepLines w:val="false"/>
        <w:pBdr/>
        <w:spacing/>
        <w:ind/>
        <w:rPr/>
      </w:pPr>
      <w:r>
        <w:t xml:space="preserve">The Atlas logical model is serialization-agnostic. Sources, source instances, claims and profile snapshots ma</w:t>
      </w:r>
      <w:r>
        <w:t xml:space="preserve">y map to PROV Entities; transcription, translation, coding, review, comparison and synthesis to Activities; and authors, performers, researchers, reviewers, communities and institutions to Agents. PROV-O is a crosswalk, not a replacement for Atlas objects.</w:t>
      </w:r>
      <w:r/>
    </w:p>
    <w:p>
      <w:pPr>
        <w:pStyle w:val="1083"/>
        <w:keepLines w:val="false"/>
        <w:pBdr/>
        <w:spacing/>
        <w:ind/>
        <w:rPr/>
      </w:pPr>
      <w:r>
        <w:t xml:space="preserve">FAIR-style findability and interoperability do not imply unrestricted openness. Where Indigenous or local knowledge is implicated, CARE-aligned authority, res</w:t>
      </w:r>
      <w:r>
        <w:t xml:space="preserve">ponsibility and ethics controls apply. Authorized community-supplied Traditional Knowledge or Biocultural Labels are preserved; researchers do not self-assign community Labels. Public accessibility does not override rights, protocols or cultural authority.</w:t>
      </w:r>
      <w:r/>
    </w:p>
    <w:p>
      <w:pPr>
        <w:pStyle w:val="924"/>
        <w:keepNext w:val="true"/>
        <w:keepLines w:val="true"/>
        <w:pBdr/>
        <w:spacing/>
        <w:ind/>
        <w:rPr/>
      </w:pPr>
      <w:r/>
      <w:bookmarkStart w:id="36" w:name="s5_6_translation"/>
      <w:r>
        <w:t xml:space="preserve">5.6 Translation and Concept control</w:t>
      </w:r>
      <w:bookmarkEnd w:id="36"/>
      <w:r/>
      <w:r/>
    </w:p>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Translation is a research object</w:t>
            </w:r>
            <w:r/>
          </w:p>
          <w:p>
            <w:pPr>
              <w:pStyle w:val="1092"/>
              <w:pBdr/>
              <w:spacing/>
              <w:ind/>
              <w:rPr/>
            </w:pPr>
            <w:r>
              <w:t xml:space="preserve">A shared English bridge term is never sufficient evidence of shared conceptual structure, and grammatical form must not be converted into an alien ontology by default. The complete ConceptRecord field set is governed in Annex B.</w:t>
            </w:r>
            <w:r/>
          </w:p>
        </w:tc>
      </w:tr>
    </w:tbl>
    <w:p>
      <w:pPr>
        <w:pStyle w:val="1097"/>
        <w:pBdr/>
        <w:spacing/>
        <w:ind/>
        <w:rPr/>
      </w:pPr>
      <w:r/>
      <w:r/>
    </w:p>
    <w:p>
      <w:pPr>
        <w:pStyle w:val="1084"/>
        <w:keepLines w:val="false"/>
        <w:pBdr/>
        <w:spacing/>
        <w:ind/>
        <w:rPr/>
      </w:pPr>
      <w:r>
        <w:t xml:space="preserve">• Never infer conceptual equivalence from a shared English translation.</w:t>
      </w:r>
      <w:r/>
    </w:p>
    <w:p>
      <w:pPr>
        <w:pStyle w:val="1084"/>
        <w:keepLines w:val="false"/>
        <w:pBdr/>
        <w:spacing/>
        <w:ind/>
        <w:rPr/>
      </w:pPr>
      <w:r>
        <w:t xml:space="preserve">• Never infer a substance ontology merely because a source term is rendered as an English noun.</w:t>
      </w:r>
      <w:r/>
    </w:p>
    <w:p>
      <w:pPr>
        <w:pStyle w:val="1084"/>
        <w:keepLines w:val="false"/>
        <w:pBdr/>
        <w:spacing/>
        <w:ind/>
        <w:rPr/>
      </w:pPr>
      <w:r>
        <w:t xml:space="preserve">• When no stable English equivalent exists, retain the native term and compare functions, structures, arguments and usage rather than inventing lexical identity.</w:t>
      </w:r>
      <w:r/>
    </w:p>
    <w:p>
      <w:pPr>
        <w:pStyle w:val="1084"/>
        <w:keepLines w:val="false"/>
        <w:pBdr/>
        <w:spacing/>
        <w:ind/>
        <w:rPr/>
      </w:pPr>
      <w:r>
        <w:t xml:space="preserve">• Every SEM or OEQ claim involving translated concepts states both overlap and material non-overlap; OEQ additionally states failure conditions.</w:t>
      </w:r>
      <w:r/>
    </w:p>
    <w:p>
      <w:pPr>
        <w:pStyle w:val="1084"/>
        <w:keepLines w:val="false"/>
        <w:pBdr/>
        <w:spacing/>
        <w:ind/>
        <w:rPr/>
      </w:pPr>
      <w:r>
        <w:t xml:space="preserve">• Where the source rejects or transforms the Atlas framing, assign the applicable primary response state under §4.1. </w:t>
      </w:r>
      <w:r>
        <w:t xml:space="preserve">Use DEN for an explicit rejection of the presupposition or answer class, and REF for transformation into a materially different problem-space. Add CAT separately where the Atlas framing or translation risks distortion; CAT never replaces the primary state.</w:t>
      </w:r>
      <w:r/>
    </w:p>
    <w:p>
      <w:pPr>
        <w:pStyle w:val="1084"/>
        <w:keepLines w:val="false"/>
        <w:pBdr/>
        <w:spacing/>
        <w:ind/>
        <w:rPr/>
      </w:pPr>
      <w:r>
        <w:t xml:space="preserve">• AI-proposed translation MAY be used only as a triage candidate; release requires human and source-grounded language verification.</w:t>
      </w:r>
      <w:r/>
    </w:p>
    <w:p>
      <w:pPr>
        <w:pStyle w:val="923"/>
        <w:keepNext w:val="true"/>
        <w:keepLines w:val="true"/>
        <w:pBdr/>
        <w:spacing/>
        <w:ind/>
        <w:rPr/>
      </w:pPr>
      <w:r/>
      <w:bookmarkStart w:id="37" w:name="section_6_comparison"/>
      <w:r>
        <w:t xml:space="preserve">6. Comparative method</w:t>
      </w:r>
      <w:bookmarkEnd w:id="37"/>
      <w:r/>
      <w:r/>
    </w:p>
    <w:p>
      <w:pPr>
        <w:pStyle w:val="1083"/>
        <w:keepLines w:val="false"/>
        <w:pBdr/>
        <w:spacing/>
        <w:ind/>
        <w:rPr/>
      </w:pPr>
      <w:r>
        <w:t xml:space="preserve">Ever</w:t>
      </w:r>
      <w:r>
        <w:t xml:space="preserve">y comparison is a recordable research event. It declares bounded comparands, exact Claim pairs, the tertium or question, and the relation dimension, mode and scale. It states the temporal and Position scope, source adequacy on each side, relation scope and</w:t>
      </w:r>
      <w:r>
        <w:t xml:space="preserve"> directionality. It also records disanalogy links, tertium validity, genealogy and independence status, confidence, unresolved issues and any cross-level normalization. Exact relation meanings are governed in Annex A; complete record fields are in Annex B.</w:t>
      </w:r>
      <w:r/>
    </w:p>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Granularity gate</w:t>
            </w:r>
            <w:r/>
          </w:p>
          <w:p>
            <w:pPr>
              <w:pStyle w:val="1092"/>
              <w:pBdr/>
              <w:spacing/>
              <w:ind/>
              <w:rPr/>
            </w:pPr>
            <w:r>
              <w:t xml:space="preserve">A religion family,</w:t>
            </w:r>
            <w:r>
              <w:t xml:space="preserve"> one text, one thinker, a community, a scientific field and a metaphysical thesis are not equivalent comparands. Cross-level comparison is permitted only after each side is bounded into Positions answering the same question and the asymmetry is documented.</w:t>
            </w:r>
            <w:r/>
          </w:p>
        </w:tc>
      </w:tr>
    </w:tbl>
    <w:p>
      <w:pPr>
        <w:pStyle w:val="1097"/>
        <w:pBdr/>
        <w:spacing/>
        <w:ind/>
        <w:rPr/>
      </w:pPr>
      <w:r/>
      <w:r/>
    </w:p>
    <w:p>
      <w:pPr>
        <w:pStyle w:val="1083"/>
        <w:keepLines w:val="false"/>
        <w:pBdr/>
        <w:spacing/>
        <w:ind/>
        <w:rPr/>
      </w:pPr>
      <w:r>
        <w:t xml:space="preserve">Multiple relations MAY hold s</w:t>
      </w:r>
      <w:r>
        <w:t xml:space="preserve">imultaneously. Each accepted type is stored as a separate ComparativeRelation inside one ComparisonEvent. Functional or structural resemblance may coexist with proposition-level incompatibility; genealogy is independently supported, disputed or unassessed.</w:t>
      </w:r>
      <w:r/>
    </w:p>
    <w:p>
      <w:pPr>
        <w:pStyle w:val="1086"/>
        <w:keepNext w:val="true"/>
        <w:keepLines w:val="true"/>
        <w:pBdr/>
        <w:spacing/>
        <w:ind/>
        <w:rPr/>
      </w:pPr>
      <w:r/>
      <w:bookmarkStart w:id="38" w:name="tbl_relation_coherence"/>
      <w:r>
        <w:t xml:space="preserve">Governing — Minimum relation-coherence rules</w:t>
      </w:r>
      <w:bookmarkEnd w:id="38"/>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3286"/>
        <w:gridCol w:w="2264"/>
        <w:gridCol w:w="4455"/>
      </w:tblGrid>
      <w:tr>
        <w:trPr>
          <w:cantSplit/>
          <w:tblHeader/>
        </w:trPr>
        <w:tc>
          <w:tcPr>
            <w:shd w:val="clear" w:color="auto" w:fill="1f5d7a"/>
            <w:tcBorders/>
            <w:tcMar>
              <w:left w:w="55" w:type="dxa"/>
              <w:top w:w="45" w:type="dxa"/>
              <w:right w:w="55" w:type="dxa"/>
              <w:bottom w:w="45" w:type="dxa"/>
            </w:tcMar>
            <w:tcW w:w="3286" w:type="dxa"/>
            <w:vAlign w:val="top"/>
          </w:tcPr>
          <w:p>
            <w:pPr>
              <w:pStyle w:val="1090"/>
              <w:pBdr/>
              <w:spacing/>
              <w:ind/>
              <w:rPr/>
            </w:pPr>
            <w:r>
              <w:t xml:space="preserve">Combination</w:t>
            </w:r>
            <w:r/>
          </w:p>
        </w:tc>
        <w:tc>
          <w:tcPr>
            <w:shd w:val="clear" w:color="auto" w:fill="1f5d7a"/>
            <w:tcBorders/>
            <w:tcMar>
              <w:left w:w="55" w:type="dxa"/>
              <w:top w:w="45" w:type="dxa"/>
              <w:right w:w="55" w:type="dxa"/>
              <w:bottom w:w="45" w:type="dxa"/>
            </w:tcMar>
            <w:tcW w:w="2264" w:type="dxa"/>
            <w:vAlign w:val="top"/>
          </w:tcPr>
          <w:p>
            <w:pPr>
              <w:pStyle w:val="1090"/>
              <w:pBdr/>
              <w:spacing/>
              <w:ind/>
              <w:rPr/>
            </w:pPr>
            <w:r>
              <w:t xml:space="preserve">Rule</w:t>
            </w:r>
            <w:r/>
          </w:p>
        </w:tc>
        <w:tc>
          <w:tcPr>
            <w:shd w:val="clear" w:color="auto" w:fill="1f5d7a"/>
            <w:tcBorders/>
            <w:tcMar>
              <w:left w:w="55" w:type="dxa"/>
              <w:top w:w="45" w:type="dxa"/>
              <w:right w:w="55" w:type="dxa"/>
              <w:bottom w:w="45" w:type="dxa"/>
            </w:tcMar>
            <w:tcW w:w="4455" w:type="dxa"/>
            <w:vAlign w:val="top"/>
          </w:tcPr>
          <w:p>
            <w:pPr>
              <w:pStyle w:val="1090"/>
              <w:pBdr/>
              <w:spacing/>
              <w:ind/>
              <w:rPr/>
            </w:pPr>
            <w:r>
              <w:t xml:space="preserve">Required handling</w:t>
            </w:r>
            <w:r/>
          </w:p>
        </w:tc>
      </w:tr>
      <w:tr>
        <w:trPr>
          <w:cantSplit/>
        </w:trPr>
        <w:tc>
          <w:tcPr>
            <w:shd w:val="clear" w:color="auto" w:fill="ffffff"/>
            <w:tcBorders/>
            <w:tcMar>
              <w:left w:w="55" w:type="dxa"/>
              <w:top w:w="45" w:type="dxa"/>
              <w:right w:w="55" w:type="dxa"/>
              <w:bottom w:w="45" w:type="dxa"/>
            </w:tcMar>
            <w:tcW w:w="3286" w:type="dxa"/>
            <w:vAlign w:val="top"/>
          </w:tcPr>
          <w:p>
            <w:pPr>
              <w:pStyle w:val="1089"/>
              <w:pBdr/>
              <w:spacing/>
              <w:ind/>
              <w:rPr/>
            </w:pPr>
            <w:r>
              <w:t xml:space="preserve">relation:FUN + relation:INC</w:t>
            </w:r>
            <w:r/>
          </w:p>
        </w:tc>
        <w:tc>
          <w:tcPr>
            <w:shd w:val="clear" w:color="auto" w:fill="ffffff"/>
            <w:tcBorders/>
            <w:tcMar>
              <w:left w:w="55" w:type="dxa"/>
              <w:top w:w="45" w:type="dxa"/>
              <w:right w:w="55" w:type="dxa"/>
              <w:bottom w:w="45" w:type="dxa"/>
            </w:tcMar>
            <w:tcW w:w="2264" w:type="dxa"/>
            <w:vAlign w:val="top"/>
          </w:tcPr>
          <w:p>
            <w:pPr>
              <w:pStyle w:val="1089"/>
              <w:pBdr/>
              <w:spacing/>
              <w:ind/>
              <w:rPr/>
            </w:pPr>
            <w:r>
              <w:t xml:space="preserve">Permitted</w:t>
            </w:r>
            <w:r/>
          </w:p>
        </w:tc>
        <w:tc>
          <w:tcPr>
            <w:shd w:val="clear" w:color="auto" w:fill="ffffff"/>
            <w:tcBorders/>
            <w:tcMar>
              <w:left w:w="55" w:type="dxa"/>
              <w:top w:w="45" w:type="dxa"/>
              <w:right w:w="55" w:type="dxa"/>
              <w:bottom w:w="45" w:type="dxa"/>
            </w:tcMar>
            <w:tcW w:w="4455" w:type="dxa"/>
            <w:vAlign w:val="top"/>
          </w:tcPr>
          <w:p>
            <w:pPr>
              <w:pStyle w:val="1089"/>
              <w:pBdr/>
              <w:spacing/>
              <w:ind/>
              <w:rPr/>
            </w:pPr>
            <w:r>
              <w:t xml:space="preserve">Comparable function may coexist with incompatible propositions; scope and dimension must be explicit.</w:t>
            </w:r>
            <w:r/>
          </w:p>
        </w:tc>
      </w:tr>
      <w:tr>
        <w:trPr>
          <w:cantSplit/>
        </w:trPr>
        <w:tc>
          <w:tcPr>
            <w:shd w:val="clear" w:color="auto" w:fill="f4f6f7"/>
            <w:tcBorders/>
            <w:tcMar>
              <w:left w:w="55" w:type="dxa"/>
              <w:top w:w="45" w:type="dxa"/>
              <w:right w:w="55" w:type="dxa"/>
              <w:bottom w:w="45" w:type="dxa"/>
            </w:tcMar>
            <w:tcW w:w="3286" w:type="dxa"/>
            <w:vAlign w:val="top"/>
          </w:tcPr>
          <w:p>
            <w:pPr>
              <w:pStyle w:val="1089"/>
              <w:pBdr/>
              <w:spacing/>
              <w:ind/>
              <w:rPr/>
            </w:pPr>
            <w:r>
              <w:t xml:space="preserve">relation:STR + relation:INC</w:t>
            </w:r>
            <w:r/>
          </w:p>
        </w:tc>
        <w:tc>
          <w:tcPr>
            <w:shd w:val="clear" w:color="auto" w:fill="f4f6f7"/>
            <w:tcBorders/>
            <w:tcMar>
              <w:left w:w="55" w:type="dxa"/>
              <w:top w:w="45" w:type="dxa"/>
              <w:right w:w="55" w:type="dxa"/>
              <w:bottom w:w="45" w:type="dxa"/>
            </w:tcMar>
            <w:tcW w:w="2264" w:type="dxa"/>
            <w:vAlign w:val="top"/>
          </w:tcPr>
          <w:p>
            <w:pPr>
              <w:pStyle w:val="1089"/>
              <w:pBdr/>
              <w:spacing/>
              <w:ind/>
              <w:rPr/>
            </w:pPr>
            <w:r>
              <w:t xml:space="preserve">Permitted</w:t>
            </w:r>
            <w:r/>
          </w:p>
        </w:tc>
        <w:tc>
          <w:tcPr>
            <w:shd w:val="clear" w:color="auto" w:fill="f4f6f7"/>
            <w:tcBorders/>
            <w:tcMar>
              <w:left w:w="55" w:type="dxa"/>
              <w:top w:w="45" w:type="dxa"/>
              <w:right w:w="55" w:type="dxa"/>
              <w:bottom w:w="45" w:type="dxa"/>
            </w:tcMar>
            <w:tcW w:w="4455" w:type="dxa"/>
            <w:vAlign w:val="top"/>
          </w:tcPr>
          <w:p>
            <w:pPr>
              <w:pStyle w:val="1089"/>
              <w:pBdr/>
              <w:spacing/>
              <w:ind/>
              <w:rPr/>
            </w:pPr>
            <w:r>
              <w:t xml:space="preserve">Shared relational architecture may coexist with ontological incompatibility.</w:t>
            </w:r>
            <w:r/>
          </w:p>
        </w:tc>
      </w:tr>
      <w:tr>
        <w:trPr>
          <w:cantSplit/>
        </w:trPr>
        <w:tc>
          <w:tcPr>
            <w:shd w:val="clear" w:color="auto" w:fill="ffffff"/>
            <w:tcBorders/>
            <w:tcMar>
              <w:left w:w="55" w:type="dxa"/>
              <w:top w:w="45" w:type="dxa"/>
              <w:right w:w="55" w:type="dxa"/>
              <w:bottom w:w="45" w:type="dxa"/>
            </w:tcMar>
            <w:tcW w:w="3286" w:type="dxa"/>
            <w:vAlign w:val="top"/>
          </w:tcPr>
          <w:p>
            <w:pPr>
              <w:pStyle w:val="1089"/>
              <w:pBdr/>
              <w:spacing/>
              <w:ind/>
              <w:rPr/>
            </w:pPr>
            <w:r>
              <w:t xml:space="preserve">relation:OCO + relation:INC</w:t>
            </w:r>
            <w:r/>
          </w:p>
        </w:tc>
        <w:tc>
          <w:tcPr>
            <w:shd w:val="clear" w:color="auto" w:fill="ffffff"/>
            <w:tcBorders/>
            <w:tcMar>
              <w:left w:w="55" w:type="dxa"/>
              <w:top w:w="45" w:type="dxa"/>
              <w:right w:w="55" w:type="dxa"/>
              <w:bottom w:w="45" w:type="dxa"/>
            </w:tcMar>
            <w:tcW w:w="2264" w:type="dxa"/>
            <w:vAlign w:val="top"/>
          </w:tcPr>
          <w:p>
            <w:pPr>
              <w:pStyle w:val="1089"/>
              <w:pBdr/>
              <w:spacing/>
              <w:ind/>
              <w:rPr/>
            </w:pPr>
            <w:r>
              <w:t xml:space="preserve">Prohibited at the same coherence key</w:t>
            </w:r>
            <w:r/>
          </w:p>
        </w:tc>
        <w:tc>
          <w:tcPr>
            <w:shd w:val="clear" w:color="auto" w:fill="ffffff"/>
            <w:tcBorders/>
            <w:tcMar>
              <w:left w:w="55" w:type="dxa"/>
              <w:top w:w="45" w:type="dxa"/>
              <w:right w:w="55" w:type="dxa"/>
              <w:bottom w:w="45" w:type="dxa"/>
            </w:tcMar>
            <w:tcW w:w="4455" w:type="dxa"/>
            <w:vAlign w:val="top"/>
          </w:tcPr>
          <w:p>
            <w:pPr>
              <w:pStyle w:val="1089"/>
              <w:pBdr/>
              <w:spacing/>
              <w:ind/>
              <w:rPr/>
            </w:pPr>
            <w:r>
              <w:t xml:space="preserve">May coexist only under different propositions, dimensions or scopes.</w:t>
            </w:r>
            <w:r/>
          </w:p>
        </w:tc>
      </w:tr>
      <w:tr>
        <w:trPr>
          <w:cantSplit/>
        </w:trPr>
        <w:tc>
          <w:tcPr>
            <w:shd w:val="clear" w:color="auto" w:fill="f4f6f7"/>
            <w:tcBorders/>
            <w:tcMar>
              <w:left w:w="55" w:type="dxa"/>
              <w:top w:w="45" w:type="dxa"/>
              <w:right w:w="55" w:type="dxa"/>
              <w:bottom w:w="45" w:type="dxa"/>
            </w:tcMar>
            <w:tcW w:w="3286" w:type="dxa"/>
            <w:vAlign w:val="top"/>
          </w:tcPr>
          <w:p>
            <w:pPr>
              <w:pStyle w:val="1089"/>
              <w:pBdr/>
              <w:spacing/>
              <w:ind/>
              <w:rPr/>
            </w:pPr>
            <w:r>
              <w:t xml:space="preserve">relation:OEQ + relation:INC</w:t>
            </w:r>
            <w:r/>
          </w:p>
        </w:tc>
        <w:tc>
          <w:tcPr>
            <w:shd w:val="clear" w:color="auto" w:fill="f4f6f7"/>
            <w:tcBorders/>
            <w:tcMar>
              <w:left w:w="55" w:type="dxa"/>
              <w:top w:w="45" w:type="dxa"/>
              <w:right w:w="55" w:type="dxa"/>
              <w:bottom w:w="45" w:type="dxa"/>
            </w:tcMar>
            <w:tcW w:w="2264" w:type="dxa"/>
            <w:vAlign w:val="top"/>
          </w:tcPr>
          <w:p>
            <w:pPr>
              <w:pStyle w:val="1089"/>
              <w:pBdr/>
              <w:spacing/>
              <w:ind/>
              <w:rPr/>
            </w:pPr>
            <w:r>
              <w:t xml:space="preserve">Prohibited at the same coherence key</w:t>
            </w:r>
            <w:r/>
          </w:p>
        </w:tc>
        <w:tc>
          <w:tcPr>
            <w:shd w:val="clear" w:color="auto" w:fill="f4f6f7"/>
            <w:tcBorders/>
            <w:tcMar>
              <w:left w:w="55" w:type="dxa"/>
              <w:top w:w="45" w:type="dxa"/>
              <w:right w:w="55" w:type="dxa"/>
              <w:bottom w:w="45" w:type="dxa"/>
            </w:tcMar>
            <w:tcW w:w="4455" w:type="dxa"/>
            <w:vAlign w:val="top"/>
          </w:tcPr>
          <w:p>
            <w:pPr>
              <w:pStyle w:val="1089"/>
              <w:pBdr/>
              <w:spacing/>
              <w:ind/>
              <w:rPr/>
            </w:pPr>
            <w:r>
              <w:t xml:space="preserve">Same-scope equivalence and incompatibility cannot both hold.</w:t>
            </w:r>
            <w:r/>
          </w:p>
        </w:tc>
      </w:tr>
      <w:tr>
        <w:trPr>
          <w:cantSplit/>
        </w:trPr>
        <w:tc>
          <w:tcPr>
            <w:shd w:val="clear" w:color="auto" w:fill="ffffff"/>
            <w:tcBorders/>
            <w:tcMar>
              <w:left w:w="55" w:type="dxa"/>
              <w:top w:w="45" w:type="dxa"/>
              <w:right w:w="55" w:type="dxa"/>
              <w:bottom w:w="45" w:type="dxa"/>
            </w:tcMar>
            <w:tcW w:w="3286" w:type="dxa"/>
            <w:vAlign w:val="top"/>
          </w:tcPr>
          <w:p>
            <w:pPr>
              <w:pStyle w:val="1089"/>
              <w:pBdr/>
              <w:spacing/>
              <w:ind/>
              <w:rPr/>
            </w:pPr>
            <w:r>
              <w:t xml:space="preserve">relation:OEQ + relation:OCO</w:t>
            </w:r>
            <w:r/>
          </w:p>
        </w:tc>
        <w:tc>
          <w:tcPr>
            <w:shd w:val="clear" w:color="auto" w:fill="ffffff"/>
            <w:tcBorders/>
            <w:tcMar>
              <w:left w:w="55" w:type="dxa"/>
              <w:top w:w="45" w:type="dxa"/>
              <w:right w:w="55" w:type="dxa"/>
              <w:bottom w:w="45" w:type="dxa"/>
            </w:tcMar>
            <w:tcW w:w="2264" w:type="dxa"/>
            <w:vAlign w:val="top"/>
          </w:tcPr>
          <w:p>
            <w:pPr>
              <w:pStyle w:val="1089"/>
              <w:pBdr/>
              <w:spacing/>
              <w:ind/>
              <w:rPr/>
            </w:pPr>
            <w:r>
              <w:t xml:space="preserve">Redundant at the same coherence key</w:t>
            </w:r>
            <w:r/>
          </w:p>
        </w:tc>
        <w:tc>
          <w:tcPr>
            <w:shd w:val="clear" w:color="auto" w:fill="ffffff"/>
            <w:tcBorders/>
            <w:tcMar>
              <w:left w:w="55" w:type="dxa"/>
              <w:top w:w="45" w:type="dxa"/>
              <w:right w:w="55" w:type="dxa"/>
              <w:bottom w:w="45" w:type="dxa"/>
            </w:tcMar>
            <w:tcW w:w="4455" w:type="dxa"/>
            <w:vAlign w:val="top"/>
          </w:tcPr>
          <w:p>
            <w:pPr>
              <w:pStyle w:val="1089"/>
              <w:pBdr/>
              <w:spacing/>
              <w:ind/>
              <w:rPr/>
            </w:pPr>
            <w:r>
              <w:t xml:space="preserve">Prefer OEQ; use OCO only for a different or wider scope.</w:t>
            </w:r>
            <w:r/>
          </w:p>
        </w:tc>
      </w:tr>
      <w:tr>
        <w:trPr>
          <w:cantSplit/>
        </w:trPr>
        <w:tc>
          <w:tcPr>
            <w:shd w:val="clear" w:color="auto" w:fill="f4f6f7"/>
            <w:tcBorders/>
            <w:tcMar>
              <w:left w:w="55" w:type="dxa"/>
              <w:top w:w="45" w:type="dxa"/>
              <w:right w:w="55" w:type="dxa"/>
              <w:bottom w:w="45" w:type="dxa"/>
            </w:tcMar>
            <w:tcW w:w="3286" w:type="dxa"/>
            <w:vAlign w:val="top"/>
          </w:tcPr>
          <w:p>
            <w:pPr>
              <w:pStyle w:val="1089"/>
              <w:pBdr/>
              <w:spacing/>
              <w:ind/>
              <w:rPr/>
            </w:pPr>
            <w:r>
              <w:t xml:space="preserve">relation:GEN + other relations</w:t>
            </w:r>
            <w:r/>
          </w:p>
        </w:tc>
        <w:tc>
          <w:tcPr>
            <w:shd w:val="clear" w:color="auto" w:fill="f4f6f7"/>
            <w:tcBorders/>
            <w:tcMar>
              <w:left w:w="55" w:type="dxa"/>
              <w:top w:w="45" w:type="dxa"/>
              <w:right w:w="55" w:type="dxa"/>
              <w:bottom w:w="45" w:type="dxa"/>
            </w:tcMar>
            <w:tcW w:w="2264" w:type="dxa"/>
            <w:vAlign w:val="top"/>
          </w:tcPr>
          <w:p>
            <w:pPr>
              <w:pStyle w:val="1089"/>
              <w:pBdr/>
              <w:spacing/>
              <w:ind/>
              <w:rPr/>
            </w:pPr>
            <w:r>
              <w:t xml:space="preserve">Orthogonal</w:t>
            </w:r>
            <w:r/>
          </w:p>
        </w:tc>
        <w:tc>
          <w:tcPr>
            <w:shd w:val="clear" w:color="auto" w:fill="f4f6f7"/>
            <w:tcBorders/>
            <w:tcMar>
              <w:left w:w="55" w:type="dxa"/>
              <w:top w:w="45" w:type="dxa"/>
              <w:right w:w="55" w:type="dxa"/>
              <w:bottom w:w="45" w:type="dxa"/>
            </w:tcMar>
            <w:tcW w:w="4455" w:type="dxa"/>
            <w:vAlign w:val="top"/>
          </w:tcPr>
          <w:p>
            <w:pPr>
              <w:pStyle w:val="1089"/>
              <w:pBdr/>
              <w:spacing/>
              <w:ind/>
              <w:rPr/>
            </w:pPr>
            <w:r>
              <w:t xml:space="preserve">Genealogy does not entail lexical, semantic, functional, structural or ontological similarity.</w:t>
            </w:r>
            <w:r/>
          </w:p>
        </w:tc>
      </w:tr>
      <w:tr>
        <w:trPr>
          <w:cantSplit/>
        </w:trPr>
        <w:tc>
          <w:tcPr>
            <w:shd w:val="clear" w:color="auto" w:fill="ffffff"/>
            <w:tcBorders/>
            <w:tcMar>
              <w:left w:w="55" w:type="dxa"/>
              <w:top w:w="45" w:type="dxa"/>
              <w:right w:w="55" w:type="dxa"/>
              <w:bottom w:w="45" w:type="dxa"/>
            </w:tcMar>
            <w:tcW w:w="3286" w:type="dxa"/>
            <w:vAlign w:val="top"/>
          </w:tcPr>
          <w:p>
            <w:pPr>
              <w:pStyle w:val="1089"/>
              <w:pBdr/>
              <w:spacing/>
              <w:ind/>
              <w:rPr/>
            </w:pPr>
            <w:r>
              <w:t xml:space="preserve">relation:MIS + same-tertium positive relation</w:t>
            </w:r>
            <w:r/>
          </w:p>
        </w:tc>
        <w:tc>
          <w:tcPr>
            <w:shd w:val="clear" w:color="auto" w:fill="ffffff"/>
            <w:tcBorders/>
            <w:tcMar>
              <w:left w:w="55" w:type="dxa"/>
              <w:top w:w="45" w:type="dxa"/>
              <w:right w:w="55" w:type="dxa"/>
              <w:bottom w:w="45" w:type="dxa"/>
            </w:tcMar>
            <w:tcW w:w="2264" w:type="dxa"/>
            <w:vAlign w:val="top"/>
          </w:tcPr>
          <w:p>
            <w:pPr>
              <w:pStyle w:val="1089"/>
              <w:pBdr/>
              <w:spacing/>
              <w:ind/>
              <w:rPr/>
            </w:pPr>
            <w:r>
              <w:t xml:space="preserve">Prohibited</w:t>
            </w:r>
            <w:r/>
          </w:p>
        </w:tc>
        <w:tc>
          <w:tcPr>
            <w:shd w:val="clear" w:color="auto" w:fill="ffffff"/>
            <w:tcBorders/>
            <w:tcMar>
              <w:left w:w="55" w:type="dxa"/>
              <w:top w:w="45" w:type="dxa"/>
              <w:right w:w="55" w:type="dxa"/>
              <w:bottom w:w="45" w:type="dxa"/>
            </w:tcMar>
            <w:tcW w:w="4455" w:type="dxa"/>
            <w:vAlign w:val="top"/>
          </w:tcPr>
          <w:p>
            <w:pPr>
              <w:pStyle w:val="1089"/>
              <w:pBdr/>
              <w:spacing/>
              <w:ind/>
              <w:rPr/>
            </w:pPr>
            <w:r>
              <w:t xml:space="preserve">Revise the tertium or create a replacement ComparisonEvent before asserting a positive relation.</w:t>
            </w:r>
            <w:r/>
          </w:p>
        </w:tc>
      </w:tr>
      <w:tr>
        <w:trPr>
          <w:cantSplit/>
        </w:trPr>
        <w:tc>
          <w:tcPr>
            <w:shd w:val="clear" w:color="auto" w:fill="f4f6f7"/>
            <w:tcBorders/>
            <w:tcMar>
              <w:left w:w="55" w:type="dxa"/>
              <w:top w:w="45" w:type="dxa"/>
              <w:right w:w="55" w:type="dxa"/>
              <w:bottom w:w="45" w:type="dxa"/>
            </w:tcMar>
            <w:tcW w:w="3286" w:type="dxa"/>
            <w:vAlign w:val="top"/>
          </w:tcPr>
          <w:p>
            <w:pPr>
              <w:pStyle w:val="1089"/>
              <w:pBdr/>
              <w:spacing/>
              <w:ind/>
              <w:rPr/>
            </w:pPr>
            <w:r>
              <w:t xml:space="preserve">relation:LEX to stronger relations</w:t>
            </w:r>
            <w:r/>
          </w:p>
        </w:tc>
        <w:tc>
          <w:tcPr>
            <w:shd w:val="clear" w:color="auto" w:fill="f4f6f7"/>
            <w:tcBorders/>
            <w:tcMar>
              <w:left w:w="55" w:type="dxa"/>
              <w:top w:w="45" w:type="dxa"/>
              <w:right w:w="55" w:type="dxa"/>
              <w:bottom w:w="45" w:type="dxa"/>
            </w:tcMar>
            <w:tcW w:w="2264" w:type="dxa"/>
            <w:vAlign w:val="top"/>
          </w:tcPr>
          <w:p>
            <w:pPr>
              <w:pStyle w:val="1089"/>
              <w:pBdr/>
              <w:spacing/>
              <w:ind/>
              <w:rPr/>
            </w:pPr>
            <w:r>
              <w:t xml:space="preserve">No entailment</w:t>
            </w:r>
            <w:r/>
          </w:p>
        </w:tc>
        <w:tc>
          <w:tcPr>
            <w:shd w:val="clear" w:color="auto" w:fill="f4f6f7"/>
            <w:tcBorders/>
            <w:tcMar>
              <w:left w:w="55" w:type="dxa"/>
              <w:top w:w="45" w:type="dxa"/>
              <w:right w:w="55" w:type="dxa"/>
              <w:bottom w:w="45" w:type="dxa"/>
            </w:tcMar>
            <w:tcW w:w="4455" w:type="dxa"/>
            <w:vAlign w:val="top"/>
          </w:tcPr>
          <w:p>
            <w:pPr>
              <w:pStyle w:val="1089"/>
              <w:pBdr/>
              <w:spacing/>
              <w:ind/>
              <w:rPr/>
            </w:pPr>
            <w:r>
              <w:t xml:space="preserve">Lexical resemblance is never sufficient evidence for SEM, FUN, STR or stronger relations.</w:t>
            </w:r>
            <w:r/>
          </w:p>
        </w:tc>
      </w:tr>
    </w:tbl>
    <w:p>
      <w:pPr>
        <w:pStyle w:val="1097"/>
        <w:pBdr/>
        <w:spacing/>
        <w:ind/>
        <w:rPr/>
      </w:pPr>
      <w:r/>
      <w:r/>
    </w:p>
    <w:p>
      <w:pPr>
        <w:pStyle w:val="924"/>
        <w:keepNext w:val="true"/>
        <w:keepLines w:val="true"/>
        <w:pBdr/>
        <w:spacing/>
        <w:ind/>
        <w:rPr/>
      </w:pPr>
      <w:r/>
      <w:bookmarkStart w:id="39" w:name="s6_1_workflow"/>
      <w:r>
        <w:t xml:space="preserve">6.1 Comparison workflow</w:t>
      </w:r>
      <w:bookmarkEnd w:id="39"/>
      <w:r/>
      <w:r/>
    </w:p>
    <w:p>
      <w:pPr>
        <w:pStyle w:val="1085"/>
        <w:keepLines w:val="false"/>
        <w:pBdr/>
        <w:spacing/>
        <w:ind/>
        <w:rPr/>
      </w:pPr>
      <w:r>
        <w:t xml:space="preserve">1. Selection: define the research question, comparands, exact Claim pairs, relation dimension, scale, scope and inclusion rationale.</w:t>
      </w:r>
      <w:r/>
    </w:p>
    <w:p>
      <w:pPr>
        <w:pStyle w:val="1085"/>
        <w:keepLines w:val="false"/>
        <w:pBdr/>
        <w:spacing/>
        <w:ind/>
        <w:rPr/>
      </w:pPr>
      <w:r>
        <w:t xml:space="preserve">2. Independent emic description: source-ground each comparand before juxtaposition.</w:t>
      </w:r>
      <w:r/>
    </w:p>
    <w:p>
      <w:pPr>
        <w:pStyle w:val="1085"/>
        <w:keepLines w:val="false"/>
        <w:pBdr/>
        <w:spacing/>
        <w:ind/>
        <w:rPr/>
      </w:pPr>
      <w:r>
        <w:t xml:space="preserve">3. Atlas encoding: map QuestionResponses using the applicable primary response state, retain any separate CAT warnings, and preserve material translation tensions.</w:t>
      </w:r>
      <w:r/>
    </w:p>
    <w:p>
      <w:pPr>
        <w:pStyle w:val="1085"/>
        <w:keepLines w:val="false"/>
        <w:pBdr/>
        <w:spacing/>
        <w:ind/>
        <w:rPr/>
      </w:pPr>
      <w:r>
        <w:t xml:space="preserve">4. Juxtaposition: align claims without declaring equivalence.</w:t>
      </w:r>
      <w:r/>
    </w:p>
    <w:p>
      <w:pPr>
        <w:pStyle w:val="1085"/>
        <w:keepLines w:val="false"/>
        <w:pBdr/>
        <w:spacing/>
        <w:ind/>
        <w:rPr/>
      </w:pPr>
      <w:r>
        <w:t xml:space="preserve">5. Tertium test: mark the tertium VALID, REVISED or DISTORTING; a DISTORTING event cannot carry a positive relation under that tertium.</w:t>
      </w:r>
      <w:r/>
    </w:p>
    <w:p>
      <w:pPr>
        <w:pStyle w:val="1085"/>
        <w:keepLines w:val="false"/>
        <w:pBdr/>
        <w:spacing/>
        <w:ind/>
        <w:rPr/>
      </w:pPr>
      <w:r>
        <w:t xml:space="preserve">6. Disanalogy search: actively seek differences, missing categories and counterexamples and link them to canonical Claims.</w:t>
      </w:r>
      <w:r/>
    </w:p>
    <w:p>
      <w:pPr>
        <w:pStyle w:val="1085"/>
        <w:keepLines w:val="false"/>
        <w:pBdr/>
        <w:spacing/>
        <w:ind/>
        <w:rPr/>
      </w:pPr>
      <w:r>
        <w:t xml:space="preserve">7. Relation classification: assign zero or more relation types, each as one ComparativeRelation with exact scope and evidence.</w:t>
      </w:r>
      <w:r/>
    </w:p>
    <w:p>
      <w:pPr>
        <w:pStyle w:val="1085"/>
        <w:keepLines w:val="false"/>
        <w:pBdr/>
        <w:spacing/>
        <w:ind/>
        <w:rPr/>
      </w:pPr>
      <w:r>
        <w:t xml:space="preserve">8. Coherence validation: test the relation set against the logical coherence key and matrix.</w:t>
      </w:r>
      <w:r/>
    </w:p>
    <w:p>
      <w:pPr>
        <w:pStyle w:val="1085"/>
        <w:keepLines w:val="false"/>
        <w:pBdr/>
        <w:spacing/>
        <w:ind/>
        <w:rPr/>
      </w:pPr>
      <w:r>
        <w:t xml:space="preserve">9. Redescription: revise either comparand if comparison exposes hidden assumptions.</w:t>
      </w:r>
      <w:r/>
    </w:p>
    <w:p>
      <w:pPr>
        <w:pStyle w:val="1085"/>
        <w:keepLines w:val="false"/>
        <w:pBdr/>
        <w:spacing/>
        <w:ind/>
        <w:rPr/>
      </w:pPr>
      <w:r>
        <w:t xml:space="preserve">10. Genealogy and explanation: investigate transmission, shared inheritance, contact, independent convergence or unresolved dependence.</w:t>
      </w:r>
      <w:r/>
    </w:p>
    <w:p>
      <w:pPr>
        <w:pStyle w:val="1085"/>
        <w:keepLines w:val="false"/>
        <w:pBdr/>
        <w:spacing/>
        <w:ind/>
        <w:rPr/>
      </w:pPr>
      <w:r>
        <w:t xml:space="preserve">11. Synthesis eligibility: determine whether the comparison remains L1 or may contribute to a higher-level candidate.</w:t>
      </w:r>
      <w:r/>
    </w:p>
    <w:p>
      <w:pPr>
        <w:pStyle w:val="923"/>
        <w:keepNext w:val="true"/>
        <w:keepLines w:val="true"/>
        <w:pBdr/>
        <w:spacing/>
        <w:ind/>
        <w:rPr/>
      </w:pPr>
      <w:r/>
      <w:bookmarkStart w:id="40" w:name="section_7_representation"/>
      <w:r>
        <w:t xml:space="preserve">7. Diversity, representation and coverage</w:t>
      </w:r>
      <w:bookmarkEnd w:id="40"/>
      <w:r/>
      <w:r/>
    </w:p>
    <w:p>
      <w:pPr>
        <w:pStyle w:val="924"/>
        <w:keepNext w:val="true"/>
        <w:keepLines w:val="true"/>
        <w:pBdr/>
        <w:spacing/>
        <w:ind/>
        <w:rPr/>
      </w:pPr>
      <w:r/>
      <w:bookmarkStart w:id="41" w:name="s7_1_diversity"/>
      <w:r>
        <w:t xml:space="preserve">7.1 Internal diversity and aggregation</w:t>
      </w:r>
      <w:bookmarkEnd w:id="41"/>
      <w:r/>
      <w:r/>
    </w:p>
    <w:p>
      <w:pPr>
        <w:pStyle w:val="1083"/>
        <w:keepLines w:val="false"/>
        <w:pBdr/>
        <w:spacing/>
        <w:ind/>
        <w:rPr/>
      </w:pPr>
      <w:r>
        <w:t xml:space="preserve">In the variation audit, assess each of the following dimensions for the bounded Position, recording material variation where present.</w:t>
      </w:r>
      <w:r/>
    </w:p>
    <w:p>
      <w:pPr>
        <w:pStyle w:val="1084"/>
        <w:keepLines w:val="false"/>
        <w:pBdr/>
        <w:spacing/>
        <w:ind/>
        <w:rPr/>
      </w:pPr>
      <w:r>
        <w:t xml:space="preserve">• Diachronic change across periods.</w:t>
      </w:r>
      <w:r/>
    </w:p>
    <w:p>
      <w:pPr>
        <w:pStyle w:val="1084"/>
        <w:keepLines w:val="false"/>
        <w:pBdr/>
        <w:spacing/>
        <w:ind/>
        <w:rPr/>
      </w:pPr>
      <w:r>
        <w:t xml:space="preserve">• School or lineage disagreement.</w:t>
      </w:r>
      <w:r/>
    </w:p>
    <w:p>
      <w:pPr>
        <w:pStyle w:val="1084"/>
        <w:keepLines w:val="false"/>
        <w:pBdr/>
        <w:spacing/>
        <w:ind/>
        <w:rPr/>
      </w:pPr>
      <w:r>
        <w:t xml:space="preserve">• Geographic development and transmission.</w:t>
      </w:r>
      <w:r/>
    </w:p>
    <w:p>
      <w:pPr>
        <w:pStyle w:val="1084"/>
        <w:keepLines w:val="false"/>
        <w:pBdr/>
        <w:spacing/>
        <w:ind/>
        <w:rPr/>
      </w:pPr>
      <w:r>
        <w:t xml:space="preserve">• Authority level: tradition-authoritative, scholastic, reformist, vernacular, contested or marginal.</w:t>
      </w:r>
      <w:r/>
    </w:p>
    <w:p>
      <w:pPr>
        <w:pStyle w:val="1084"/>
        <w:keepLines w:val="false"/>
        <w:pBdr/>
        <w:spacing/>
        <w:ind/>
        <w:rPr/>
      </w:pPr>
      <w:r>
        <w:t xml:space="preserve">• Normative versus lived worldview.</w:t>
      </w:r>
      <w:r/>
    </w:p>
    <w:p>
      <w:pPr>
        <w:pStyle w:val="1084"/>
        <w:keepLines w:val="false"/>
        <w:pBdr/>
        <w:spacing/>
        <w:ind/>
        <w:rPr/>
      </w:pPr>
      <w:r>
        <w:t xml:space="preserve">• Elite, popular and ritual configurations.</w:t>
      </w:r>
      <w:r/>
    </w:p>
    <w:p>
      <w:pPr>
        <w:pStyle w:val="1084"/>
        <w:keepLines w:val="false"/>
        <w:pBdr/>
        <w:spacing/>
        <w:ind/>
        <w:rPr/>
      </w:pPr>
      <w:r>
        <w:t xml:space="preserve">• Individual versus communal scope.</w:t>
      </w:r>
      <w:r/>
    </w:p>
    <w:p>
      <w:pPr>
        <w:pStyle w:val="1084"/>
        <w:keepLines w:val="false"/>
        <w:pBdr/>
        <w:spacing/>
        <w:ind/>
        <w:rPr/>
      </w:pPr>
      <w:r>
        <w:t xml:space="preserve">• Source-genre differences, including myth, metaphysics, law, ritual manual, hagiography, poetry, commentary, ethnography and experiment.</w:t>
      </w:r>
      <w:r/>
    </w:p>
    <w:p>
      <w:pPr>
        <w:pStyle w:val="1086"/>
        <w:keepNext w:val="true"/>
        <w:keepLines w:val="true"/>
        <w:pBdr/>
        <w:spacing/>
        <w:ind/>
        <w:rPr/>
      </w:pPr>
      <w:r/>
      <w:bookmarkStart w:id="42" w:name="tbl_aggregation_labels"/>
      <w:r>
        <w:t xml:space="preserve">Governing — Aggregation labels and restrictions</w:t>
      </w:r>
      <w:bookmarkEnd w:id="42"/>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994"/>
        <w:gridCol w:w="2921"/>
        <w:gridCol w:w="4090"/>
      </w:tblGrid>
      <w:tr>
        <w:trPr>
          <w:cantSplit/>
          <w:tblHeader/>
        </w:trPr>
        <w:tc>
          <w:tcPr>
            <w:shd w:val="clear" w:color="auto" w:fill="1f5d7a"/>
            <w:tcBorders/>
            <w:tcMar>
              <w:left w:w="70" w:type="dxa"/>
              <w:top w:w="55" w:type="dxa"/>
              <w:right w:w="70" w:type="dxa"/>
              <w:bottom w:w="55" w:type="dxa"/>
            </w:tcMar>
            <w:tcW w:w="2994" w:type="dxa"/>
            <w:vAlign w:val="top"/>
          </w:tcPr>
          <w:p>
            <w:pPr>
              <w:pStyle w:val="1087"/>
              <w:pBdr/>
              <w:spacing/>
              <w:ind/>
              <w:rPr/>
            </w:pPr>
            <w:r>
              <w:t xml:space="preserve">Label</w:t>
            </w:r>
            <w:r/>
          </w:p>
        </w:tc>
        <w:tc>
          <w:tcPr>
            <w:shd w:val="clear" w:color="auto" w:fill="1f5d7a"/>
            <w:tcBorders/>
            <w:tcMar>
              <w:left w:w="70" w:type="dxa"/>
              <w:top w:w="55" w:type="dxa"/>
              <w:right w:w="70" w:type="dxa"/>
              <w:bottom w:w="55" w:type="dxa"/>
            </w:tcMar>
            <w:tcW w:w="2921" w:type="dxa"/>
            <w:vAlign w:val="top"/>
          </w:tcPr>
          <w:p>
            <w:pPr>
              <w:pStyle w:val="1087"/>
              <w:pBdr/>
              <w:spacing/>
              <w:ind/>
              <w:rPr/>
            </w:pPr>
            <w:r>
              <w:t xml:space="preserve">Meaning</w:t>
            </w:r>
            <w:r/>
          </w:p>
        </w:tc>
        <w:tc>
          <w:tcPr>
            <w:shd w:val="clear" w:color="auto" w:fill="1f5d7a"/>
            <w:tcBorders/>
            <w:tcMar>
              <w:left w:w="70" w:type="dxa"/>
              <w:top w:w="55" w:type="dxa"/>
              <w:right w:w="70" w:type="dxa"/>
              <w:bottom w:w="55" w:type="dxa"/>
            </w:tcMar>
            <w:tcW w:w="4090" w:type="dxa"/>
            <w:vAlign w:val="top"/>
          </w:tcPr>
          <w:p>
            <w:pPr>
              <w:pStyle w:val="1087"/>
              <w:pBdr/>
              <w:spacing/>
              <w:ind/>
              <w:rPr/>
            </w:pPr>
            <w:r>
              <w:t xml:space="preserve">Restriction</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Text-specific</w:t>
            </w:r>
            <w:r/>
          </w:p>
        </w:tc>
        <w:tc>
          <w:tcPr>
            <w:shd w:val="clear" w:color="auto" w:fill="ffffff"/>
            <w:tcBorders/>
            <w:tcMar>
              <w:left w:w="70" w:type="dxa"/>
              <w:top w:w="55" w:type="dxa"/>
              <w:right w:w="70" w:type="dxa"/>
              <w:bottom w:w="55" w:type="dxa"/>
            </w:tcMar>
            <w:tcW w:w="2921" w:type="dxa"/>
            <w:vAlign w:val="top"/>
          </w:tcPr>
          <w:p>
            <w:pPr>
              <w:pStyle w:val="1088"/>
              <w:pBdr/>
              <w:spacing/>
              <w:ind/>
              <w:rPr/>
            </w:pPr>
            <w:r>
              <w:t xml:space="preserve">Only the named source/corpus</w:t>
            </w:r>
            <w:r/>
          </w:p>
        </w:tc>
        <w:tc>
          <w:tcPr>
            <w:shd w:val="clear" w:color="auto" w:fill="ffffff"/>
            <w:tcBorders/>
            <w:tcMar>
              <w:left w:w="70" w:type="dxa"/>
              <w:top w:w="55" w:type="dxa"/>
              <w:right w:w="70" w:type="dxa"/>
              <w:bottom w:w="55" w:type="dxa"/>
            </w:tcMar>
            <w:tcW w:w="4090" w:type="dxa"/>
            <w:vAlign w:val="top"/>
          </w:tcPr>
          <w:p>
            <w:pPr>
              <w:pStyle w:val="1088"/>
              <w:pBdr/>
              <w:spacing/>
              <w:ind/>
              <w:rPr/>
            </w:pPr>
            <w:r>
              <w:t xml:space="preserve">No upward generalization.</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Thinker-specific</w:t>
            </w:r>
            <w:r/>
          </w:p>
        </w:tc>
        <w:tc>
          <w:tcPr>
            <w:shd w:val="clear" w:color="auto" w:fill="f4f6f7"/>
            <w:tcBorders/>
            <w:tcMar>
              <w:left w:w="70" w:type="dxa"/>
              <w:top w:w="55" w:type="dxa"/>
              <w:right w:w="70" w:type="dxa"/>
              <w:bottom w:w="55" w:type="dxa"/>
            </w:tcMar>
            <w:tcW w:w="2921" w:type="dxa"/>
            <w:vAlign w:val="top"/>
          </w:tcPr>
          <w:p>
            <w:pPr>
              <w:pStyle w:val="1088"/>
              <w:pBdr/>
              <w:spacing/>
              <w:ind/>
              <w:rPr/>
            </w:pPr>
            <w:r>
              <w:t xml:space="preserve">Named agent</w:t>
            </w:r>
            <w:r/>
          </w:p>
        </w:tc>
        <w:tc>
          <w:tcPr>
            <w:shd w:val="clear" w:color="auto" w:fill="f4f6f7"/>
            <w:tcBorders/>
            <w:tcMar>
              <w:left w:w="70" w:type="dxa"/>
              <w:top w:w="55" w:type="dxa"/>
              <w:right w:w="70" w:type="dxa"/>
              <w:bottom w:w="55" w:type="dxa"/>
            </w:tcMar>
            <w:tcW w:w="4090" w:type="dxa"/>
            <w:vAlign w:val="top"/>
          </w:tcPr>
          <w:p>
            <w:pPr>
              <w:pStyle w:val="1088"/>
              <w:pBdr/>
              <w:spacing/>
              <w:ind/>
              <w:rPr/>
            </w:pPr>
            <w:r>
              <w:t xml:space="preserve">Do not label school-wide without evidence.</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School/lineage-specific</w:t>
            </w:r>
            <w:r/>
          </w:p>
        </w:tc>
        <w:tc>
          <w:tcPr>
            <w:shd w:val="clear" w:color="auto" w:fill="ffffff"/>
            <w:tcBorders/>
            <w:tcMar>
              <w:left w:w="70" w:type="dxa"/>
              <w:top w:w="55" w:type="dxa"/>
              <w:right w:w="70" w:type="dxa"/>
              <w:bottom w:w="55" w:type="dxa"/>
            </w:tcMar>
            <w:tcW w:w="2921" w:type="dxa"/>
            <w:vAlign w:val="top"/>
          </w:tcPr>
          <w:p>
            <w:pPr>
              <w:pStyle w:val="1088"/>
              <w:pBdr/>
              <w:spacing/>
              <w:ind/>
              <w:rPr/>
            </w:pPr>
            <w:r>
              <w:t xml:space="preserve">Bounded school/lineage</w:t>
            </w:r>
            <w:r/>
          </w:p>
        </w:tc>
        <w:tc>
          <w:tcPr>
            <w:shd w:val="clear" w:color="auto" w:fill="ffffff"/>
            <w:tcBorders/>
            <w:tcMar>
              <w:left w:w="70" w:type="dxa"/>
              <w:top w:w="55" w:type="dxa"/>
              <w:right w:w="70" w:type="dxa"/>
              <w:bottom w:w="55" w:type="dxa"/>
            </w:tcMar>
            <w:tcW w:w="4090" w:type="dxa"/>
            <w:vAlign w:val="top"/>
          </w:tcPr>
          <w:p>
            <w:pPr>
              <w:pStyle w:val="1088"/>
              <w:pBdr/>
              <w:spacing/>
              <w:ind/>
              <w:rPr/>
            </w:pPr>
            <w:r>
              <w:t xml:space="preserve">Record dissent and chronology.</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Multi-branch / widespread</w:t>
            </w:r>
            <w:r/>
          </w:p>
        </w:tc>
        <w:tc>
          <w:tcPr>
            <w:shd w:val="clear" w:color="auto" w:fill="f4f6f7"/>
            <w:tcBorders/>
            <w:tcMar>
              <w:left w:w="70" w:type="dxa"/>
              <w:top w:w="55" w:type="dxa"/>
              <w:right w:w="70" w:type="dxa"/>
              <w:bottom w:w="55" w:type="dxa"/>
            </w:tcMar>
            <w:tcW w:w="2921" w:type="dxa"/>
            <w:vAlign w:val="top"/>
          </w:tcPr>
          <w:p>
            <w:pPr>
              <w:pStyle w:val="1088"/>
              <w:pBdr/>
              <w:spacing/>
              <w:ind/>
              <w:rPr/>
            </w:pPr>
            <w:r>
              <w:t xml:space="preserve">Several major branches/regions</w:t>
            </w:r>
            <w:r/>
          </w:p>
        </w:tc>
        <w:tc>
          <w:tcPr>
            <w:shd w:val="clear" w:color="auto" w:fill="f4f6f7"/>
            <w:tcBorders/>
            <w:tcMar>
              <w:left w:w="70" w:type="dxa"/>
              <w:top w:w="55" w:type="dxa"/>
              <w:right w:w="70" w:type="dxa"/>
              <w:bottom w:w="55" w:type="dxa"/>
            </w:tcMar>
            <w:tcW w:w="4090" w:type="dxa"/>
            <w:vAlign w:val="top"/>
          </w:tcPr>
          <w:p>
            <w:pPr>
              <w:pStyle w:val="1088"/>
              <w:pBdr/>
              <w:spacing/>
              <w:ind/>
              <w:rPr/>
            </w:pPr>
            <w:r>
              <w:t xml:space="preserve">Coverage MUST be named; widespread does not mean universal.</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Cross-Position abstraction</w:t>
            </w:r>
            <w:r/>
          </w:p>
        </w:tc>
        <w:tc>
          <w:tcPr>
            <w:shd w:val="clear" w:color="auto" w:fill="ffffff"/>
            <w:tcBorders/>
            <w:tcMar>
              <w:left w:w="70" w:type="dxa"/>
              <w:top w:w="55" w:type="dxa"/>
              <w:right w:w="70" w:type="dxa"/>
              <w:bottom w:w="55" w:type="dxa"/>
            </w:tcMar>
            <w:tcW w:w="2921" w:type="dxa"/>
            <w:vAlign w:val="top"/>
          </w:tcPr>
          <w:p>
            <w:pPr>
              <w:pStyle w:val="1088"/>
              <w:pBdr/>
              <w:spacing/>
              <w:ind/>
              <w:rPr/>
            </w:pPr>
            <w:r>
              <w:t xml:space="preserve">Atlas/scholarly synthesis</w:t>
            </w:r>
            <w:r/>
          </w:p>
        </w:tc>
        <w:tc>
          <w:tcPr>
            <w:shd w:val="clear" w:color="auto" w:fill="ffffff"/>
            <w:tcBorders/>
            <w:tcMar>
              <w:left w:w="70" w:type="dxa"/>
              <w:top w:w="55" w:type="dxa"/>
              <w:right w:w="70" w:type="dxa"/>
              <w:bottom w:w="55" w:type="dxa"/>
            </w:tcMar>
            <w:tcW w:w="4090" w:type="dxa"/>
            <w:vAlign w:val="top"/>
          </w:tcPr>
          <w:p>
            <w:pPr>
              <w:pStyle w:val="1088"/>
              <w:pBdr/>
              <w:spacing/>
              <w:ind/>
              <w:rPr/>
            </w:pPr>
            <w:r>
              <w:t xml:space="preserve">Always ATLAS_INFERENCE; must not be presented as emic self-description.</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Contested</w:t>
            </w:r>
            <w:r/>
          </w:p>
        </w:tc>
        <w:tc>
          <w:tcPr>
            <w:shd w:val="clear" w:color="auto" w:fill="f4f6f7"/>
            <w:tcBorders/>
            <w:tcMar>
              <w:left w:w="70" w:type="dxa"/>
              <w:top w:w="55" w:type="dxa"/>
              <w:right w:w="70" w:type="dxa"/>
              <w:bottom w:w="55" w:type="dxa"/>
            </w:tcMar>
            <w:tcW w:w="2921" w:type="dxa"/>
            <w:vAlign w:val="top"/>
          </w:tcPr>
          <w:p>
            <w:pPr>
              <w:pStyle w:val="1088"/>
              <w:pBdr/>
              <w:spacing/>
              <w:ind/>
              <w:rPr/>
            </w:pPr>
            <w:r>
              <w:t xml:space="preserve">Material dispute within bounded Position</w:t>
            </w:r>
            <w:r/>
          </w:p>
        </w:tc>
        <w:tc>
          <w:tcPr>
            <w:shd w:val="clear" w:color="auto" w:fill="f4f6f7"/>
            <w:tcBorders/>
            <w:tcMar>
              <w:left w:w="70" w:type="dxa"/>
              <w:top w:w="55" w:type="dxa"/>
              <w:right w:w="70" w:type="dxa"/>
              <w:bottom w:w="55" w:type="dxa"/>
            </w:tcMar>
            <w:tcW w:w="4090" w:type="dxa"/>
            <w:vAlign w:val="top"/>
          </w:tcPr>
          <w:p>
            <w:pPr>
              <w:pStyle w:val="1088"/>
              <w:pBdr/>
              <w:spacing/>
              <w:ind/>
              <w:rPr/>
            </w:pPr>
            <w:r>
              <w:t xml:space="preserve">Present competing positions rather than choosing silently.</w:t>
            </w:r>
            <w:r/>
          </w:p>
        </w:tc>
      </w:tr>
    </w:tbl>
    <w:p>
      <w:pPr>
        <w:pStyle w:val="1097"/>
        <w:pBdr/>
        <w:spacing/>
        <w:ind/>
        <w:rPr/>
      </w:pPr>
      <w:r/>
      <w:r/>
    </w:p>
    <w:p>
      <w:pPr>
        <w:pStyle w:val="924"/>
        <w:keepNext w:val="true"/>
        <w:keepLines w:val="true"/>
        <w:pBdr/>
        <w:spacing/>
        <w:ind/>
        <w:rPr/>
      </w:pPr>
      <w:r/>
      <w:bookmarkStart w:id="43" w:name="s7_2_readiness"/>
      <w:r>
        <w:t xml:space="preserve">7.2 Representation readiness and source-community coverage</w:t>
      </w:r>
      <w:bookmarkEnd w:id="43"/>
      <w:r/>
      <w:r/>
    </w:p>
    <w:p>
      <w:pPr>
        <w:pStyle w:val="1083"/>
        <w:keepLines w:val="false"/>
        <w:pBdr/>
        <w:spacing/>
        <w:ind/>
        <w:rPr/>
      </w:pPr>
      <w:r>
        <w:t xml:space="preserve">Source grounding, specialist review, community governance, rights</w:t>
      </w:r>
      <w:r>
        <w:t xml:space="preserve">/access and release eligibility are independent fields and must be assessed separately. Any compact INT/SRC/REV/COM/REL label is a derived display only and cannot waive an unmet component. Exact values are in Annex A; complete record fields are in Annex B.</w:t>
      </w:r>
      <w:r/>
    </w:p>
    <w:p>
      <w:pPr>
        <w:pStyle w:val="1083"/>
        <w:keepLines w:val="false"/>
        <w:pBdr/>
        <w:spacing/>
        <w:ind/>
        <w:rPr/>
      </w:pPr>
      <w:r>
        <w:t xml:space="preserve">Where source-community coverage applies, </w:t>
      </w:r>
      <w:r>
        <w:t xml:space="preserve">the record states applicability, coverage basis and level, authority scope, rights and protocols, limitations, engagement, feedback action, authorized Local Contexts metadata and release basis. No single person is presumed to represent an entire community.</w:t>
      </w:r>
      <w:r/>
    </w:p>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Lived-worldview rule</w:t>
            </w:r>
            <w:r/>
          </w:p>
          <w:p>
            <w:pPr>
              <w:pStyle w:val="1092"/>
              <w:pBdr/>
              <w:spacing/>
              <w:ind/>
              <w:rPr/>
            </w:pPr>
            <w:r>
              <w:t xml:space="preserve">When evidence permits, separate normative doctrine, historical manifestation and lived worldview. A tradition-authoritative text is not evidence of contemporary practice by default, and a single ethnography is not an unmediated community voice.</w:t>
            </w:r>
            <w:r/>
          </w:p>
        </w:tc>
      </w:tr>
    </w:tbl>
    <w:p>
      <w:pPr>
        <w:pStyle w:val="1097"/>
        <w:pBdr/>
        <w:spacing/>
        <w:ind/>
        <w:rPr/>
      </w:pPr>
      <w:r/>
      <w:r/>
    </w:p>
    <w:p>
      <w:pPr>
        <w:pStyle w:val="924"/>
        <w:keepNext w:val="true"/>
        <w:keepLines w:val="true"/>
        <w:pBdr/>
        <w:spacing/>
        <w:ind/>
        <w:rPr/>
      </w:pPr>
      <w:r/>
      <w:bookmarkStart w:id="44" w:name="s7_3_coverage"/>
      <w:r>
        <w:t xml:space="preserve">7.3 Inclusion, coverage debt and saturation</w:t>
      </w:r>
      <w:bookmarkEnd w:id="44"/>
      <w:r/>
      <w:r/>
    </w:p>
    <w:p>
      <w:pPr>
        <w:pStyle w:val="1083"/>
        <w:keepLines w:val="false"/>
        <w:pBdr/>
        <w:spacing/>
        <w:ind/>
        <w:rPr/>
      </w:pPr>
      <w:r>
        <w:t xml:space="preserve">A candidate enters the research universe only when it is boundable, sufficiently documented for at least one substantive domain, comparatively relevant and ethically/epistemically feasible.</w:t>
      </w:r>
      <w:r/>
    </w:p>
    <w:p>
      <w:pPr>
        <w:pStyle w:val="1083"/>
        <w:keepLines w:val="false"/>
        <w:pBdr/>
        <w:spacing/>
        <w:ind/>
        <w:rPr/>
      </w:pPr>
      <w:r>
        <w:t xml:space="preserve">Among eligible candidates, assess the following selection considerations.</w:t>
      </w:r>
      <w:r/>
    </w:p>
    <w:p>
      <w:pPr>
        <w:pStyle w:val="1084"/>
        <w:keepLines w:val="false"/>
        <w:pBdr/>
        <w:spacing/>
        <w:ind/>
        <w:rPr/>
      </w:pPr>
      <w:r>
        <w:t xml:space="preserve">• Historical influence or cultural importance.</w:t>
      </w:r>
      <w:r/>
    </w:p>
    <w:p>
      <w:pPr>
        <w:pStyle w:val="1084"/>
        <w:keepLines w:val="false"/>
        <w:pBdr/>
        <w:spacing/>
        <w:ind/>
        <w:rPr/>
      </w:pPr>
      <w:r>
        <w:t xml:space="preserve">• Conceptual distinctiveness or category-challenging counterexample.</w:t>
      </w:r>
      <w:r/>
    </w:p>
    <w:p>
      <w:pPr>
        <w:pStyle w:val="1084"/>
        <w:keepLines w:val="false"/>
        <w:pBdr/>
        <w:spacing/>
        <w:ind/>
        <w:rPr/>
      </w:pPr>
      <w:r>
        <w:t xml:space="preserve">• Geographic and linguistic coverage.</w:t>
      </w:r>
      <w:r/>
    </w:p>
    <w:p>
      <w:pPr>
        <w:pStyle w:val="1084"/>
        <w:keepLines w:val="false"/>
        <w:pBdr/>
        <w:spacing/>
        <w:ind/>
        <w:rPr/>
      </w:pPr>
      <w:r>
        <w:t xml:space="preserve">• Representation of oral and lived as well as textual traditions.</w:t>
      </w:r>
      <w:r/>
    </w:p>
    <w:p>
      <w:pPr>
        <w:pStyle w:val="1084"/>
        <w:keepLines w:val="false"/>
        <w:pBdr/>
        <w:spacing/>
        <w:ind/>
        <w:rPr/>
      </w:pPr>
      <w:r>
        <w:t xml:space="preserve">• Underrepresented lineages or philosophical genres.</w:t>
      </w:r>
      <w:r/>
    </w:p>
    <w:p>
      <w:pPr>
        <w:pStyle w:val="1084"/>
        <w:keepLines w:val="false"/>
        <w:pBdr/>
        <w:spacing/>
        <w:ind/>
        <w:rPr/>
      </w:pPr>
      <w:r>
        <w:t xml:space="preserve">• Potential to expose limitations in the schema.</w:t>
      </w:r>
      <w:r/>
    </w:p>
    <w:p>
      <w:pPr>
        <w:pStyle w:val="1084"/>
        <w:keepLines w:val="false"/>
        <w:pBdr/>
        <w:spacing/>
        <w:ind/>
        <w:rPr/>
      </w:pPr>
      <w:r>
        <w:t xml:space="preserve">• Source quality and availability.</w:t>
      </w:r>
      <w:r/>
    </w:p>
    <w:p>
      <w:pPr>
        <w:pStyle w:val="1084"/>
        <w:keepLines w:val="false"/>
        <w:pBdr/>
        <w:spacing/>
        <w:ind/>
        <w:rPr/>
      </w:pPr>
      <w:r>
        <w:t xml:space="preserve">• Contribution to comparison across multiple domains.</w:t>
      </w:r>
      <w:r/>
    </w:p>
    <w:p>
      <w:pPr>
        <w:pStyle w:val="1083"/>
        <w:keepLines w:val="false"/>
        <w:pBdr/>
        <w:spacing/>
        <w:ind/>
        <w:rPr/>
      </w:pPr>
      <w:r>
        <w:t xml:space="preserve">The Atlas MUST maintain a coverage-debt register rather than claim literal completeness. At minimum it tracks macro-region, period, religious or secular status, textual/oral/lived evidence type, philosophical genre, family or lineage, source language, s</w:t>
      </w:r>
      <w:r>
        <w:t xml:space="preserve">ource-community coverage applicability/status and major underrepresented solution-spaces. Publication Architecture Specification determines which debts are editorially material; this specification determines whether evidence used to close them is adequate.</w:t>
      </w:r>
      <w:r/>
    </w:p>
    <w:p>
      <w:pPr>
        <w:pStyle w:val="1083"/>
        <w:keepLines w:val="false"/>
        <w:pBdr/>
        <w:spacing/>
        <w:ind/>
        <w:rPr/>
      </w:pPr>
      <w:r>
        <w:t xml:space="preserve">Expansion pauses when priority debts fall below an agreed threshold; new candidates mainly instantiate represented solution</w:t>
      </w:r>
      <w:r>
        <w:t xml:space="preserve">-types without materially changing relation or fault-line structure; important counterexamples have been actively sought; and the next coverage increment has low conceptual yield relative to research cost. This is conceptual saturation, not exhaustiveness.</w:t>
      </w:r>
      <w:r/>
    </w:p>
    <w:p>
      <w:pPr>
        <w:pStyle w:val="922"/>
        <w:keepNext w:val="true"/>
        <w:keepLines w:val="true"/>
        <w:pBdr/>
        <w:spacing/>
        <w:ind/>
        <w:rPr/>
      </w:pPr>
      <w:r/>
      <w:bookmarkStart w:id="45" w:name="part_ii_operating_control"/>
      <w:r>
        <w:t xml:space="preserve">Part II — Operating control</w:t>
      </w:r>
      <w:bookmarkEnd w:id="45"/>
      <w:r/>
      <w:r/>
    </w:p>
    <w:p>
      <w:pPr>
        <w:pStyle w:val="1086"/>
        <w:keepNext w:val="true"/>
        <w:keepLines w:val="true"/>
        <w:pBdr/>
        <w:spacing/>
        <w:ind/>
        <w:rPr/>
      </w:pPr>
      <w:r/>
      <w:bookmarkStart w:id="46" w:name="Section_front_door_2"/>
      <w:r>
        <w:t xml:space="preserve">Governing — Section front door</w:t>
      </w:r>
      <w:bookmarkEnd w:id="46"/>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1972"/>
        <w:gridCol w:w="8034"/>
      </w:tblGrid>
      <w:tr>
        <w:trPr>
          <w:cantSplit/>
          <w:tblHeader/>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Purpose</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Convert valid research into controlled canonical records, reviewable workflows, gate evidence, bounded synthesis, traceable publication claims and release decisions.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Primary users</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Research and validation leads, data engineers, independent coders, specialist and source-community reviewers, release officers and publication integrators.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Authority status</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Governing</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Decision or rule</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The Canonical Evidence Store is authoritative; generated or public views are derivative; provisional work may proceed but cannot be released as validated evidence.</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Required output</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A named canonical build, review and gate evidence, release-authorized views and a GO or HOLD decision.</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Go to</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Annexes B–C for complete schemas, validation constraints, packet specifications and templates.</w:t>
            </w:r>
            <w:r/>
          </w:p>
        </w:tc>
      </w:tr>
    </w:tbl>
    <w:p>
      <w:pPr>
        <w:pStyle w:val="1097"/>
        <w:pBdr/>
        <w:spacing/>
        <w:ind/>
        <w:rPr/>
      </w:pPr>
      <w:r/>
      <w:r/>
    </w:p>
    <w:p>
      <w:pPr>
        <w:pStyle w:val="923"/>
        <w:keepNext w:val="true"/>
        <w:keepLines w:val="true"/>
        <w:pBdr/>
        <w:spacing/>
        <w:ind/>
        <w:rPr/>
      </w:pPr>
      <w:r/>
      <w:bookmarkStart w:id="47" w:name="section_8_canonical"/>
      <w:r>
        <w:t xml:space="preserve">8. Canonical authority and validation</w:t>
      </w:r>
      <w:bookmarkEnd w:id="47"/>
      <w:r/>
      <w:r/>
    </w:p>
    <w:p>
      <w:pPr>
        <w:pStyle w:val="924"/>
        <w:keepNext w:val="true"/>
        <w:keepLines w:val="true"/>
        <w:pBdr/>
        <w:spacing/>
        <w:ind/>
        <w:rPr/>
      </w:pPr>
      <w:r/>
      <w:bookmarkStart w:id="48" w:name="s8_1_layers"/>
      <w:r>
        <w:t xml:space="preserve">8.1 Four-layer authority model</w:t>
      </w:r>
      <w:bookmarkEnd w:id="48"/>
      <w:r/>
      <w:r/>
    </w:p>
    <w:p>
      <w:pPr>
        <w:pStyle w:val="1086"/>
        <w:keepNext w:val="true"/>
        <w:keepLines w:val="true"/>
        <w:pBdr/>
        <w:spacing/>
        <w:ind/>
        <w:rPr/>
      </w:pPr>
      <w:r/>
      <w:bookmarkStart w:id="49" w:name="tbl_four_layer_model"/>
      <w:r>
        <w:t xml:space="preserve">Governing — Canonical, system, generated-view and public layers</w:t>
      </w:r>
      <w:bookmarkEnd w:id="49"/>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264"/>
        <w:gridCol w:w="5258"/>
        <w:gridCol w:w="2483"/>
      </w:tblGrid>
      <w:tr>
        <w:trPr>
          <w:cantSplit/>
          <w:tblHeader/>
        </w:trPr>
        <w:tc>
          <w:tcPr>
            <w:shd w:val="clear" w:color="auto" w:fill="1f5d7a"/>
            <w:tcBorders/>
            <w:tcMar>
              <w:left w:w="70" w:type="dxa"/>
              <w:top w:w="55" w:type="dxa"/>
              <w:right w:w="70" w:type="dxa"/>
              <w:bottom w:w="55" w:type="dxa"/>
            </w:tcMar>
            <w:tcW w:w="2264" w:type="dxa"/>
            <w:vAlign w:val="top"/>
          </w:tcPr>
          <w:p>
            <w:pPr>
              <w:pStyle w:val="1087"/>
              <w:pBdr/>
              <w:spacing/>
              <w:ind/>
              <w:rPr/>
            </w:pPr>
            <w:r>
              <w:t xml:space="preserve">Layer</w:t>
            </w:r>
            <w:r/>
          </w:p>
        </w:tc>
        <w:tc>
          <w:tcPr>
            <w:shd w:val="clear" w:color="auto" w:fill="1f5d7a"/>
            <w:tcBorders/>
            <w:tcMar>
              <w:left w:w="70" w:type="dxa"/>
              <w:top w:w="55" w:type="dxa"/>
              <w:right w:w="70" w:type="dxa"/>
              <w:bottom w:w="55" w:type="dxa"/>
            </w:tcMar>
            <w:tcW w:w="5258" w:type="dxa"/>
            <w:vAlign w:val="top"/>
          </w:tcPr>
          <w:p>
            <w:pPr>
              <w:pStyle w:val="1087"/>
              <w:pBdr/>
              <w:spacing/>
              <w:ind/>
              <w:rPr/>
            </w:pPr>
            <w:r>
              <w:t xml:space="preserve">Definition</w:t>
            </w:r>
            <w:r/>
          </w:p>
        </w:tc>
        <w:tc>
          <w:tcPr>
            <w:shd w:val="clear" w:color="auto" w:fill="1f5d7a"/>
            <w:tcBorders/>
            <w:tcMar>
              <w:left w:w="70" w:type="dxa"/>
              <w:top w:w="55" w:type="dxa"/>
              <w:right w:w="70" w:type="dxa"/>
              <w:bottom w:w="55" w:type="dxa"/>
            </w:tcMar>
            <w:tcW w:w="2483" w:type="dxa"/>
            <w:vAlign w:val="top"/>
          </w:tcPr>
          <w:p>
            <w:pPr>
              <w:pStyle w:val="1087"/>
              <w:pBdr/>
              <w:spacing/>
              <w:ind/>
              <w:rPr/>
            </w:pPr>
            <w:r>
              <w:t xml:space="preserve">Authority rule</w:t>
            </w:r>
            <w:r/>
          </w:p>
        </w:tc>
      </w:tr>
      <w:tr>
        <w:trPr>
          <w:cantSplit/>
        </w:trPr>
        <w:tc>
          <w:tcPr>
            <w:shd w:val="clear" w:color="auto" w:fill="ffffff"/>
            <w:tcBorders/>
            <w:tcMar>
              <w:left w:w="70" w:type="dxa"/>
              <w:top w:w="55" w:type="dxa"/>
              <w:right w:w="70" w:type="dxa"/>
              <w:bottom w:w="55" w:type="dxa"/>
            </w:tcMar>
            <w:tcW w:w="2264" w:type="dxa"/>
            <w:vAlign w:val="top"/>
          </w:tcPr>
          <w:p>
            <w:pPr>
              <w:pStyle w:val="1088"/>
              <w:pBdr/>
              <w:spacing/>
              <w:ind/>
              <w:rPr/>
            </w:pPr>
            <w:r>
              <w:t xml:space="preserve">1. Canonical Evidence Store</w:t>
            </w:r>
            <w:r/>
          </w:p>
        </w:tc>
        <w:tc>
          <w:tcPr>
            <w:shd w:val="clear" w:color="auto" w:fill="ffffff"/>
            <w:tcBorders/>
            <w:tcMar>
              <w:left w:w="70" w:type="dxa"/>
              <w:top w:w="55" w:type="dxa"/>
              <w:right w:w="70" w:type="dxa"/>
              <w:bottom w:w="55" w:type="dxa"/>
            </w:tcMar>
            <w:tcW w:w="5258" w:type="dxa"/>
            <w:vAlign w:val="top"/>
          </w:tcPr>
          <w:p>
            <w:pPr>
              <w:pStyle w:val="1088"/>
              <w:pBdr/>
              <w:spacing/>
              <w:ind/>
              <w:rPr/>
            </w:pPr>
            <w:r>
              <w:t xml:space="preserve">Versioned Position, QuestionResponse, Claim, Concept, Source/SourceInstance, Evidence, Comparison, Synthesis, Review, PublicationClaim and AIProvenance records.</w:t>
            </w:r>
            <w:r/>
          </w:p>
        </w:tc>
        <w:tc>
          <w:tcPr>
            <w:shd w:val="clear" w:color="auto" w:fill="ffffff"/>
            <w:tcBorders/>
            <w:tcMar>
              <w:left w:w="70" w:type="dxa"/>
              <w:top w:w="55" w:type="dxa"/>
              <w:right w:w="70" w:type="dxa"/>
              <w:bottom w:w="55" w:type="dxa"/>
            </w:tcMar>
            <w:tcW w:w="2483" w:type="dxa"/>
            <w:vAlign w:val="top"/>
          </w:tcPr>
          <w:p>
            <w:pPr>
              <w:pStyle w:val="1088"/>
              <w:pBdr/>
              <w:spacing/>
              <w:ind/>
              <w:rPr/>
            </w:pPr>
            <w:r>
              <w:t xml:space="preserve">Sole authoritative factual source.</w:t>
            </w:r>
            <w:r/>
          </w:p>
        </w:tc>
      </w:tr>
      <w:tr>
        <w:trPr>
          <w:cantSplit/>
        </w:trPr>
        <w:tc>
          <w:tcPr>
            <w:shd w:val="clear" w:color="auto" w:fill="f4f6f7"/>
            <w:tcBorders/>
            <w:tcMar>
              <w:left w:w="70" w:type="dxa"/>
              <w:top w:w="55" w:type="dxa"/>
              <w:right w:w="70" w:type="dxa"/>
              <w:bottom w:w="55" w:type="dxa"/>
            </w:tcMar>
            <w:tcW w:w="2264" w:type="dxa"/>
            <w:vAlign w:val="top"/>
          </w:tcPr>
          <w:p>
            <w:pPr>
              <w:pStyle w:val="1088"/>
              <w:pBdr/>
              <w:spacing/>
              <w:ind/>
              <w:rPr/>
            </w:pPr>
            <w:r>
              <w:t xml:space="preserve">2. Digital Atlas System</w:t>
            </w:r>
            <w:r/>
          </w:p>
        </w:tc>
        <w:tc>
          <w:tcPr>
            <w:shd w:val="clear" w:color="auto" w:fill="f4f6f7"/>
            <w:tcBorders/>
            <w:tcMar>
              <w:left w:w="70" w:type="dxa"/>
              <w:top w:w="55" w:type="dxa"/>
              <w:right w:w="70" w:type="dxa"/>
              <w:bottom w:w="55" w:type="dxa"/>
            </w:tcMar>
            <w:tcW w:w="5258" w:type="dxa"/>
            <w:vAlign w:val="top"/>
          </w:tcPr>
          <w:p>
            <w:pPr>
              <w:pStyle w:val="1088"/>
              <w:pBdr/>
              <w:spacing/>
              <w:ind/>
              <w:rPr/>
            </w:pPr>
            <w:r>
              <w:t xml:space="preserve">Software and services that manage records, enforce access controls, validate data and generate views.</w:t>
            </w:r>
            <w:r/>
          </w:p>
        </w:tc>
        <w:tc>
          <w:tcPr>
            <w:shd w:val="clear" w:color="auto" w:fill="f4f6f7"/>
            <w:tcBorders/>
            <w:tcMar>
              <w:left w:w="70" w:type="dxa"/>
              <w:top w:w="55" w:type="dxa"/>
              <w:right w:w="70" w:type="dxa"/>
              <w:bottom w:w="55" w:type="dxa"/>
            </w:tcMar>
            <w:tcW w:w="2483" w:type="dxa"/>
            <w:vAlign w:val="top"/>
          </w:tcPr>
          <w:p>
            <w:pPr>
              <w:pStyle w:val="1088"/>
              <w:pBdr/>
              <w:spacing/>
              <w:ind/>
              <w:rPr/>
            </w:pPr>
            <w:r>
              <w:t xml:space="preserve">Operational system; not independently factual or canonical.</w:t>
            </w:r>
            <w:r/>
          </w:p>
        </w:tc>
      </w:tr>
      <w:tr>
        <w:trPr>
          <w:cantSplit/>
        </w:trPr>
        <w:tc>
          <w:tcPr>
            <w:shd w:val="clear" w:color="auto" w:fill="ffffff"/>
            <w:tcBorders/>
            <w:tcMar>
              <w:left w:w="70" w:type="dxa"/>
              <w:top w:w="55" w:type="dxa"/>
              <w:right w:w="70" w:type="dxa"/>
              <w:bottom w:w="55" w:type="dxa"/>
            </w:tcMar>
            <w:tcW w:w="2264" w:type="dxa"/>
            <w:vAlign w:val="top"/>
          </w:tcPr>
          <w:p>
            <w:pPr>
              <w:pStyle w:val="1088"/>
              <w:pBdr/>
              <w:spacing/>
              <w:ind/>
              <w:rPr/>
            </w:pPr>
            <w:r>
              <w:t xml:space="preserve">3. Generated Evidence Views</w:t>
            </w:r>
            <w:r/>
          </w:p>
        </w:tc>
        <w:tc>
          <w:tcPr>
            <w:shd w:val="clear" w:color="auto" w:fill="ffffff"/>
            <w:tcBorders/>
            <w:tcMar>
              <w:left w:w="70" w:type="dxa"/>
              <w:top w:w="55" w:type="dxa"/>
              <w:right w:w="70" w:type="dxa"/>
              <w:bottom w:w="55" w:type="dxa"/>
            </w:tcMar>
            <w:tcW w:w="5258" w:type="dxa"/>
            <w:vAlign w:val="top"/>
          </w:tcPr>
          <w:p>
            <w:pPr>
              <w:pStyle w:val="1088"/>
              <w:pBdr/>
              <w:spacing/>
              <w:ind/>
              <w:rPr/>
            </w:pPr>
            <w:r>
              <w:t xml:space="preserve">Matrices, profiles, tables, maps, provenance traces, dashboards and exports generated from a named build.</w:t>
            </w:r>
            <w:r/>
          </w:p>
        </w:tc>
        <w:tc>
          <w:tcPr>
            <w:shd w:val="clear" w:color="auto" w:fill="ffffff"/>
            <w:tcBorders/>
            <w:tcMar>
              <w:left w:w="70" w:type="dxa"/>
              <w:top w:w="55" w:type="dxa"/>
              <w:right w:w="70" w:type="dxa"/>
              <w:bottom w:w="55" w:type="dxa"/>
            </w:tcMar>
            <w:tcW w:w="2483" w:type="dxa"/>
            <w:vAlign w:val="top"/>
          </w:tcPr>
          <w:p>
            <w:pPr>
              <w:pStyle w:val="1088"/>
              <w:pBdr/>
              <w:spacing/>
              <w:ind/>
              <w:rPr/>
            </w:pPr>
            <w:r>
              <w:t xml:space="preserve">Derivative; authoritative only through a trace to the named canonical build.</w:t>
            </w:r>
            <w:r/>
          </w:p>
        </w:tc>
      </w:tr>
      <w:tr>
        <w:trPr>
          <w:cantSplit/>
        </w:trPr>
        <w:tc>
          <w:tcPr>
            <w:shd w:val="clear" w:color="auto" w:fill="f4f6f7"/>
            <w:tcBorders/>
            <w:tcMar>
              <w:left w:w="70" w:type="dxa"/>
              <w:top w:w="55" w:type="dxa"/>
              <w:right w:w="70" w:type="dxa"/>
              <w:bottom w:w="55" w:type="dxa"/>
            </w:tcMar>
            <w:tcW w:w="2264" w:type="dxa"/>
            <w:vAlign w:val="top"/>
          </w:tcPr>
          <w:p>
            <w:pPr>
              <w:pStyle w:val="1088"/>
              <w:pBdr/>
              <w:spacing/>
              <w:ind/>
              <w:rPr/>
            </w:pPr>
            <w:r>
              <w:t xml:space="preserve">4. Public Digital Atlas</w:t>
            </w:r>
            <w:r/>
          </w:p>
        </w:tc>
        <w:tc>
          <w:tcPr>
            <w:shd w:val="clear" w:color="auto" w:fill="f4f6f7"/>
            <w:tcBorders/>
            <w:tcMar>
              <w:left w:w="70" w:type="dxa"/>
              <w:top w:w="55" w:type="dxa"/>
              <w:right w:w="70" w:type="dxa"/>
              <w:bottom w:w="55" w:type="dxa"/>
            </w:tcMar>
            <w:tcW w:w="5258" w:type="dxa"/>
            <w:vAlign w:val="top"/>
          </w:tcPr>
          <w:p>
            <w:pPr>
              <w:pStyle w:val="1088"/>
              <w:pBdr/>
              <w:spacing/>
              <w:ind/>
              <w:rPr/>
            </w:pPr>
            <w:r>
              <w:t xml:space="preserve">Released interface and authorized content subset.</w:t>
            </w:r>
            <w:r/>
          </w:p>
        </w:tc>
        <w:tc>
          <w:tcPr>
            <w:shd w:val="clear" w:color="auto" w:fill="f4f6f7"/>
            <w:tcBorders/>
            <w:tcMar>
              <w:left w:w="70" w:type="dxa"/>
              <w:top w:w="55" w:type="dxa"/>
              <w:right w:w="70" w:type="dxa"/>
              <w:bottom w:w="55" w:type="dxa"/>
            </w:tcMar>
            <w:tcW w:w="2483" w:type="dxa"/>
            <w:vAlign w:val="top"/>
          </w:tcPr>
          <w:p>
            <w:pPr>
              <w:pStyle w:val="1088"/>
              <w:pBdr/>
              <w:spacing/>
              <w:ind/>
              <w:rPr/>
            </w:pPr>
            <w:r>
              <w:t xml:space="preserve">May expose only release-authorized records and views; internal or restricted records are not publishable merely because they exist in the store.</w:t>
            </w:r>
            <w:r/>
          </w:p>
        </w:tc>
      </w:tr>
    </w:tbl>
    <w:p>
      <w:pPr>
        <w:pStyle w:val="1097"/>
        <w:pBdr/>
        <w:spacing/>
        <w:ind/>
        <w:rPr/>
      </w:pPr>
      <w:r/>
      <w:r/>
    </w:p>
    <w:p>
      <w:pPr>
        <w:pStyle w:val="1083"/>
        <w:keepLines w:val="false"/>
        <w:pBdr/>
        <w:spacing/>
        <w:ind/>
        <w:rPr/>
      </w:pPr>
      <w:r>
        <w:t xml:space="preserve">Every Generated Evidence View MUST identify its schema version, vocabu</w:t>
      </w:r>
      <w:r>
        <w:t xml:space="preserve">lary version, canonical_build_id, query or generation version and output hash. Canonical is reserved for the Canonical Evidence Store, canonical records and named canonical builds; it is not a synonym for interface, software or a manually authored summary.</w:t>
      </w:r>
      <w:r/>
    </w:p>
    <w:p>
      <w:pPr>
        <w:pStyle w:val="924"/>
        <w:keepNext w:val="true"/>
        <w:keepLines w:val="true"/>
        <w:pBdr/>
        <w:spacing/>
        <w:ind/>
        <w:rPr/>
      </w:pPr>
      <w:r/>
      <w:bookmarkStart w:id="50" w:name="s8_2_identifiers"/>
      <w:r>
        <w:t xml:space="preserve">8.2 Identifiers, versioning and serialization</w:t>
      </w:r>
      <w:bookmarkEnd w:id="50"/>
      <w:r/>
      <w:r/>
    </w:p>
    <w:p>
      <w:pPr>
        <w:pStyle w:val="1084"/>
        <w:keepLines w:val="false"/>
        <w:pBdr/>
        <w:spacing/>
        <w:ind/>
        <w:rPr/>
      </w:pPr>
      <w:r>
        <w:t xml:space="preserve">• Use opaque, version-neutral persistent identifiers; do not encode domain numbers, worldview-family labels or mutable classification semantics in IDs.</w:t>
      </w:r>
      <w:r/>
    </w:p>
    <w:p>
      <w:pPr>
        <w:pStyle w:val="1084"/>
        <w:keepLines w:val="false"/>
        <w:pBdr/>
        <w:spacing/>
        <w:ind/>
        <w:rPr/>
      </w:pPr>
      <w:r>
        <w:t xml:space="preserve">• Superseded records remain addressable. New versions use explicit revises or supersedes links rather than destructive overwrite.</w:t>
      </w:r>
      <w:r/>
    </w:p>
    <w:p>
      <w:pPr>
        <w:pStyle w:val="1084"/>
        <w:keepLines w:val="false"/>
        <w:pBdr/>
        <w:spacing/>
        <w:ind/>
        <w:rPr/>
      </w:pPr>
      <w:r>
        <w:t xml:space="preserve">• Canonical records MAY be implemented in JSON, relational tables, RDF or knowledge graphs, or another durable store, but governed semantics, cardinalities and validation rules are invariant.</w:t>
      </w:r>
      <w:r/>
    </w:p>
    <w:p>
      <w:pPr>
        <w:pStyle w:val="1084"/>
        <w:keepLines w:val="false"/>
        <w:pBdr/>
        <w:spacing/>
        <w:ind/>
        <w:rPr/>
      </w:pPr>
      <w:r>
        <w:t xml:space="preserve">• UTF-8 JSON validated with JSON Schema Draft 2020-12 is the reference interchange profile. An RDF projection MAY use SHACL for equivalent constraints and PROV-O as a provenance crosswalk.</w:t>
      </w:r>
      <w:r/>
    </w:p>
    <w:p>
      <w:pPr>
        <w:pStyle w:val="1084"/>
        <w:keepLines w:val="false"/>
        <w:pBdr/>
        <w:spacing/>
        <w:ind/>
        <w:rPr/>
      </w:pPr>
      <w:r>
        <w:t xml:space="preserve">• Machine-readable controlled values MUST be globally unambiguous through field qualification or namespace. Short display codes may appear only where their field or namespace is visible and the plain-language expansion is available.</w:t>
      </w:r>
      <w:r/>
    </w:p>
    <w:p>
      <w:pPr>
        <w:pStyle w:val="924"/>
        <w:keepNext w:val="true"/>
        <w:keepLines w:val="true"/>
        <w:pBdr/>
        <w:spacing/>
        <w:ind/>
        <w:rPr/>
      </w:pPr>
      <w:r/>
      <w:bookmarkStart w:id="51" w:name="s8_3_object_readiness"/>
      <w:r>
        <w:t xml:space="preserve">8.3 Core object purpose and readiness</w:t>
      </w:r>
      <w:bookmarkEnd w:id="51"/>
      <w:r/>
      <w:r/>
    </w:p>
    <w:p>
      <w:pPr>
        <w:pStyle w:val="1086"/>
        <w:keepNext w:val="true"/>
        <w:keepLines w:val="true"/>
        <w:pBdr/>
        <w:spacing/>
        <w:ind/>
        <w:rPr/>
      </w:pPr>
      <w:r/>
      <w:bookmarkStart w:id="52" w:name="tbl_object_readiness"/>
      <w:r>
        <w:t xml:space="preserve">Governing summary — Canonical object purpose and required readiness</w:t>
      </w:r>
      <w:bookmarkEnd w:id="52"/>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702"/>
        <w:gridCol w:w="4382"/>
        <w:gridCol w:w="2921"/>
      </w:tblGrid>
      <w:tr>
        <w:trPr>
          <w:cantSplit/>
          <w:tblHeader/>
        </w:trPr>
        <w:tc>
          <w:tcPr>
            <w:shd w:val="clear" w:color="auto" w:fill="1f5d7a"/>
            <w:tcBorders/>
            <w:tcMar>
              <w:left w:w="55" w:type="dxa"/>
              <w:top w:w="45" w:type="dxa"/>
              <w:right w:w="55" w:type="dxa"/>
              <w:bottom w:w="45" w:type="dxa"/>
            </w:tcMar>
            <w:tcW w:w="2702" w:type="dxa"/>
            <w:vAlign w:val="top"/>
          </w:tcPr>
          <w:p>
            <w:pPr>
              <w:pStyle w:val="1090"/>
              <w:pBdr/>
              <w:spacing/>
              <w:ind/>
              <w:rPr/>
            </w:pPr>
            <w:r>
              <w:t xml:space="preserve">Object</w:t>
            </w:r>
            <w:r/>
          </w:p>
        </w:tc>
        <w:tc>
          <w:tcPr>
            <w:shd w:val="clear" w:color="auto" w:fill="1f5d7a"/>
            <w:tcBorders/>
            <w:tcMar>
              <w:left w:w="55" w:type="dxa"/>
              <w:top w:w="45" w:type="dxa"/>
              <w:right w:w="55" w:type="dxa"/>
              <w:bottom w:w="45" w:type="dxa"/>
            </w:tcMar>
            <w:tcW w:w="4382" w:type="dxa"/>
            <w:vAlign w:val="top"/>
          </w:tcPr>
          <w:p>
            <w:pPr>
              <w:pStyle w:val="1090"/>
              <w:pBdr/>
              <w:spacing/>
              <w:ind/>
              <w:rPr/>
            </w:pPr>
            <w:r>
              <w:t xml:space="preserve">Operational purpose</w:t>
            </w:r>
            <w:r/>
          </w:p>
        </w:tc>
        <w:tc>
          <w:tcPr>
            <w:shd w:val="clear" w:color="auto" w:fill="1f5d7a"/>
            <w:tcBorders/>
            <w:tcMar>
              <w:left w:w="55" w:type="dxa"/>
              <w:top w:w="45" w:type="dxa"/>
              <w:right w:w="55" w:type="dxa"/>
              <w:bottom w:w="45" w:type="dxa"/>
            </w:tcMar>
            <w:tcW w:w="2921" w:type="dxa"/>
            <w:vAlign w:val="top"/>
          </w:tcPr>
          <w:p>
            <w:pPr>
              <w:pStyle w:val="1090"/>
              <w:pBdr/>
              <w:spacing/>
              <w:ind/>
              <w:rPr/>
            </w:pPr>
            <w:r>
              <w:t xml:space="preserve">Required before</w:t>
            </w:r>
            <w:r/>
          </w:p>
        </w:tc>
      </w:tr>
      <w:tr>
        <w:trPr>
          <w:cantSplit/>
        </w:trPr>
        <w:tc>
          <w:tcPr>
            <w:shd w:val="clear" w:color="auto" w:fill="ffffff"/>
            <w:tcBorders/>
            <w:tcMar>
              <w:left w:w="55" w:type="dxa"/>
              <w:top w:w="45" w:type="dxa"/>
              <w:right w:w="55" w:type="dxa"/>
              <w:bottom w:w="45" w:type="dxa"/>
            </w:tcMar>
            <w:tcW w:w="2702" w:type="dxa"/>
            <w:vAlign w:val="top"/>
          </w:tcPr>
          <w:p>
            <w:pPr>
              <w:pStyle w:val="1089"/>
              <w:pBdr/>
              <w:spacing/>
              <w:ind/>
              <w:rPr/>
            </w:pPr>
            <w:r>
              <w:t xml:space="preserve">PositionRecord (entity:PO)</w:t>
            </w:r>
            <w:r/>
          </w:p>
        </w:tc>
        <w:tc>
          <w:tcPr>
            <w:shd w:val="clear" w:color="auto" w:fill="ffffff"/>
            <w:tcBorders/>
            <w:tcMar>
              <w:left w:w="55" w:type="dxa"/>
              <w:top w:w="45" w:type="dxa"/>
              <w:right w:w="55" w:type="dxa"/>
              <w:bottom w:w="45" w:type="dxa"/>
            </w:tcMar>
            <w:tcW w:w="4382" w:type="dxa"/>
            <w:vAlign w:val="top"/>
          </w:tcPr>
          <w:p>
            <w:pPr>
              <w:pStyle w:val="1089"/>
              <w:pBdr/>
              <w:spacing/>
              <w:ind/>
              <w:rPr/>
            </w:pPr>
            <w:r>
              <w:t xml:space="preserve">Defines the bounded comparative unit, boundary assessment and source/context scope.</w:t>
            </w:r>
            <w:r/>
          </w:p>
        </w:tc>
        <w:tc>
          <w:tcPr>
            <w:shd w:val="clear" w:color="auto" w:fill="ffffff"/>
            <w:tcBorders/>
            <w:tcMar>
              <w:left w:w="55" w:type="dxa"/>
              <w:top w:w="45" w:type="dxa"/>
              <w:right w:w="55" w:type="dxa"/>
              <w:bottom w:w="45" w:type="dxa"/>
            </w:tcMar>
            <w:tcW w:w="2921" w:type="dxa"/>
            <w:vAlign w:val="top"/>
          </w:tcPr>
          <w:p>
            <w:pPr>
              <w:pStyle w:val="1089"/>
              <w:pBdr/>
              <w:spacing/>
              <w:ind/>
              <w:rPr/>
            </w:pPr>
            <w:r>
              <w:t xml:space="preserve">Before QuestionResponse coding, cross-Position comparison or publication attribution.</w:t>
            </w:r>
            <w:r/>
          </w:p>
        </w:tc>
      </w:tr>
      <w:tr>
        <w:trPr>
          <w:cantSplit/>
        </w:trPr>
        <w:tc>
          <w:tcPr>
            <w:shd w:val="clear" w:color="auto" w:fill="f4f6f7"/>
            <w:tcBorders/>
            <w:tcMar>
              <w:left w:w="55" w:type="dxa"/>
              <w:top w:w="45" w:type="dxa"/>
              <w:right w:w="55" w:type="dxa"/>
              <w:bottom w:w="45" w:type="dxa"/>
            </w:tcMar>
            <w:tcW w:w="2702" w:type="dxa"/>
            <w:vAlign w:val="top"/>
          </w:tcPr>
          <w:p>
            <w:pPr>
              <w:pStyle w:val="1089"/>
              <w:pBdr/>
              <w:spacing/>
              <w:ind/>
              <w:rPr/>
            </w:pPr>
            <w:r>
              <w:t xml:space="preserve">QuestionResponse (entity:QR)</w:t>
            </w:r>
            <w:r/>
          </w:p>
        </w:tc>
        <w:tc>
          <w:tcPr>
            <w:shd w:val="clear" w:color="auto" w:fill="f4f6f7"/>
            <w:tcBorders/>
            <w:tcMar>
              <w:left w:w="55" w:type="dxa"/>
              <w:top w:w="45" w:type="dxa"/>
              <w:right w:w="55" w:type="dxa"/>
              <w:bottom w:w="45" w:type="dxa"/>
            </w:tcMar>
            <w:tcW w:w="4382" w:type="dxa"/>
            <w:vAlign w:val="top"/>
          </w:tcPr>
          <w:p>
            <w:pPr>
              <w:pStyle w:val="1089"/>
              <w:pBdr/>
              <w:spacing/>
              <w:ind/>
              <w:rPr/>
            </w:pPr>
            <w:r>
              <w:t xml:space="preserve">Records exactly one primary response state for a Position-by-question intersection, with optional CAT warning links and VAR boundary data.</w:t>
            </w:r>
            <w:r/>
          </w:p>
        </w:tc>
        <w:tc>
          <w:tcPr>
            <w:shd w:val="clear" w:color="auto" w:fill="f4f6f7"/>
            <w:tcBorders/>
            <w:tcMar>
              <w:left w:w="55" w:type="dxa"/>
              <w:top w:w="45" w:type="dxa"/>
              <w:right w:w="55" w:type="dxa"/>
              <w:bottom w:w="45" w:type="dxa"/>
            </w:tcMar>
            <w:tcW w:w="2921" w:type="dxa"/>
            <w:vAlign w:val="top"/>
          </w:tcPr>
          <w:p>
            <w:pPr>
              <w:pStyle w:val="1089"/>
              <w:pBdr/>
              <w:spacing/>
              <w:ind/>
              <w:rPr/>
            </w:pPr>
            <w:r>
              <w:t xml:space="preserve">Before D1-D15 matrices, Position profiles or comparison claims that depend on response status.</w:t>
            </w:r>
            <w:r/>
          </w:p>
        </w:tc>
      </w:tr>
      <w:tr>
        <w:trPr>
          <w:cantSplit/>
        </w:trPr>
        <w:tc>
          <w:tcPr>
            <w:shd w:val="clear" w:color="auto" w:fill="ffffff"/>
            <w:tcBorders/>
            <w:tcMar>
              <w:left w:w="55" w:type="dxa"/>
              <w:top w:w="45" w:type="dxa"/>
              <w:right w:w="55" w:type="dxa"/>
              <w:bottom w:w="45" w:type="dxa"/>
            </w:tcMar>
            <w:tcW w:w="2702" w:type="dxa"/>
            <w:vAlign w:val="top"/>
          </w:tcPr>
          <w:p>
            <w:pPr>
              <w:pStyle w:val="1089"/>
              <w:pBdr/>
              <w:spacing/>
              <w:ind/>
              <w:rPr/>
            </w:pPr>
            <w:r>
              <w:t xml:space="preserve">CategoryWarning (entity:CW)</w:t>
            </w:r>
            <w:r/>
          </w:p>
        </w:tc>
        <w:tc>
          <w:tcPr>
            <w:shd w:val="clear" w:color="auto" w:fill="ffffff"/>
            <w:tcBorders/>
            <w:tcMar>
              <w:left w:w="55" w:type="dxa"/>
              <w:top w:w="45" w:type="dxa"/>
              <w:right w:w="55" w:type="dxa"/>
              <w:bottom w:w="45" w:type="dxa"/>
            </w:tcMar>
            <w:tcW w:w="4382" w:type="dxa"/>
            <w:vAlign w:val="top"/>
          </w:tcPr>
          <w:p>
            <w:pPr>
              <w:pStyle w:val="1089"/>
              <w:pBdr/>
              <w:spacing/>
              <w:ind/>
              <w:rPr/>
            </w:pPr>
            <w:r>
              <w:t xml:space="preserve">Preserves category, partitioning or translation distortion without replacing the primary response state.</w:t>
            </w:r>
            <w:r/>
          </w:p>
        </w:tc>
        <w:tc>
          <w:tcPr>
            <w:shd w:val="clear" w:color="auto" w:fill="ffffff"/>
            <w:tcBorders/>
            <w:tcMar>
              <w:left w:w="55" w:type="dxa"/>
              <w:top w:w="45" w:type="dxa"/>
              <w:right w:w="55" w:type="dxa"/>
              <w:bottom w:w="45" w:type="dxa"/>
            </w:tcMar>
            <w:tcW w:w="2921" w:type="dxa"/>
            <w:vAlign w:val="top"/>
          </w:tcPr>
          <w:p>
            <w:pPr>
              <w:pStyle w:val="1089"/>
              <w:pBdr/>
              <w:spacing/>
              <w:ind/>
              <w:rPr/>
            </w:pPr>
            <w:r>
              <w:t xml:space="preserve">Before comparison or publication where Atlas framing risks distorting the source.</w:t>
            </w:r>
            <w:r/>
          </w:p>
        </w:tc>
      </w:tr>
      <w:tr>
        <w:trPr>
          <w:cantSplit/>
        </w:trPr>
        <w:tc>
          <w:tcPr>
            <w:shd w:val="clear" w:color="auto" w:fill="f4f6f7"/>
            <w:tcBorders/>
            <w:tcMar>
              <w:left w:w="55" w:type="dxa"/>
              <w:top w:w="45" w:type="dxa"/>
              <w:right w:w="55" w:type="dxa"/>
              <w:bottom w:w="45" w:type="dxa"/>
            </w:tcMar>
            <w:tcW w:w="2702" w:type="dxa"/>
            <w:vAlign w:val="top"/>
          </w:tcPr>
          <w:p>
            <w:pPr>
              <w:pStyle w:val="1089"/>
              <w:pBdr/>
              <w:spacing/>
              <w:ind/>
              <w:rPr/>
            </w:pPr>
            <w:r>
              <w:t xml:space="preserve">ClaimRecord (entity:CL)</w:t>
            </w:r>
            <w:r/>
          </w:p>
        </w:tc>
        <w:tc>
          <w:tcPr>
            <w:shd w:val="clear" w:color="auto" w:fill="f4f6f7"/>
            <w:tcBorders/>
            <w:tcMar>
              <w:left w:w="55" w:type="dxa"/>
              <w:top w:w="45" w:type="dxa"/>
              <w:right w:w="55" w:type="dxa"/>
              <w:bottom w:w="45" w:type="dxa"/>
            </w:tcMar>
            <w:tcW w:w="4382" w:type="dxa"/>
            <w:vAlign w:val="top"/>
          </w:tcPr>
          <w:p>
            <w:pPr>
              <w:pStyle w:val="1089"/>
              <w:pBdr/>
              <w:spacing/>
              <w:ind/>
              <w:rPr/>
            </w:pPr>
            <w:r>
              <w:t xml:space="preserve">Stores the smallest substantive citable assertion with attachment, origin, evidence/derivation, confidence and review.</w:t>
            </w:r>
            <w:r/>
          </w:p>
        </w:tc>
        <w:tc>
          <w:tcPr>
            <w:shd w:val="clear" w:color="auto" w:fill="f4f6f7"/>
            <w:tcBorders/>
            <w:tcMar>
              <w:left w:w="55" w:type="dxa"/>
              <w:top w:w="45" w:type="dxa"/>
              <w:right w:w="55" w:type="dxa"/>
              <w:bottom w:w="45" w:type="dxa"/>
            </w:tcMar>
            <w:tcW w:w="2921" w:type="dxa"/>
            <w:vAlign w:val="top"/>
          </w:tcPr>
          <w:p>
            <w:pPr>
              <w:pStyle w:val="1089"/>
              <w:pBdr/>
              <w:spacing/>
              <w:ind/>
              <w:rPr/>
            </w:pPr>
            <w:r>
              <w:t xml:space="preserve">Before a substantive attribution can support a QuestionResponse, comparison, synthesis or publication claim.</w:t>
            </w:r>
            <w:r/>
          </w:p>
        </w:tc>
      </w:tr>
      <w:tr>
        <w:trPr>
          <w:cantSplit/>
        </w:trPr>
        <w:tc>
          <w:tcPr>
            <w:shd w:val="clear" w:color="auto" w:fill="ffffff"/>
            <w:tcBorders/>
            <w:tcMar>
              <w:left w:w="55" w:type="dxa"/>
              <w:top w:w="45" w:type="dxa"/>
              <w:right w:w="55" w:type="dxa"/>
              <w:bottom w:w="45" w:type="dxa"/>
            </w:tcMar>
            <w:tcW w:w="2702" w:type="dxa"/>
            <w:vAlign w:val="top"/>
          </w:tcPr>
          <w:p>
            <w:pPr>
              <w:pStyle w:val="1089"/>
              <w:pBdr/>
              <w:spacing/>
              <w:ind/>
              <w:rPr/>
            </w:pPr>
            <w:r>
              <w:t xml:space="preserve">ConceptRecord (entity:CN)</w:t>
            </w:r>
            <w:r/>
          </w:p>
        </w:tc>
        <w:tc>
          <w:tcPr>
            <w:shd w:val="clear" w:color="auto" w:fill="ffffff"/>
            <w:tcBorders/>
            <w:tcMar>
              <w:left w:w="55" w:type="dxa"/>
              <w:top w:w="45" w:type="dxa"/>
              <w:right w:w="55" w:type="dxa"/>
              <w:bottom w:w="45" w:type="dxa"/>
            </w:tcMar>
            <w:tcW w:w="4382" w:type="dxa"/>
            <w:vAlign w:val="top"/>
          </w:tcPr>
          <w:p>
            <w:pPr>
              <w:pStyle w:val="1089"/>
              <w:pBdr/>
              <w:spacing/>
              <w:ind/>
              <w:rPr/>
            </w:pPr>
            <w:r>
              <w:t xml:space="preserve">Controls source terms, translations, semantic range, historical variation and false-friend risk.</w:t>
            </w:r>
            <w:r/>
          </w:p>
        </w:tc>
        <w:tc>
          <w:tcPr>
            <w:shd w:val="clear" w:color="auto" w:fill="ffffff"/>
            <w:tcBorders/>
            <w:tcMar>
              <w:left w:w="55" w:type="dxa"/>
              <w:top w:w="45" w:type="dxa"/>
              <w:right w:w="55" w:type="dxa"/>
              <w:bottom w:w="45" w:type="dxa"/>
            </w:tcMar>
            <w:tcW w:w="2921" w:type="dxa"/>
            <w:vAlign w:val="top"/>
          </w:tcPr>
          <w:p>
            <w:pPr>
              <w:pStyle w:val="1089"/>
              <w:pBdr/>
              <w:spacing/>
              <w:ind/>
              <w:rPr/>
            </w:pPr>
            <w:r>
              <w:t xml:space="preserve">Before high-risk normalization, translation-sensitive claims, relation:SEM/OEQ comparison or public concept glossing.</w:t>
            </w:r>
            <w:r/>
          </w:p>
        </w:tc>
      </w:tr>
      <w:tr>
        <w:trPr>
          <w:cantSplit/>
        </w:trPr>
        <w:tc>
          <w:tcPr>
            <w:shd w:val="clear" w:color="auto" w:fill="f4f6f7"/>
            <w:tcBorders/>
            <w:tcMar>
              <w:left w:w="55" w:type="dxa"/>
              <w:top w:w="45" w:type="dxa"/>
              <w:right w:w="55" w:type="dxa"/>
              <w:bottom w:w="45" w:type="dxa"/>
            </w:tcMar>
            <w:tcW w:w="2702" w:type="dxa"/>
            <w:vAlign w:val="top"/>
          </w:tcPr>
          <w:p>
            <w:pPr>
              <w:pStyle w:val="1089"/>
              <w:pBdr/>
              <w:spacing/>
              <w:ind/>
              <w:rPr/>
            </w:pPr>
            <w:r>
              <w:t xml:space="preserve">SourceRecord / SourceInstance / EvidenceLink</w:t>
            </w:r>
            <w:r/>
          </w:p>
        </w:tc>
        <w:tc>
          <w:tcPr>
            <w:shd w:val="clear" w:color="auto" w:fill="f4f6f7"/>
            <w:tcBorders/>
            <w:tcMar>
              <w:left w:w="55" w:type="dxa"/>
              <w:top w:w="45" w:type="dxa"/>
              <w:right w:w="55" w:type="dxa"/>
              <w:bottom w:w="45" w:type="dxa"/>
            </w:tcMar>
            <w:tcW w:w="4382" w:type="dxa"/>
            <w:vAlign w:val="top"/>
          </w:tcPr>
          <w:p>
            <w:pPr>
              <w:pStyle w:val="1089"/>
              <w:pBdr/>
              <w:spacing/>
              <w:ind/>
              <w:rPr/>
            </w:pPr>
            <w:r>
              <w:t xml:space="preserve">Provides source identity through orthogonal source fields, event/witness detail, exact locator, claim-specific evidence role, rights/access and editorial history.</w:t>
            </w:r>
            <w:r/>
          </w:p>
        </w:tc>
        <w:tc>
          <w:tcPr>
            <w:shd w:val="clear" w:color="auto" w:fill="f4f6f7"/>
            <w:tcBorders/>
            <w:tcMar>
              <w:left w:w="55" w:type="dxa"/>
              <w:top w:w="45" w:type="dxa"/>
              <w:right w:w="55" w:type="dxa"/>
              <w:bottom w:w="45" w:type="dxa"/>
            </w:tcMar>
            <w:tcW w:w="2921" w:type="dxa"/>
            <w:vAlign w:val="top"/>
          </w:tcPr>
          <w:p>
            <w:pPr>
              <w:pStyle w:val="1089"/>
              <w:pBdr/>
              <w:spacing/>
              <w:ind/>
              <w:rPr/>
            </w:pPr>
            <w:r>
              <w:t xml:space="preserve">Before claim_origin:SOURCE_GROUNDED release claims or oral/performance provenance can pass validation.</w:t>
            </w:r>
            <w:r/>
          </w:p>
        </w:tc>
      </w:tr>
      <w:tr>
        <w:trPr>
          <w:cantSplit/>
        </w:trPr>
        <w:tc>
          <w:tcPr>
            <w:shd w:val="clear" w:color="auto" w:fill="ffffff"/>
            <w:tcBorders/>
            <w:tcMar>
              <w:left w:w="55" w:type="dxa"/>
              <w:top w:w="45" w:type="dxa"/>
              <w:right w:w="55" w:type="dxa"/>
              <w:bottom w:w="45" w:type="dxa"/>
            </w:tcMar>
            <w:tcW w:w="2702" w:type="dxa"/>
            <w:vAlign w:val="top"/>
          </w:tcPr>
          <w:p>
            <w:pPr>
              <w:pStyle w:val="1089"/>
              <w:pBdr/>
              <w:spacing/>
              <w:ind/>
              <w:rPr/>
            </w:pPr>
            <w:r>
              <w:t xml:space="preserve">ComparisonEvent / ComparativeRelation</w:t>
            </w:r>
            <w:r/>
          </w:p>
        </w:tc>
        <w:tc>
          <w:tcPr>
            <w:shd w:val="clear" w:color="auto" w:fill="ffffff"/>
            <w:tcBorders/>
            <w:tcMar>
              <w:left w:w="55" w:type="dxa"/>
              <w:top w:w="45" w:type="dxa"/>
              <w:right w:w="55" w:type="dxa"/>
              <w:bottom w:w="45" w:type="dxa"/>
            </w:tcMar>
            <w:tcW w:w="4382" w:type="dxa"/>
            <w:vAlign w:val="top"/>
          </w:tcPr>
          <w:p>
            <w:pPr>
              <w:pStyle w:val="1089"/>
              <w:pBdr/>
              <w:spacing/>
              <w:ind/>
              <w:rPr/>
            </w:pPr>
            <w:r>
              <w:t xml:space="preserve">Declares exact claim pairs, tertium, dimension, normalized scale/scope and typed relations with linked disanalogies, coherence and genealogy/independence metadata.</w:t>
            </w:r>
            <w:r/>
          </w:p>
        </w:tc>
        <w:tc>
          <w:tcPr>
            <w:shd w:val="clear" w:color="auto" w:fill="ffffff"/>
            <w:tcBorders/>
            <w:tcMar>
              <w:left w:w="55" w:type="dxa"/>
              <w:top w:w="45" w:type="dxa"/>
              <w:right w:w="55" w:type="dxa"/>
              <w:bottom w:w="45" w:type="dxa"/>
            </w:tcMar>
            <w:tcW w:w="2921" w:type="dxa"/>
            <w:vAlign w:val="top"/>
          </w:tcPr>
          <w:p>
            <w:pPr>
              <w:pStyle w:val="1089"/>
              <w:pBdr/>
              <w:spacing/>
              <w:ind/>
              <w:rPr/>
            </w:pPr>
            <w:r>
              <w:t xml:space="preserve">Before any cross-Position relation is treated as release-ready or used for synthesis.</w:t>
            </w:r>
            <w:r/>
          </w:p>
        </w:tc>
      </w:tr>
      <w:tr>
        <w:trPr>
          <w:cantSplit/>
        </w:trPr>
        <w:tc>
          <w:tcPr>
            <w:shd w:val="clear" w:color="auto" w:fill="f4f6f7"/>
            <w:tcBorders/>
            <w:tcMar>
              <w:left w:w="55" w:type="dxa"/>
              <w:top w:w="45" w:type="dxa"/>
              <w:right w:w="55" w:type="dxa"/>
              <w:bottom w:w="45" w:type="dxa"/>
            </w:tcMar>
            <w:tcW w:w="2702" w:type="dxa"/>
            <w:vAlign w:val="top"/>
          </w:tcPr>
          <w:p>
            <w:pPr>
              <w:pStyle w:val="1089"/>
              <w:pBdr/>
              <w:spacing/>
              <w:ind/>
              <w:rPr/>
            </w:pPr>
            <w:r>
              <w:t xml:space="preserve">SynthesisRecord (entity:SY)</w:t>
            </w:r>
            <w:r/>
          </w:p>
        </w:tc>
        <w:tc>
          <w:tcPr>
            <w:shd w:val="clear" w:color="auto" w:fill="f4f6f7"/>
            <w:tcBorders/>
            <w:tcMar>
              <w:left w:w="55" w:type="dxa"/>
              <w:top w:w="45" w:type="dxa"/>
              <w:right w:w="55" w:type="dxa"/>
              <w:bottom w:w="45" w:type="dxa"/>
            </w:tcMar>
            <w:tcW w:w="4382" w:type="dxa"/>
            <w:vAlign w:val="top"/>
          </w:tcPr>
          <w:p>
            <w:pPr>
              <w:pStyle w:val="1089"/>
              <w:pBdr/>
              <w:spacing/>
              <w:ind/>
              <w:rPr/>
            </w:pPr>
            <w:r>
              <w:t xml:space="preserve">Stores bounded pattern or fault-line claims at a declared level and independent maturity with selection, negative cases, counterexamples and sensitivity.</w:t>
            </w:r>
            <w:r/>
          </w:p>
        </w:tc>
        <w:tc>
          <w:tcPr>
            <w:shd w:val="clear" w:color="auto" w:fill="f4f6f7"/>
            <w:tcBorders/>
            <w:tcMar>
              <w:left w:w="55" w:type="dxa"/>
              <w:top w:w="45" w:type="dxa"/>
              <w:right w:w="55" w:type="dxa"/>
              <w:bottom w:w="45" w:type="dxa"/>
            </w:tcMar>
            <w:tcW w:w="2921" w:type="dxa"/>
            <w:vAlign w:val="top"/>
          </w:tcPr>
          <w:p>
            <w:pPr>
              <w:pStyle w:val="1089"/>
              <w:pBdr/>
              <w:spacing/>
              <w:ind/>
              <w:rPr/>
            </w:pPr>
            <w:r>
              <w:t xml:space="preserve">Before L1-L4 synthesis can be cited or published.</w:t>
            </w:r>
            <w:r/>
          </w:p>
        </w:tc>
      </w:tr>
      <w:tr>
        <w:trPr>
          <w:cantSplit/>
        </w:trPr>
        <w:tc>
          <w:tcPr>
            <w:shd w:val="clear" w:color="auto" w:fill="ffffff"/>
            <w:tcBorders/>
            <w:tcMar>
              <w:left w:w="55" w:type="dxa"/>
              <w:top w:w="45" w:type="dxa"/>
              <w:right w:w="55" w:type="dxa"/>
              <w:bottom w:w="45" w:type="dxa"/>
            </w:tcMar>
            <w:tcW w:w="2702" w:type="dxa"/>
            <w:vAlign w:val="top"/>
          </w:tcPr>
          <w:p>
            <w:pPr>
              <w:pStyle w:val="1089"/>
              <w:pBdr/>
              <w:spacing/>
              <w:ind/>
              <w:rPr/>
            </w:pPr>
            <w:r>
              <w:t xml:space="preserve">PublicationClaimRecord (entity:PC)</w:t>
            </w:r>
            <w:r/>
          </w:p>
        </w:tc>
        <w:tc>
          <w:tcPr>
            <w:shd w:val="clear" w:color="auto" w:fill="ffffff"/>
            <w:tcBorders/>
            <w:tcMar>
              <w:left w:w="55" w:type="dxa"/>
              <w:top w:w="45" w:type="dxa"/>
              <w:right w:w="55" w:type="dxa"/>
              <w:bottom w:w="45" w:type="dxa"/>
            </w:tcMar>
            <w:tcW w:w="4382" w:type="dxa"/>
            <w:vAlign w:val="top"/>
          </w:tcPr>
          <w:p>
            <w:pPr>
              <w:pStyle w:val="1089"/>
              <w:pBdr/>
              <w:spacing/>
              <w:ind/>
              <w:rPr/>
            </w:pPr>
            <w:r>
              <w:t xml:space="preserve">Connects a thesis-bearing publication claim to canonical premises, rationale, scope, defeaters, level where applicable, review and prohibited stronger reading.</w:t>
            </w:r>
            <w:r/>
          </w:p>
        </w:tc>
        <w:tc>
          <w:tcPr>
            <w:shd w:val="clear" w:color="auto" w:fill="ffffff"/>
            <w:tcBorders/>
            <w:tcMar>
              <w:left w:w="55" w:type="dxa"/>
              <w:top w:w="45" w:type="dxa"/>
              <w:right w:w="55" w:type="dxa"/>
              <w:bottom w:w="45" w:type="dxa"/>
            </w:tcMar>
            <w:tcW w:w="2921" w:type="dxa"/>
            <w:vAlign w:val="top"/>
          </w:tcPr>
          <w:p>
            <w:pPr>
              <w:pStyle w:val="1089"/>
              <w:pBdr/>
              <w:spacing/>
              <w:ind/>
              <w:rPr/>
            </w:pPr>
            <w:r>
              <w:t xml:space="preserve">Before chapter theses, major comparisons, synthesis claims or explicit limitations are release-ready.</w:t>
            </w:r>
            <w:r/>
          </w:p>
        </w:tc>
      </w:tr>
      <w:tr>
        <w:trPr>
          <w:cantSplit/>
        </w:trPr>
        <w:tc>
          <w:tcPr>
            <w:shd w:val="clear" w:color="auto" w:fill="f4f6f7"/>
            <w:tcBorders/>
            <w:tcMar>
              <w:left w:w="55" w:type="dxa"/>
              <w:top w:w="45" w:type="dxa"/>
              <w:right w:w="55" w:type="dxa"/>
              <w:bottom w:w="45" w:type="dxa"/>
            </w:tcMar>
            <w:tcW w:w="2702" w:type="dxa"/>
            <w:vAlign w:val="top"/>
          </w:tcPr>
          <w:p>
            <w:pPr>
              <w:pStyle w:val="1089"/>
              <w:pBdr/>
              <w:spacing/>
              <w:ind/>
              <w:rPr/>
            </w:pPr>
            <w:r>
              <w:t xml:space="preserve">ReviewRelease / CriterionResult / GateRun</w:t>
            </w:r>
            <w:r/>
          </w:p>
        </w:tc>
        <w:tc>
          <w:tcPr>
            <w:shd w:val="clear" w:color="auto" w:fill="f4f6f7"/>
            <w:tcBorders/>
            <w:tcMar>
              <w:left w:w="55" w:type="dxa"/>
              <w:top w:w="45" w:type="dxa"/>
              <w:right w:w="55" w:type="dxa"/>
              <w:bottom w:w="45" w:type="dxa"/>
            </w:tcMar>
            <w:tcW w:w="4382" w:type="dxa"/>
            <w:vAlign w:val="top"/>
          </w:tcPr>
          <w:p>
            <w:pPr>
              <w:pStyle w:val="1089"/>
              <w:pBdr/>
              <w:spacing/>
              <w:ind/>
              <w:rPr/>
            </w:pPr>
            <w:r>
              <w:t xml:space="preserve">Separates review scope, criterion outcomes, gate verdict, evidence maturity, unresolved issues, version and authorization.</w:t>
            </w:r>
            <w:r/>
          </w:p>
        </w:tc>
        <w:tc>
          <w:tcPr>
            <w:shd w:val="clear" w:color="auto" w:fill="f4f6f7"/>
            <w:tcBorders/>
            <w:tcMar>
              <w:left w:w="55" w:type="dxa"/>
              <w:top w:w="45" w:type="dxa"/>
              <w:right w:w="55" w:type="dxa"/>
              <w:bottom w:w="45" w:type="dxa"/>
            </w:tcMar>
            <w:tcW w:w="2921" w:type="dxa"/>
            <w:vAlign w:val="top"/>
          </w:tcPr>
          <w:p>
            <w:pPr>
              <w:pStyle w:val="1089"/>
              <w:pBdr/>
              <w:spacing/>
              <w:ind/>
              <w:rPr/>
            </w:pPr>
            <w:r>
              <w:t xml:space="preserve">Before review evidence, gate state, supersession or authorization is treated as authoritative.</w:t>
            </w:r>
            <w:r/>
          </w:p>
        </w:tc>
      </w:tr>
      <w:tr>
        <w:trPr>
          <w:cantSplit/>
        </w:trPr>
        <w:tc>
          <w:tcPr>
            <w:shd w:val="clear" w:color="auto" w:fill="ffffff"/>
            <w:tcBorders/>
            <w:tcMar>
              <w:left w:w="55" w:type="dxa"/>
              <w:top w:w="45" w:type="dxa"/>
              <w:right w:w="55" w:type="dxa"/>
              <w:bottom w:w="45" w:type="dxa"/>
            </w:tcMar>
            <w:tcW w:w="2702" w:type="dxa"/>
            <w:vAlign w:val="top"/>
          </w:tcPr>
          <w:p>
            <w:pPr>
              <w:pStyle w:val="1089"/>
              <w:pBdr/>
              <w:spacing/>
              <w:ind/>
              <w:rPr/>
            </w:pPr>
            <w:r>
              <w:t xml:space="preserve">RepresentationReadiness (entity:RRD)</w:t>
            </w:r>
            <w:r/>
          </w:p>
        </w:tc>
        <w:tc>
          <w:tcPr>
            <w:shd w:val="clear" w:color="auto" w:fill="ffffff"/>
            <w:tcBorders/>
            <w:tcMar>
              <w:left w:w="55" w:type="dxa"/>
              <w:top w:w="45" w:type="dxa"/>
              <w:right w:w="55" w:type="dxa"/>
              <w:bottom w:w="45" w:type="dxa"/>
            </w:tcMar>
            <w:tcW w:w="4382" w:type="dxa"/>
            <w:vAlign w:val="top"/>
          </w:tcPr>
          <w:p>
            <w:pPr>
              <w:pStyle w:val="1089"/>
              <w:pBdr/>
              <w:spacing/>
              <w:ind/>
              <w:rPr/>
            </w:pPr>
            <w:r>
              <w:t xml:space="preserve">Stores source grounding, specialist review, community governance, rights/access and release eligibility independently.</w:t>
            </w:r>
            <w:r/>
          </w:p>
        </w:tc>
        <w:tc>
          <w:tcPr>
            <w:shd w:val="clear" w:color="auto" w:fill="ffffff"/>
            <w:tcBorders/>
            <w:tcMar>
              <w:left w:w="55" w:type="dxa"/>
              <w:top w:w="45" w:type="dxa"/>
              <w:right w:w="55" w:type="dxa"/>
              <w:bottom w:w="45" w:type="dxa"/>
            </w:tcMar>
            <w:tcW w:w="2921" w:type="dxa"/>
            <w:vAlign w:val="top"/>
          </w:tcPr>
          <w:p>
            <w:pPr>
              <w:pStyle w:val="1089"/>
              <w:pBdr/>
              <w:spacing/>
              <w:ind/>
              <w:rPr/>
            </w:pPr>
            <w:r>
              <w:t xml:space="preserve">Before a derived readiness summary or public representation decision is used.</w:t>
            </w:r>
            <w:r/>
          </w:p>
        </w:tc>
      </w:tr>
      <w:tr>
        <w:trPr>
          <w:cantSplit/>
        </w:trPr>
        <w:tc>
          <w:tcPr>
            <w:shd w:val="clear" w:color="auto" w:fill="f4f6f7"/>
            <w:tcBorders/>
            <w:tcMar>
              <w:left w:w="55" w:type="dxa"/>
              <w:top w:w="45" w:type="dxa"/>
              <w:right w:w="55" w:type="dxa"/>
              <w:bottom w:w="45" w:type="dxa"/>
            </w:tcMar>
            <w:tcW w:w="2702" w:type="dxa"/>
            <w:vAlign w:val="top"/>
          </w:tcPr>
          <w:p>
            <w:pPr>
              <w:pStyle w:val="1089"/>
              <w:pBdr/>
              <w:spacing/>
              <w:ind/>
              <w:rPr/>
            </w:pPr>
            <w:r>
              <w:t xml:space="preserve">AIProvenance (entity:AI)</w:t>
            </w:r>
            <w:r/>
          </w:p>
        </w:tc>
        <w:tc>
          <w:tcPr>
            <w:shd w:val="clear" w:color="auto" w:fill="f4f6f7"/>
            <w:tcBorders/>
            <w:tcMar>
              <w:left w:w="55" w:type="dxa"/>
              <w:top w:w="45" w:type="dxa"/>
              <w:right w:w="55" w:type="dxa"/>
              <w:bottom w:w="45" w:type="dxa"/>
            </w:tcMar>
            <w:tcW w:w="4382" w:type="dxa"/>
            <w:vAlign w:val="top"/>
          </w:tcPr>
          <w:p>
            <w:pPr>
              <w:pStyle w:val="1089"/>
              <w:pBdr/>
              <w:spacing/>
              <w:ind/>
              <w:rPr/>
            </w:pPr>
            <w:r>
              <w:t xml:space="preserve">Records permitted AI assistance, affected fields and independent human verification.</w:t>
            </w:r>
            <w:r/>
          </w:p>
        </w:tc>
        <w:tc>
          <w:tcPr>
            <w:shd w:val="clear" w:color="auto" w:fill="f4f6f7"/>
            <w:tcBorders/>
            <w:tcMar>
              <w:left w:w="55" w:type="dxa"/>
              <w:top w:w="45" w:type="dxa"/>
              <w:right w:w="55" w:type="dxa"/>
              <w:bottom w:w="45" w:type="dxa"/>
            </w:tcMar>
            <w:tcW w:w="2921" w:type="dxa"/>
            <w:vAlign w:val="top"/>
          </w:tcPr>
          <w:p>
            <w:pPr>
              <w:pStyle w:val="1089"/>
              <w:pBdr/>
              <w:spacing/>
              <w:ind/>
              <w:rPr/>
            </w:pPr>
            <w:r>
              <w:t xml:space="preserve">Before AI-assisted substantive fields or generated views enter release scope.</w:t>
            </w:r>
            <w:r/>
          </w:p>
        </w:tc>
      </w:tr>
    </w:tbl>
    <w:p>
      <w:pPr>
        <w:pStyle w:val="1097"/>
        <w:pBdr/>
        <w:spacing/>
        <w:ind/>
        <w:rPr/>
      </w:pPr>
      <w:r/>
      <w:r/>
    </w:p>
    <w:p>
      <w:pPr>
        <w:pStyle w:val="924"/>
        <w:keepNext w:val="true"/>
        <w:keepLines w:val="true"/>
        <w:pBdr/>
        <w:spacing/>
        <w:ind/>
        <w:rPr/>
      </w:pPr>
      <w:r/>
      <w:bookmarkStart w:id="53" w:name="s8_4_validation_layers"/>
      <w:r>
        <w:t xml:space="preserve">8.4 Validation layers and build manifests</w:t>
      </w:r>
      <w:bookmarkEnd w:id="53"/>
      <w:r/>
      <w:r/>
    </w:p>
    <w:p>
      <w:pPr>
        <w:pStyle w:val="1086"/>
        <w:keepNext w:val="true"/>
        <w:keepLines w:val="true"/>
        <w:pBdr/>
        <w:spacing/>
        <w:ind/>
        <w:rPr/>
      </w:pPr>
      <w:r/>
      <w:bookmarkStart w:id="54" w:name="tbl_validation_layers"/>
      <w:r>
        <w:t xml:space="preserve">Governing — Four validation layers</w:t>
      </w:r>
      <w:bookmarkEnd w:id="54"/>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1899"/>
        <w:gridCol w:w="8107"/>
      </w:tblGrid>
      <w:tr>
        <w:trPr>
          <w:cantSplit/>
          <w:tblHeader/>
        </w:trPr>
        <w:tc>
          <w:tcPr>
            <w:shd w:val="clear" w:color="auto" w:fill="1f5d7a"/>
            <w:tcBorders/>
            <w:tcMar>
              <w:left w:w="70" w:type="dxa"/>
              <w:top w:w="55" w:type="dxa"/>
              <w:right w:w="70" w:type="dxa"/>
              <w:bottom w:w="55" w:type="dxa"/>
            </w:tcMar>
            <w:tcW w:w="1899" w:type="dxa"/>
            <w:vAlign w:val="top"/>
          </w:tcPr>
          <w:p>
            <w:pPr>
              <w:pStyle w:val="1087"/>
              <w:pBdr/>
              <w:spacing/>
              <w:ind/>
              <w:rPr/>
            </w:pPr>
            <w:r>
              <w:t xml:space="preserve">Layer</w:t>
            </w:r>
            <w:r/>
          </w:p>
        </w:tc>
        <w:tc>
          <w:tcPr>
            <w:shd w:val="clear" w:color="auto" w:fill="1f5d7a"/>
            <w:tcBorders/>
            <w:tcMar>
              <w:left w:w="70" w:type="dxa"/>
              <w:top w:w="55" w:type="dxa"/>
              <w:right w:w="70" w:type="dxa"/>
              <w:bottom w:w="55" w:type="dxa"/>
            </w:tcMar>
            <w:tcW w:w="8107" w:type="dxa"/>
            <w:vAlign w:val="top"/>
          </w:tcPr>
          <w:p>
            <w:pPr>
              <w:pStyle w:val="1087"/>
              <w:pBdr/>
              <w:spacing/>
              <w:ind/>
              <w:rPr/>
            </w:pPr>
            <w:r>
              <w:t xml:space="preserve">Purpose</w:t>
            </w:r>
            <w:r/>
          </w:p>
        </w:tc>
      </w:tr>
      <w:tr>
        <w:trPr>
          <w:cantSplit/>
        </w:trPr>
        <w:tc>
          <w:tcPr>
            <w:shd w:val="clear" w:color="auto" w:fill="ffffff"/>
            <w:tcBorders/>
            <w:tcMar>
              <w:left w:w="70" w:type="dxa"/>
              <w:top w:w="55" w:type="dxa"/>
              <w:right w:w="70" w:type="dxa"/>
              <w:bottom w:w="55" w:type="dxa"/>
            </w:tcMar>
            <w:tcW w:w="1899" w:type="dxa"/>
            <w:vAlign w:val="top"/>
          </w:tcPr>
          <w:p>
            <w:pPr>
              <w:pStyle w:val="1088"/>
              <w:pBdr/>
              <w:spacing/>
              <w:ind/>
              <w:rPr/>
            </w:pPr>
            <w:r>
              <w:t xml:space="preserve">VAL-1 Structural</w:t>
            </w:r>
            <w:r/>
          </w:p>
        </w:tc>
        <w:tc>
          <w:tcPr>
            <w:shd w:val="clear" w:color="auto" w:fill="ffffff"/>
            <w:tcBorders/>
            <w:tcMar>
              <w:left w:w="70" w:type="dxa"/>
              <w:top w:w="55" w:type="dxa"/>
              <w:right w:w="70" w:type="dxa"/>
              <w:bottom w:w="55" w:type="dxa"/>
            </w:tcMar>
            <w:tcW w:w="8107" w:type="dxa"/>
            <w:vAlign w:val="top"/>
          </w:tcPr>
          <w:p>
            <w:pPr>
              <w:pStyle w:val="1088"/>
              <w:pBdr/>
              <w:spacing/>
              <w:ind/>
              <w:rPr/>
            </w:pPr>
            <w:r>
              <w:t xml:space="preserve">Types, required fields, cardinalities, qualified controlled values and ID format.</w:t>
            </w:r>
            <w:r/>
          </w:p>
        </w:tc>
      </w:tr>
      <w:tr>
        <w:trPr>
          <w:cantSplit/>
        </w:trPr>
        <w:tc>
          <w:tcPr>
            <w:shd w:val="clear" w:color="auto" w:fill="f4f6f7"/>
            <w:tcBorders/>
            <w:tcMar>
              <w:left w:w="70" w:type="dxa"/>
              <w:top w:w="55" w:type="dxa"/>
              <w:right w:w="70" w:type="dxa"/>
              <w:bottom w:w="55" w:type="dxa"/>
            </w:tcMar>
            <w:tcW w:w="1899" w:type="dxa"/>
            <w:vAlign w:val="top"/>
          </w:tcPr>
          <w:p>
            <w:pPr>
              <w:pStyle w:val="1088"/>
              <w:pBdr/>
              <w:spacing/>
              <w:ind/>
              <w:rPr/>
            </w:pPr>
            <w:r>
              <w:t xml:space="preserve">VAL-2 Referential</w:t>
            </w:r>
            <w:r/>
          </w:p>
        </w:tc>
        <w:tc>
          <w:tcPr>
            <w:shd w:val="clear" w:color="auto" w:fill="f4f6f7"/>
            <w:tcBorders/>
            <w:tcMar>
              <w:left w:w="70" w:type="dxa"/>
              <w:top w:w="55" w:type="dxa"/>
              <w:right w:w="70" w:type="dxa"/>
              <w:bottom w:w="55" w:type="dxa"/>
            </w:tcMar>
            <w:tcW w:w="8107" w:type="dxa"/>
            <w:vAlign w:val="top"/>
          </w:tcPr>
          <w:p>
            <w:pPr>
              <w:pStyle w:val="1088"/>
              <w:pBdr/>
              <w:spacing/>
              <w:ind/>
              <w:rPr/>
            </w:pPr>
            <w:r>
              <w:t xml:space="preserve">All foreign-key IDs resolve; no dangling claim, evidence, premise, disanalogy, relation, review or gate links.</w:t>
            </w:r>
            <w:r/>
          </w:p>
        </w:tc>
      </w:tr>
      <w:tr>
        <w:trPr>
          <w:cantSplit/>
        </w:trPr>
        <w:tc>
          <w:tcPr>
            <w:shd w:val="clear" w:color="auto" w:fill="ffffff"/>
            <w:tcBorders/>
            <w:tcMar>
              <w:left w:w="70" w:type="dxa"/>
              <w:top w:w="55" w:type="dxa"/>
              <w:right w:w="70" w:type="dxa"/>
              <w:bottom w:w="55" w:type="dxa"/>
            </w:tcMar>
            <w:tcW w:w="1899" w:type="dxa"/>
            <w:vAlign w:val="top"/>
          </w:tcPr>
          <w:p>
            <w:pPr>
              <w:pStyle w:val="1088"/>
              <w:pBdr/>
              <w:spacing/>
              <w:ind/>
              <w:rPr/>
            </w:pPr>
            <w:r>
              <w:t xml:space="preserve">VAL-3 Semantic conditional</w:t>
            </w:r>
            <w:r/>
          </w:p>
        </w:tc>
        <w:tc>
          <w:tcPr>
            <w:shd w:val="clear" w:color="auto" w:fill="ffffff"/>
            <w:tcBorders/>
            <w:tcMar>
              <w:left w:w="70" w:type="dxa"/>
              <w:top w:w="55" w:type="dxa"/>
              <w:right w:w="70" w:type="dxa"/>
              <w:bottom w:w="55" w:type="dxa"/>
            </w:tcMar>
            <w:tcW w:w="8107" w:type="dxa"/>
            <w:vAlign w:val="top"/>
          </w:tcPr>
          <w:p>
            <w:pPr>
              <w:pStyle w:val="1088"/>
              <w:pBdr/>
              <w:spacing/>
              <w:ind/>
              <w:rPr/>
            </w:pPr>
            <w:r>
              <w:t xml:space="preserve">Conditional rules such as VAR boundary assessment, DER derivation, source orthogonality, relation coherence, OEQ burden, GEN metadata, oral-event requirements, representation readiness and PublicationClaim premise chains.</w:t>
            </w:r>
            <w:r/>
          </w:p>
        </w:tc>
      </w:tr>
      <w:tr>
        <w:trPr>
          <w:cantSplit/>
        </w:trPr>
        <w:tc>
          <w:tcPr>
            <w:shd w:val="clear" w:color="auto" w:fill="f4f6f7"/>
            <w:tcBorders/>
            <w:tcMar>
              <w:left w:w="70" w:type="dxa"/>
              <w:top w:w="55" w:type="dxa"/>
              <w:right w:w="70" w:type="dxa"/>
              <w:bottom w:w="55" w:type="dxa"/>
            </w:tcMar>
            <w:tcW w:w="1899" w:type="dxa"/>
            <w:vAlign w:val="top"/>
          </w:tcPr>
          <w:p>
            <w:pPr>
              <w:pStyle w:val="1088"/>
              <w:pBdr/>
              <w:spacing/>
              <w:ind/>
              <w:rPr/>
            </w:pPr>
            <w:r>
              <w:t xml:space="preserve">VAL-4 Release/gate</w:t>
            </w:r>
            <w:r/>
          </w:p>
        </w:tc>
        <w:tc>
          <w:tcPr>
            <w:shd w:val="clear" w:color="auto" w:fill="f4f6f7"/>
            <w:tcBorders/>
            <w:tcMar>
              <w:left w:w="70" w:type="dxa"/>
              <w:top w:w="55" w:type="dxa"/>
              <w:right w:w="70" w:type="dxa"/>
              <w:bottom w:w="55" w:type="dxa"/>
            </w:tcMar>
            <w:tcW w:w="8107" w:type="dxa"/>
            <w:vAlign w:val="top"/>
          </w:tcPr>
          <w:p>
            <w:pPr>
              <w:pStyle w:val="1088"/>
              <w:pBdr/>
              <w:spacing/>
              <w:ind/>
              <w:rPr/>
            </w:pPr>
            <w:r>
              <w:t xml:space="preserve">R1-R9 and G1-G8 evidence tests, including human-review dependencies that cannot be reduced to schema validation.</w:t>
            </w:r>
            <w:r/>
          </w:p>
        </w:tc>
      </w:tr>
    </w:tbl>
    <w:p>
      <w:pPr>
        <w:pStyle w:val="1097"/>
        <w:pBdr/>
        <w:spacing/>
        <w:ind/>
        <w:rPr/>
      </w:pPr>
      <w:r/>
      <w:r/>
    </w:p>
    <w:p>
      <w:pPr>
        <w:pStyle w:val="1083"/>
        <w:keepLines w:val="false"/>
        <w:pBdr/>
        <w:spacing/>
        <w:ind/>
        <w:rPr/>
      </w:pPr>
      <w:r>
        <w:t xml:space="preserve">Every candidate release build MUST record schema version, vocabulary version, canonical_build_id, canonical dataset hash, permitted source-artifact pointer hashes, generation-query or script version</w:t>
      </w:r>
      <w:r>
        <w:t xml:space="preserve">, reviewer and CriterionResult IDs, validation timestamp, output-view hashes and superseded build ID. A Generated Evidence View is not authoritative if it cannot identify its named canonical build. Annex C contains the complete V-01–V-20 validation matrix.</w:t>
      </w:r>
      <w:r/>
    </w:p>
    <w:p>
      <w:pPr>
        <w:pStyle w:val="923"/>
        <w:keepNext w:val="true"/>
        <w:keepLines w:val="true"/>
        <w:pBdr/>
        <w:spacing/>
        <w:ind/>
        <w:rPr/>
      </w:pPr>
      <w:r/>
      <w:bookmarkStart w:id="55" w:name="section_9_workflow"/>
      <w:r>
        <w:t xml:space="preserve">9. Workflow, roles, review and AI</w:t>
      </w:r>
      <w:bookmarkEnd w:id="55"/>
      <w:r/>
      <w:r/>
    </w:p>
    <w:p>
      <w:pPr>
        <w:pStyle w:val="924"/>
        <w:keepNext w:val="true"/>
        <w:keepLines w:val="true"/>
        <w:pBdr/>
        <w:spacing/>
        <w:ind/>
        <w:rPr/>
      </w:pPr>
      <w:r/>
      <w:bookmarkStart w:id="56" w:name="s9_1_workflow"/>
      <w:r>
        <w:t xml:space="preserve">9.1 End-to-end workflow</w:t>
      </w:r>
      <w:bookmarkEnd w:id="56"/>
      <w:r/>
      <w:r/>
    </w:p>
    <w:p>
      <w:pPr>
        <w:pStyle w:val="1086"/>
        <w:keepNext w:val="true"/>
        <w:keepLines w:val="true"/>
        <w:pBdr/>
        <w:spacing/>
        <w:ind/>
        <w:rPr/>
      </w:pPr>
      <w:r/>
      <w:bookmarkStart w:id="57" w:name="Workflow_stages_0_3_2"/>
      <w:r>
        <w:t xml:space="preserve">Governing — Workflow stages 0–3</w:t>
      </w:r>
      <w:bookmarkEnd w:id="57"/>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994"/>
        <w:gridCol w:w="7012"/>
      </w:tblGrid>
      <w:tr>
        <w:trPr>
          <w:cantSplit/>
          <w:tblHeader/>
        </w:trPr>
        <w:tc>
          <w:tcPr>
            <w:shd w:val="clear" w:color="auto" w:fill="1f5d7a"/>
            <w:tcBorders/>
            <w:tcMar>
              <w:left w:w="55" w:type="dxa"/>
              <w:top w:w="45" w:type="dxa"/>
              <w:right w:w="55" w:type="dxa"/>
              <w:bottom w:w="45" w:type="dxa"/>
            </w:tcMar>
            <w:tcW w:w="2994" w:type="dxa"/>
            <w:vAlign w:val="top"/>
          </w:tcPr>
          <w:p>
            <w:pPr>
              <w:pStyle w:val="1090"/>
              <w:pBdr/>
              <w:spacing/>
              <w:ind/>
              <w:rPr/>
            </w:pPr>
            <w:r>
              <w:t xml:space="preserve">Stage, owner and entry</w:t>
            </w:r>
            <w:r/>
          </w:p>
        </w:tc>
        <w:tc>
          <w:tcPr>
            <w:shd w:val="clear" w:color="auto" w:fill="1f5d7a"/>
            <w:tcBorders/>
            <w:tcMar>
              <w:left w:w="55" w:type="dxa"/>
              <w:top w:w="45" w:type="dxa"/>
              <w:right w:w="55" w:type="dxa"/>
              <w:bottom w:w="45" w:type="dxa"/>
            </w:tcMar>
            <w:tcW w:w="7012" w:type="dxa"/>
            <w:vAlign w:val="top"/>
          </w:tcPr>
          <w:p>
            <w:pPr>
              <w:pStyle w:val="1090"/>
              <w:pBdr/>
              <w:spacing/>
              <w:ind/>
              <w:rPr/>
            </w:pPr>
            <w:r>
              <w:t xml:space="preserve">Process, output, exit, review and handoff</w:t>
            </w:r>
            <w:r/>
          </w:p>
        </w:tc>
      </w:tr>
      <w:tr>
        <w:trPr>
          <w:cantSplit/>
        </w:trPr>
        <w:tc>
          <w:tcPr>
            <w:shd w:val="clear" w:color="auto" w:fill="ffffff"/>
            <w:tcBorders/>
            <w:tcMar>
              <w:left w:w="55" w:type="dxa"/>
              <w:top w:w="45" w:type="dxa"/>
              <w:right w:w="55" w:type="dxa"/>
              <w:bottom w:w="45" w:type="dxa"/>
            </w:tcMar>
            <w:tcW w:w="2994" w:type="dxa"/>
            <w:vAlign w:val="top"/>
          </w:tcPr>
          <w:p>
            <w:pPr>
              <w:pStyle w:val="1089"/>
              <w:pBdr/>
              <w:spacing/>
              <w:ind/>
              <w:rPr/>
            </w:pPr>
            <w:r>
              <w:t xml:space="preserve">0. Intake</w:t>
            </w:r>
            <w:r/>
          </w:p>
          <w:p>
            <w:pPr>
              <w:pStyle w:val="1089"/>
              <w:pBdr/>
              <w:spacing/>
              <w:ind/>
              <w:rPr/>
            </w:pPr>
            <w:r>
              <w:t xml:space="preserve">Input: Candidate</w:t>
            </w:r>
            <w:r/>
          </w:p>
          <w:p>
            <w:pPr>
              <w:pStyle w:val="1089"/>
              <w:pBdr/>
              <w:spacing/>
              <w:ind/>
              <w:rPr/>
            </w:pPr>
            <w:r>
              <w:t xml:space="preserve">Owner: Research lead</w:t>
            </w:r>
            <w:r/>
          </w:p>
        </w:tc>
        <w:tc>
          <w:tcPr>
            <w:shd w:val="clear" w:color="auto" w:fill="ffffff"/>
            <w:tcBorders/>
            <w:tcMar>
              <w:left w:w="55" w:type="dxa"/>
              <w:top w:w="45" w:type="dxa"/>
              <w:right w:w="55" w:type="dxa"/>
              <w:bottom w:w="45" w:type="dxa"/>
            </w:tcMar>
            <w:tcW w:w="7012" w:type="dxa"/>
            <w:vAlign w:val="top"/>
          </w:tcPr>
          <w:p>
            <w:pPr>
              <w:pStyle w:val="1089"/>
              <w:pBdr/>
              <w:spacing/>
              <w:ind/>
              <w:rPr/>
            </w:pPr>
            <w:r>
              <w:t xml:space="preserve">Process: Assess inclusion value and ethical/source feasibility.</w:t>
            </w:r>
            <w:r/>
          </w:p>
          <w:p>
            <w:pPr>
              <w:pStyle w:val="1089"/>
              <w:pBdr/>
              <w:spacing/>
              <w:ind/>
              <w:rPr/>
            </w:pPr>
            <w:r>
              <w:t xml:space="preserve">Output: Inclusion/feasibility decision.</w:t>
            </w:r>
            <w:r/>
          </w:p>
          <w:p>
            <w:pPr>
              <w:pStyle w:val="1089"/>
              <w:pBdr/>
              <w:spacing/>
              <w:ind/>
              <w:rPr/>
            </w:pPr>
            <w:r>
              <w:t xml:space="preserve">Exit criterion: Inclusion justified; ethical feasibility screened.</w:t>
            </w:r>
            <w:r/>
          </w:p>
          <w:p>
            <w:pPr>
              <w:pStyle w:val="1089"/>
              <w:pBdr/>
              <w:spacing/>
              <w:ind/>
              <w:rPr/>
            </w:pPr>
            <w:r>
              <w:t xml:space="preserve">Review: -</w:t>
            </w:r>
            <w:r/>
          </w:p>
          <w:p>
            <w:pPr>
              <w:pStyle w:val="1089"/>
              <w:pBdr/>
              <w:spacing/>
              <w:ind/>
              <w:rPr/>
            </w:pPr>
            <w:r>
              <w:t xml:space="preserve">Failure: hold/reject with decision record.</w:t>
            </w:r>
            <w:r/>
          </w:p>
          <w:p>
            <w:pPr>
              <w:pStyle w:val="1089"/>
              <w:pBdr/>
              <w:spacing/>
              <w:ind/>
              <w:rPr/>
            </w:pPr>
            <w:r>
              <w:t xml:space="preserve">Handoff: accepted candidate -&gt; Bounding.</w:t>
            </w:r>
            <w:r/>
          </w:p>
        </w:tc>
      </w:tr>
      <w:tr>
        <w:trPr>
          <w:cantSplit/>
        </w:trPr>
        <w:tc>
          <w:tcPr>
            <w:shd w:val="clear" w:color="auto" w:fill="f4f6f7"/>
            <w:tcBorders/>
            <w:tcMar>
              <w:left w:w="55" w:type="dxa"/>
              <w:top w:w="45" w:type="dxa"/>
              <w:right w:w="55" w:type="dxa"/>
              <w:bottom w:w="45" w:type="dxa"/>
            </w:tcMar>
            <w:tcW w:w="2994" w:type="dxa"/>
            <w:vAlign w:val="top"/>
          </w:tcPr>
          <w:p>
            <w:pPr>
              <w:pStyle w:val="1089"/>
              <w:pBdr/>
              <w:spacing/>
              <w:ind/>
              <w:rPr/>
            </w:pPr>
            <w:r>
              <w:t xml:space="preserve">1. Bounding</w:t>
            </w:r>
            <w:r/>
          </w:p>
          <w:p>
            <w:pPr>
              <w:pStyle w:val="1089"/>
              <w:pBdr/>
              <w:spacing/>
              <w:ind/>
              <w:rPr/>
            </w:pPr>
            <w:r>
              <w:t xml:space="preserve">Input: Accepted candidate</w:t>
            </w:r>
            <w:r/>
          </w:p>
          <w:p>
            <w:pPr>
              <w:pStyle w:val="1089"/>
              <w:pBdr/>
              <w:spacing/>
              <w:ind/>
              <w:rPr/>
            </w:pPr>
            <w:r>
              <w:t xml:space="preserve">Owner: Research lead + specialist as needed</w:t>
            </w:r>
            <w:r/>
          </w:p>
        </w:tc>
        <w:tc>
          <w:tcPr>
            <w:shd w:val="clear" w:color="auto" w:fill="f4f6f7"/>
            <w:tcBorders/>
            <w:tcMar>
              <w:left w:w="55" w:type="dxa"/>
              <w:top w:w="45" w:type="dxa"/>
              <w:right w:w="55" w:type="dxa"/>
              <w:bottom w:w="45" w:type="dxa"/>
            </w:tcMar>
            <w:tcW w:w="7012" w:type="dxa"/>
            <w:vAlign w:val="top"/>
          </w:tcPr>
          <w:p>
            <w:pPr>
              <w:pStyle w:val="1089"/>
              <w:pBdr/>
              <w:spacing/>
              <w:ind/>
              <w:rPr/>
            </w:pPr>
            <w:r>
              <w:t xml:space="preserve">Process: Define period, geography, lineage, corpus, community, thesis and analytical level.</w:t>
            </w:r>
            <w:r/>
          </w:p>
          <w:p>
            <w:pPr>
              <w:pStyle w:val="1089"/>
              <w:pBdr/>
              <w:spacing/>
              <w:ind/>
              <w:rPr/>
            </w:pPr>
            <w:r>
              <w:t xml:space="preserve">Output: Bounded PositionRecord</w:t>
            </w:r>
            <w:r/>
          </w:p>
          <w:p>
            <w:pPr>
              <w:pStyle w:val="1089"/>
              <w:pBdr/>
              <w:spacing/>
              <w:ind/>
              <w:rPr/>
            </w:pPr>
            <w:r>
              <w:t xml:space="preserve">Exit criterion: Scope unambiguous.</w:t>
            </w:r>
            <w:r/>
          </w:p>
          <w:p>
            <w:pPr>
              <w:pStyle w:val="1089"/>
              <w:pBdr/>
              <w:spacing/>
              <w:ind/>
              <w:rPr/>
            </w:pPr>
            <w:r>
              <w:t xml:space="preserve">Review: R2 / R4 where applicable</w:t>
            </w:r>
            <w:r/>
          </w:p>
          <w:p>
            <w:pPr>
              <w:pStyle w:val="1089"/>
              <w:pBdr/>
              <w:spacing/>
              <w:ind/>
              <w:rPr/>
            </w:pPr>
            <w:r>
              <w:t xml:space="preserve">Failure: return to Intake or narrow scope with issue record.</w:t>
            </w:r>
            <w:r/>
          </w:p>
          <w:p>
            <w:pPr>
              <w:pStyle w:val="1089"/>
              <w:pBdr/>
              <w:spacing/>
              <w:ind/>
              <w:rPr/>
            </w:pPr>
            <w:r>
              <w:t xml:space="preserve">Handoff: bounded Position -&gt; Source dossier.</w:t>
            </w:r>
            <w:r/>
          </w:p>
        </w:tc>
      </w:tr>
      <w:tr>
        <w:trPr>
          <w:cantSplit/>
        </w:trPr>
        <w:tc>
          <w:tcPr>
            <w:shd w:val="clear" w:color="auto" w:fill="ffffff"/>
            <w:tcBorders/>
            <w:tcMar>
              <w:left w:w="55" w:type="dxa"/>
              <w:top w:w="45" w:type="dxa"/>
              <w:right w:w="55" w:type="dxa"/>
              <w:bottom w:w="45" w:type="dxa"/>
            </w:tcMar>
            <w:tcW w:w="2994" w:type="dxa"/>
            <w:vAlign w:val="top"/>
          </w:tcPr>
          <w:p>
            <w:pPr>
              <w:pStyle w:val="1089"/>
              <w:pBdr/>
              <w:spacing/>
              <w:ind/>
              <w:rPr/>
            </w:pPr>
            <w:r>
              <w:t xml:space="preserve">2. Source dossier</w:t>
            </w:r>
            <w:r/>
          </w:p>
          <w:p>
            <w:pPr>
              <w:pStyle w:val="1089"/>
              <w:pBdr/>
              <w:spacing/>
              <w:ind/>
              <w:rPr/>
            </w:pPr>
            <w:r>
              <w:t xml:space="preserve">Input: Bounded Position</w:t>
            </w:r>
            <w:r/>
          </w:p>
          <w:p>
            <w:pPr>
              <w:pStyle w:val="1089"/>
              <w:pBdr/>
              <w:spacing/>
              <w:ind/>
              <w:rPr/>
            </w:pPr>
            <w:r>
              <w:t xml:space="preserve">Owner: Researcher / specialist</w:t>
            </w:r>
            <w:r/>
          </w:p>
        </w:tc>
        <w:tc>
          <w:tcPr>
            <w:shd w:val="clear" w:color="auto" w:fill="ffffff"/>
            <w:tcBorders/>
            <w:tcMar>
              <w:left w:w="55" w:type="dxa"/>
              <w:top w:w="45" w:type="dxa"/>
              <w:right w:w="55" w:type="dxa"/>
              <w:bottom w:w="45" w:type="dxa"/>
            </w:tcMar>
            <w:tcW w:w="7012" w:type="dxa"/>
            <w:vAlign w:val="top"/>
          </w:tcPr>
          <w:p>
            <w:pPr>
              <w:pStyle w:val="1089"/>
              <w:pBdr/>
              <w:spacing/>
              <w:ind/>
              <w:rPr/>
            </w:pPr>
            <w:r>
              <w:t xml:space="preserve">Process: Assemble source-fit package; identify languages, dating, access/rights, controversies and source-community applicability.</w:t>
            </w:r>
            <w:r/>
          </w:p>
          <w:p>
            <w:pPr>
              <w:pStyle w:val="1089"/>
              <w:pBdr/>
              <w:spacing/>
              <w:ind/>
              <w:rPr/>
            </w:pPr>
            <w:r>
              <w:t xml:space="preserve">Output: Source-fit dossier</w:t>
            </w:r>
            <w:r/>
          </w:p>
          <w:p>
            <w:pPr>
              <w:pStyle w:val="1089"/>
              <w:pBdr/>
              <w:spacing/>
              <w:ind/>
              <w:rPr/>
            </w:pPr>
            <w:r>
              <w:t xml:space="preserve">Exit criterion: Minimum evidence package, languages, rights/access and controversies identified.</w:t>
            </w:r>
            <w:r/>
          </w:p>
          <w:p>
            <w:pPr>
              <w:pStyle w:val="1089"/>
              <w:pBdr/>
              <w:spacing/>
              <w:ind/>
              <w:rPr/>
            </w:pPr>
            <w:r>
              <w:t xml:space="preserve">Review: R1 / R6</w:t>
            </w:r>
            <w:r/>
          </w:p>
          <w:p>
            <w:pPr>
              <w:pStyle w:val="1089"/>
              <w:pBdr/>
              <w:spacing/>
              <w:ind/>
              <w:rPr/>
            </w:pPr>
            <w:r>
              <w:t xml:space="preserve">Failure: remediate evidence/access or hold candidate.</w:t>
            </w:r>
            <w:r/>
          </w:p>
          <w:p>
            <w:pPr>
              <w:pStyle w:val="1089"/>
              <w:pBdr/>
              <w:spacing/>
              <w:ind/>
              <w:rPr/>
            </w:pPr>
            <w:r>
              <w:t xml:space="preserve">Handoff: dossier -&gt; Emic profile and concept control.</w:t>
            </w:r>
            <w:r/>
          </w:p>
        </w:tc>
      </w:tr>
      <w:tr>
        <w:trPr>
          <w:cantSplit/>
        </w:trPr>
        <w:tc>
          <w:tcPr>
            <w:shd w:val="clear" w:color="auto" w:fill="f4f6f7"/>
            <w:tcBorders/>
            <w:tcMar>
              <w:left w:w="55" w:type="dxa"/>
              <w:top w:w="45" w:type="dxa"/>
              <w:right w:w="55" w:type="dxa"/>
              <w:bottom w:w="45" w:type="dxa"/>
            </w:tcMar>
            <w:tcW w:w="2994" w:type="dxa"/>
            <w:vAlign w:val="top"/>
          </w:tcPr>
          <w:p>
            <w:pPr>
              <w:pStyle w:val="1089"/>
              <w:pBdr/>
              <w:spacing/>
              <w:ind/>
              <w:rPr/>
            </w:pPr>
            <w:r>
              <w:t xml:space="preserve">3. Emic profile</w:t>
            </w:r>
            <w:r/>
          </w:p>
          <w:p>
            <w:pPr>
              <w:pStyle w:val="1089"/>
              <w:pBdr/>
              <w:spacing/>
              <w:ind/>
              <w:rPr/>
            </w:pPr>
            <w:r>
              <w:t xml:space="preserve">Input: Source dossier</w:t>
            </w:r>
            <w:r/>
          </w:p>
          <w:p>
            <w:pPr>
              <w:pStyle w:val="1089"/>
              <w:pBdr/>
              <w:spacing/>
              <w:ind/>
              <w:rPr/>
            </w:pPr>
            <w:r>
              <w:t xml:space="preserve">Owner: Researcher</w:t>
            </w:r>
            <w:r/>
          </w:p>
        </w:tc>
        <w:tc>
          <w:tcPr>
            <w:shd w:val="clear" w:color="auto" w:fill="f4f6f7"/>
            <w:tcBorders/>
            <w:tcMar>
              <w:left w:w="55" w:type="dxa"/>
              <w:top w:w="45" w:type="dxa"/>
              <w:right w:w="55" w:type="dxa"/>
              <w:bottom w:w="45" w:type="dxa"/>
            </w:tcMar>
            <w:tcW w:w="7012" w:type="dxa"/>
            <w:vAlign w:val="top"/>
          </w:tcPr>
          <w:p>
            <w:pPr>
              <w:pStyle w:val="1089"/>
              <w:pBdr/>
              <w:spacing/>
              <w:ind/>
              <w:rPr/>
            </w:pPr>
            <w:r>
              <w:t xml:space="preserve">Process: Describe source problem-space before Atlas normalization.</w:t>
            </w:r>
            <w:r/>
          </w:p>
          <w:p>
            <w:pPr>
              <w:pStyle w:val="1089"/>
              <w:pBdr/>
              <w:spacing/>
              <w:ind/>
              <w:rPr/>
            </w:pPr>
            <w:r>
              <w:t xml:space="preserve">Output: Emic orientation</w:t>
            </w:r>
            <w:r/>
          </w:p>
          <w:p>
            <w:pPr>
              <w:pStyle w:val="1089"/>
              <w:pBdr/>
              <w:spacing/>
              <w:ind/>
              <w:rPr/>
            </w:pPr>
            <w:r>
              <w:t xml:space="preserve">Exit criterion: Source problem-space captured before Atlas coding.</w:t>
            </w:r>
            <w:r/>
          </w:p>
          <w:p>
            <w:pPr>
              <w:pStyle w:val="1089"/>
              <w:pBdr/>
              <w:spacing/>
              <w:ind/>
              <w:rPr/>
            </w:pPr>
            <w:r>
              <w:t xml:space="preserve">Review: R2</w:t>
            </w:r>
            <w:r/>
          </w:p>
          <w:p>
            <w:pPr>
              <w:pStyle w:val="1089"/>
              <w:pBdr/>
              <w:spacing/>
              <w:ind/>
              <w:rPr/>
            </w:pPr>
            <w:r>
              <w:t xml:space="preserve">Failure: return to Source dossier/Bounding.</w:t>
            </w:r>
            <w:r/>
          </w:p>
          <w:p>
            <w:pPr>
              <w:pStyle w:val="1089"/>
              <w:pBdr/>
              <w:spacing/>
              <w:ind/>
              <w:rPr/>
            </w:pPr>
            <w:r>
              <w:t xml:space="preserve">Handoff: profile -&gt; Concept control and claim extraction.</w:t>
            </w:r>
            <w:r/>
          </w:p>
        </w:tc>
      </w:tr>
    </w:tbl>
    <w:p>
      <w:pPr>
        <w:pStyle w:val="1097"/>
        <w:pBdr/>
        <w:spacing/>
        <w:ind/>
        <w:rPr/>
      </w:pPr>
      <w:r/>
      <w:r/>
    </w:p>
    <w:p>
      <w:pPr>
        <w:pStyle w:val="1086"/>
        <w:keepNext w:val="true"/>
        <w:keepLines w:val="true"/>
        <w:pBdr/>
        <w:spacing/>
        <w:ind/>
        <w:rPr/>
      </w:pPr>
      <w:r/>
      <w:bookmarkStart w:id="58" w:name="Workflow_stages_4_7_2"/>
      <w:r>
        <w:t xml:space="preserve">Governing — Workflow stages 4–7</w:t>
      </w:r>
      <w:bookmarkEnd w:id="58"/>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994"/>
        <w:gridCol w:w="7012"/>
      </w:tblGrid>
      <w:tr>
        <w:trPr>
          <w:cantSplit/>
          <w:tblHeader/>
        </w:trPr>
        <w:tc>
          <w:tcPr>
            <w:shd w:val="clear" w:color="auto" w:fill="1f5d7a"/>
            <w:tcBorders/>
            <w:tcMar>
              <w:left w:w="55" w:type="dxa"/>
              <w:top w:w="45" w:type="dxa"/>
              <w:right w:w="55" w:type="dxa"/>
              <w:bottom w:w="45" w:type="dxa"/>
            </w:tcMar>
            <w:tcW w:w="2994" w:type="dxa"/>
            <w:vAlign w:val="top"/>
          </w:tcPr>
          <w:p>
            <w:pPr>
              <w:pStyle w:val="1090"/>
              <w:pBdr/>
              <w:spacing/>
              <w:ind/>
              <w:rPr/>
            </w:pPr>
            <w:r>
              <w:t xml:space="preserve">Stage, owner and entry</w:t>
            </w:r>
            <w:r/>
          </w:p>
        </w:tc>
        <w:tc>
          <w:tcPr>
            <w:shd w:val="clear" w:color="auto" w:fill="1f5d7a"/>
            <w:tcBorders/>
            <w:tcMar>
              <w:left w:w="55" w:type="dxa"/>
              <w:top w:w="45" w:type="dxa"/>
              <w:right w:w="55" w:type="dxa"/>
              <w:bottom w:w="45" w:type="dxa"/>
            </w:tcMar>
            <w:tcW w:w="7012" w:type="dxa"/>
            <w:vAlign w:val="top"/>
          </w:tcPr>
          <w:p>
            <w:pPr>
              <w:pStyle w:val="1090"/>
              <w:pBdr/>
              <w:spacing/>
              <w:ind/>
              <w:rPr/>
            </w:pPr>
            <w:r>
              <w:t xml:space="preserve">Process, output, exit, review and handoff</w:t>
            </w:r>
            <w:r/>
          </w:p>
        </w:tc>
      </w:tr>
      <w:tr>
        <w:trPr>
          <w:cantSplit/>
        </w:trPr>
        <w:tc>
          <w:tcPr>
            <w:shd w:val="clear" w:color="auto" w:fill="ffffff"/>
            <w:tcBorders/>
            <w:tcMar>
              <w:left w:w="55" w:type="dxa"/>
              <w:top w:w="45" w:type="dxa"/>
              <w:right w:w="55" w:type="dxa"/>
              <w:bottom w:w="45" w:type="dxa"/>
            </w:tcMar>
            <w:tcW w:w="2994" w:type="dxa"/>
            <w:vAlign w:val="top"/>
          </w:tcPr>
          <w:p>
            <w:pPr>
              <w:pStyle w:val="1089"/>
              <w:pBdr/>
              <w:spacing/>
              <w:ind/>
              <w:rPr/>
            </w:pPr>
            <w:r>
              <w:t xml:space="preserve">4. Concept control</w:t>
            </w:r>
            <w:r/>
          </w:p>
          <w:p>
            <w:pPr>
              <w:pStyle w:val="1089"/>
              <w:pBdr/>
              <w:spacing/>
              <w:ind/>
              <w:rPr/>
            </w:pPr>
            <w:r>
              <w:t xml:space="preserve">Input: Sources + emic profile</w:t>
            </w:r>
            <w:r/>
          </w:p>
          <w:p>
            <w:pPr>
              <w:pStyle w:val="1089"/>
              <w:pBdr/>
              <w:spacing/>
              <w:ind/>
              <w:rPr/>
            </w:pPr>
            <w:r>
              <w:t xml:space="preserve">Owner: Researcher + language specialist where needed</w:t>
            </w:r>
            <w:r/>
          </w:p>
        </w:tc>
        <w:tc>
          <w:tcPr>
            <w:shd w:val="clear" w:color="auto" w:fill="ffffff"/>
            <w:tcBorders/>
            <w:tcMar>
              <w:left w:w="55" w:type="dxa"/>
              <w:top w:w="45" w:type="dxa"/>
              <w:right w:w="55" w:type="dxa"/>
              <w:bottom w:w="45" w:type="dxa"/>
            </w:tcMar>
            <w:tcW w:w="7012" w:type="dxa"/>
            <w:vAlign w:val="top"/>
          </w:tcPr>
          <w:p>
            <w:pPr>
              <w:pStyle w:val="1089"/>
              <w:pBdr/>
              <w:spacing/>
              <w:ind/>
              <w:rPr/>
            </w:pPr>
            <w:r>
              <w:t xml:space="preserve">Process: Record central terms, translations, semantic range, disputes and false-friend risks.</w:t>
            </w:r>
            <w:r/>
          </w:p>
          <w:p>
            <w:pPr>
              <w:pStyle w:val="1089"/>
              <w:pBdr/>
              <w:spacing/>
              <w:ind/>
              <w:rPr/>
            </w:pPr>
            <w:r>
              <w:t xml:space="preserve">Output: ConceptRecords</w:t>
            </w:r>
            <w:r/>
          </w:p>
          <w:p>
            <w:pPr>
              <w:pStyle w:val="1089"/>
              <w:pBdr/>
              <w:spacing/>
              <w:ind/>
              <w:rPr/>
            </w:pPr>
            <w:r>
              <w:t xml:space="preserve">Exit criterion: High-risk bridge concepts controlled; disputes/false friends recorded.</w:t>
            </w:r>
            <w:r/>
          </w:p>
          <w:p>
            <w:pPr>
              <w:pStyle w:val="1089"/>
              <w:pBdr/>
              <w:spacing/>
              <w:ind/>
              <w:rPr/>
            </w:pPr>
            <w:r>
              <w:t xml:space="preserve">Review: R3</w:t>
            </w:r>
            <w:r/>
          </w:p>
          <w:p>
            <w:pPr>
              <w:pStyle w:val="1089"/>
              <w:pBdr/>
              <w:spacing/>
              <w:ind/>
              <w:rPr/>
            </w:pPr>
            <w:r>
              <w:t xml:space="preserve">Failure: obtain specialist evidence or restrict claim/comparison.</w:t>
            </w:r>
            <w:r/>
          </w:p>
          <w:p>
            <w:pPr>
              <w:pStyle w:val="1089"/>
              <w:pBdr/>
              <w:spacing/>
              <w:ind/>
              <w:rPr/>
            </w:pPr>
            <w:r>
              <w:t xml:space="preserve">Handoff: concepts -&gt; Claim extraction and QR coding.</w:t>
            </w:r>
            <w:r/>
          </w:p>
        </w:tc>
      </w:tr>
      <w:tr>
        <w:trPr>
          <w:cantSplit/>
        </w:trPr>
        <w:tc>
          <w:tcPr>
            <w:shd w:val="clear" w:color="auto" w:fill="f4f6f7"/>
            <w:tcBorders/>
            <w:tcMar>
              <w:left w:w="55" w:type="dxa"/>
              <w:top w:w="45" w:type="dxa"/>
              <w:right w:w="55" w:type="dxa"/>
              <w:bottom w:w="45" w:type="dxa"/>
            </w:tcMar>
            <w:tcW w:w="2994" w:type="dxa"/>
            <w:vAlign w:val="top"/>
          </w:tcPr>
          <w:p>
            <w:pPr>
              <w:pStyle w:val="1089"/>
              <w:pBdr/>
              <w:spacing/>
              <w:ind/>
              <w:rPr/>
            </w:pPr>
            <w:r>
              <w:t xml:space="preserve">5. Claim extraction</w:t>
            </w:r>
            <w:r/>
          </w:p>
          <w:p>
            <w:pPr>
              <w:pStyle w:val="1089"/>
              <w:pBdr/>
              <w:spacing/>
              <w:ind/>
              <w:rPr/>
            </w:pPr>
            <w:r>
              <w:t xml:space="preserve">Input: Sources + concepts</w:t>
            </w:r>
            <w:r/>
          </w:p>
          <w:p>
            <w:pPr>
              <w:pStyle w:val="1089"/>
              <w:pBdr/>
              <w:spacing/>
              <w:ind/>
              <w:rPr/>
            </w:pPr>
            <w:r>
              <w:t xml:space="preserve">Owner: Researcher</w:t>
            </w:r>
            <w:r/>
          </w:p>
        </w:tc>
        <w:tc>
          <w:tcPr>
            <w:shd w:val="clear" w:color="auto" w:fill="f4f6f7"/>
            <w:tcBorders/>
            <w:tcMar>
              <w:left w:w="55" w:type="dxa"/>
              <w:top w:w="45" w:type="dxa"/>
              <w:right w:w="55" w:type="dxa"/>
              <w:bottom w:w="45" w:type="dxa"/>
            </w:tcMar>
            <w:tcW w:w="7012" w:type="dxa"/>
            <w:vAlign w:val="top"/>
          </w:tcPr>
          <w:p>
            <w:pPr>
              <w:pStyle w:val="1089"/>
              <w:pBdr/>
              <w:spacing/>
              <w:ind/>
              <w:rPr/>
            </w:pPr>
            <w:r>
              <w:t xml:space="preserve">Process: Split source-grounded assertions atomically; code attachment/origin; attach evidence/derivation and locators.</w:t>
            </w:r>
            <w:r/>
          </w:p>
          <w:p>
            <w:pPr>
              <w:pStyle w:val="1089"/>
              <w:pBdr/>
              <w:spacing/>
              <w:ind/>
              <w:rPr/>
            </w:pPr>
            <w:r>
              <w:t xml:space="preserve">Output: Atomic Claims + EvidenceLinks</w:t>
            </w:r>
            <w:r/>
          </w:p>
          <w:p>
            <w:pPr>
              <w:pStyle w:val="1089"/>
              <w:pBdr/>
              <w:spacing/>
              <w:ind/>
              <w:rPr/>
            </w:pPr>
            <w:r>
              <w:t xml:space="preserve">Exit criterion: Atomicity, scope, attachment/origin and locator tests pass.</w:t>
            </w:r>
            <w:r/>
          </w:p>
          <w:p>
            <w:pPr>
              <w:pStyle w:val="1089"/>
              <w:pBdr/>
              <w:spacing/>
              <w:ind/>
              <w:rPr/>
            </w:pPr>
            <w:r>
              <w:t xml:space="preserve">Review: R1</w:t>
            </w:r>
            <w:r/>
          </w:p>
          <w:p>
            <w:pPr>
              <w:pStyle w:val="1089"/>
              <w:pBdr/>
              <w:spacing/>
              <w:ind/>
              <w:rPr/>
            </w:pPr>
            <w:r>
              <w:t xml:space="preserve">Failure: split/re-scope/re-source claim.</w:t>
            </w:r>
            <w:r/>
          </w:p>
          <w:p>
            <w:pPr>
              <w:pStyle w:val="1089"/>
              <w:pBdr/>
              <w:spacing/>
              <w:ind/>
              <w:rPr/>
            </w:pPr>
            <w:r>
              <w:t xml:space="preserve">Handoff: claims -&gt; QR coding.</w:t>
            </w:r>
            <w:r/>
          </w:p>
        </w:tc>
      </w:tr>
      <w:tr>
        <w:trPr>
          <w:cantSplit/>
        </w:trPr>
        <w:tc>
          <w:tcPr>
            <w:shd w:val="clear" w:color="auto" w:fill="ffffff"/>
            <w:tcBorders/>
            <w:tcMar>
              <w:left w:w="55" w:type="dxa"/>
              <w:top w:w="45" w:type="dxa"/>
              <w:right w:w="55" w:type="dxa"/>
              <w:bottom w:w="45" w:type="dxa"/>
            </w:tcMar>
            <w:tcW w:w="2994" w:type="dxa"/>
            <w:vAlign w:val="top"/>
          </w:tcPr>
          <w:p>
            <w:pPr>
              <w:pStyle w:val="1089"/>
              <w:pBdr/>
              <w:spacing/>
              <w:ind/>
              <w:rPr/>
            </w:pPr>
            <w:r>
              <w:t xml:space="preserve">6. QR coding</w:t>
            </w:r>
            <w:r/>
          </w:p>
          <w:p>
            <w:pPr>
              <w:pStyle w:val="1089"/>
              <w:pBdr/>
              <w:spacing/>
              <w:ind/>
              <w:rPr/>
            </w:pPr>
            <w:r>
              <w:t xml:space="preserve">Input: Claims</w:t>
            </w:r>
            <w:r/>
          </w:p>
          <w:p>
            <w:pPr>
              <w:pStyle w:val="1089"/>
              <w:pBdr/>
              <w:spacing/>
              <w:ind/>
              <w:rPr/>
            </w:pPr>
            <w:r>
              <w:t xml:space="preserve">Owner: Primary coder</w:t>
            </w:r>
            <w:r/>
          </w:p>
        </w:tc>
        <w:tc>
          <w:tcPr>
            <w:shd w:val="clear" w:color="auto" w:fill="ffffff"/>
            <w:tcBorders/>
            <w:tcMar>
              <w:left w:w="55" w:type="dxa"/>
              <w:top w:w="45" w:type="dxa"/>
              <w:right w:w="55" w:type="dxa"/>
              <w:bottom w:w="45" w:type="dxa"/>
            </w:tcMar>
            <w:tcW w:w="7012" w:type="dxa"/>
            <w:vAlign w:val="top"/>
          </w:tcPr>
          <w:p>
            <w:pPr>
              <w:pStyle w:val="1089"/>
              <w:pBdr/>
              <w:spacing/>
              <w:ind/>
              <w:rPr/>
            </w:pPr>
            <w:r>
              <w:t xml:space="preserve">Process: Code D1-D15 QuestionResponses using one primary state plus orthogonal CAT warnings.</w:t>
            </w:r>
            <w:r/>
          </w:p>
          <w:p>
            <w:pPr>
              <w:pStyle w:val="1089"/>
              <w:pBdr/>
              <w:spacing/>
              <w:ind/>
              <w:rPr/>
            </w:pPr>
            <w:r>
              <w:t xml:space="preserve">Output: D1-D15 QuestionResponses</w:t>
            </w:r>
            <w:r/>
          </w:p>
          <w:p>
            <w:pPr>
              <w:pStyle w:val="1089"/>
              <w:pBdr/>
              <w:spacing/>
              <w:ind/>
              <w:rPr/>
            </w:pPr>
            <w:r>
              <w:t xml:space="preserve">Exit criterion: Every applicable question has exactly one primary state; CAT handled orthogonally.</w:t>
            </w:r>
            <w:r/>
          </w:p>
          <w:p>
            <w:pPr>
              <w:pStyle w:val="1089"/>
              <w:pBdr/>
              <w:spacing/>
              <w:ind/>
              <w:rPr/>
            </w:pPr>
            <w:r>
              <w:t xml:space="preserve">Review: R2</w:t>
            </w:r>
            <w:r/>
          </w:p>
          <w:p>
            <w:pPr>
              <w:pStyle w:val="1089"/>
              <w:pBdr/>
              <w:spacing/>
              <w:ind/>
              <w:rPr/>
            </w:pPr>
            <w:r>
              <w:t xml:space="preserve">Failure: return to Claim extraction/Concept control for evidence or category resolution.</w:t>
            </w:r>
            <w:r/>
          </w:p>
          <w:p>
            <w:pPr>
              <w:pStyle w:val="1089"/>
              <w:pBdr/>
              <w:spacing/>
              <w:ind/>
              <w:rPr/>
            </w:pPr>
            <w:r>
              <w:t xml:space="preserve">Handoff: QRs -&gt; Variation audit.</w:t>
            </w:r>
            <w:r/>
          </w:p>
        </w:tc>
      </w:tr>
      <w:tr>
        <w:trPr>
          <w:cantSplit/>
        </w:trPr>
        <w:tc>
          <w:tcPr>
            <w:shd w:val="clear" w:color="auto" w:fill="f4f6f7"/>
            <w:tcBorders/>
            <w:tcMar>
              <w:left w:w="55" w:type="dxa"/>
              <w:top w:w="45" w:type="dxa"/>
              <w:right w:w="55" w:type="dxa"/>
              <w:bottom w:w="45" w:type="dxa"/>
            </w:tcMar>
            <w:tcW w:w="2994" w:type="dxa"/>
            <w:vAlign w:val="top"/>
          </w:tcPr>
          <w:p>
            <w:pPr>
              <w:pStyle w:val="1089"/>
              <w:pBdr/>
              <w:spacing/>
              <w:ind/>
              <w:rPr/>
            </w:pPr>
            <w:r>
              <w:t xml:space="preserve">7. Variation audit</w:t>
            </w:r>
            <w:r/>
          </w:p>
          <w:p>
            <w:pPr>
              <w:pStyle w:val="1089"/>
              <w:pBdr/>
              <w:spacing/>
              <w:ind/>
              <w:rPr/>
            </w:pPr>
            <w:r>
              <w:t xml:space="preserve">Input: QRs + context</w:t>
            </w:r>
            <w:r/>
          </w:p>
          <w:p>
            <w:pPr>
              <w:pStyle w:val="1089"/>
              <w:pBdr/>
              <w:spacing/>
              <w:ind/>
              <w:rPr/>
            </w:pPr>
            <w:r>
              <w:t xml:space="preserve">Owner: Researcher</w:t>
            </w:r>
            <w:r/>
          </w:p>
        </w:tc>
        <w:tc>
          <w:tcPr>
            <w:shd w:val="clear" w:color="auto" w:fill="f4f6f7"/>
            <w:tcBorders/>
            <w:tcMar>
              <w:left w:w="55" w:type="dxa"/>
              <w:top w:w="45" w:type="dxa"/>
              <w:right w:w="55" w:type="dxa"/>
              <w:bottom w:w="45" w:type="dxa"/>
            </w:tcMar>
            <w:tcW w:w="7012" w:type="dxa"/>
            <w:vAlign w:val="top"/>
          </w:tcPr>
          <w:p>
            <w:pPr>
              <w:pStyle w:val="1089"/>
              <w:pBdr/>
              <w:spacing/>
              <w:ind/>
              <w:rPr/>
            </w:pPr>
            <w:r>
              <w:t xml:space="preserve">Process: Check dissent, chronology, region, lived/normative divergence, genre variation and counterexamples.</w:t>
            </w:r>
            <w:r/>
          </w:p>
          <w:p>
            <w:pPr>
              <w:pStyle w:val="1089"/>
              <w:pBdr/>
              <w:spacing/>
              <w:ind/>
              <w:rPr/>
            </w:pPr>
            <w:r>
              <w:t xml:space="preserve">Output: Plurality / variation record</w:t>
            </w:r>
            <w:r/>
          </w:p>
          <w:p>
            <w:pPr>
              <w:pStyle w:val="1089"/>
              <w:pBdr/>
              <w:spacing/>
              <w:ind/>
              <w:rPr/>
            </w:pPr>
            <w:r>
              <w:t xml:space="preserve">Exit criterion: Material variation dimensions checked and linked.</w:t>
            </w:r>
            <w:r/>
          </w:p>
          <w:p>
            <w:pPr>
              <w:pStyle w:val="1089"/>
              <w:pBdr/>
              <w:spacing/>
              <w:ind/>
              <w:rPr/>
            </w:pPr>
            <w:r>
              <w:t xml:space="preserve">Review: R4</w:t>
            </w:r>
            <w:r/>
          </w:p>
          <w:p>
            <w:pPr>
              <w:pStyle w:val="1089"/>
              <w:pBdr/>
              <w:spacing/>
              <w:ind/>
              <w:rPr/>
            </w:pPr>
            <w:r>
              <w:t xml:space="preserve">Failure: revise boundary/claims/QRs or hold aggregation.</w:t>
            </w:r>
            <w:r/>
          </w:p>
          <w:p>
            <w:pPr>
              <w:pStyle w:val="1089"/>
              <w:pBdr/>
              <w:spacing/>
              <w:ind/>
              <w:rPr/>
            </w:pPr>
            <w:r>
              <w:t xml:space="preserve">Handoff: validated Position package -&gt; Comparison.</w:t>
            </w:r>
            <w:r/>
          </w:p>
        </w:tc>
      </w:tr>
    </w:tbl>
    <w:p>
      <w:pPr>
        <w:pStyle w:val="1097"/>
        <w:pBdr/>
        <w:spacing/>
        <w:ind/>
        <w:rPr/>
      </w:pPr>
      <w:r/>
      <w:r/>
    </w:p>
    <w:p>
      <w:pPr>
        <w:pStyle w:val="1086"/>
        <w:keepNext w:val="true"/>
        <w:keepLines w:val="true"/>
        <w:pBdr/>
        <w:spacing/>
        <w:ind/>
        <w:rPr/>
      </w:pPr>
      <w:r/>
      <w:bookmarkStart w:id="59" w:name="Workflow_stages_8_11_2"/>
      <w:r>
        <w:t xml:space="preserve">Governing — Workflow stages 8–11</w:t>
      </w:r>
      <w:bookmarkEnd w:id="59"/>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994"/>
        <w:gridCol w:w="7012"/>
      </w:tblGrid>
      <w:tr>
        <w:trPr>
          <w:cantSplit/>
          <w:tblHeader/>
        </w:trPr>
        <w:tc>
          <w:tcPr>
            <w:shd w:val="clear" w:color="auto" w:fill="1f5d7a"/>
            <w:tcBorders/>
            <w:tcMar>
              <w:left w:w="55" w:type="dxa"/>
              <w:top w:w="45" w:type="dxa"/>
              <w:right w:w="55" w:type="dxa"/>
              <w:bottom w:w="45" w:type="dxa"/>
            </w:tcMar>
            <w:tcW w:w="2994" w:type="dxa"/>
            <w:vAlign w:val="top"/>
          </w:tcPr>
          <w:p>
            <w:pPr>
              <w:pStyle w:val="1090"/>
              <w:pBdr/>
              <w:spacing/>
              <w:ind/>
              <w:rPr/>
            </w:pPr>
            <w:r>
              <w:t xml:space="preserve">Stage, owner and entry</w:t>
            </w:r>
            <w:r/>
          </w:p>
        </w:tc>
        <w:tc>
          <w:tcPr>
            <w:shd w:val="clear" w:color="auto" w:fill="1f5d7a"/>
            <w:tcBorders/>
            <w:tcMar>
              <w:left w:w="55" w:type="dxa"/>
              <w:top w:w="45" w:type="dxa"/>
              <w:right w:w="55" w:type="dxa"/>
              <w:bottom w:w="45" w:type="dxa"/>
            </w:tcMar>
            <w:tcW w:w="7012" w:type="dxa"/>
            <w:vAlign w:val="top"/>
          </w:tcPr>
          <w:p>
            <w:pPr>
              <w:pStyle w:val="1090"/>
              <w:pBdr/>
              <w:spacing/>
              <w:ind/>
              <w:rPr/>
            </w:pPr>
            <w:r>
              <w:t xml:space="preserve">Process, output, exit, review and handoff</w:t>
            </w:r>
            <w:r/>
          </w:p>
        </w:tc>
      </w:tr>
      <w:tr>
        <w:trPr>
          <w:cantSplit/>
        </w:trPr>
        <w:tc>
          <w:tcPr>
            <w:shd w:val="clear" w:color="auto" w:fill="ffffff"/>
            <w:tcBorders/>
            <w:tcMar>
              <w:left w:w="55" w:type="dxa"/>
              <w:top w:w="45" w:type="dxa"/>
              <w:right w:w="55" w:type="dxa"/>
              <w:bottom w:w="45" w:type="dxa"/>
            </w:tcMar>
            <w:tcW w:w="2994" w:type="dxa"/>
            <w:vAlign w:val="top"/>
          </w:tcPr>
          <w:p>
            <w:pPr>
              <w:pStyle w:val="1089"/>
              <w:pBdr/>
              <w:spacing/>
              <w:ind/>
              <w:rPr/>
            </w:pPr>
            <w:r>
              <w:t xml:space="preserve">8. Comparison</w:t>
            </w:r>
            <w:r/>
          </w:p>
          <w:p>
            <w:pPr>
              <w:pStyle w:val="1089"/>
              <w:pBdr/>
              <w:spacing/>
              <w:ind/>
              <w:rPr/>
            </w:pPr>
            <w:r>
              <w:t xml:space="preserve">Input: Comparison-ready Positions</w:t>
            </w:r>
            <w:r/>
          </w:p>
          <w:p>
            <w:pPr>
              <w:pStyle w:val="1089"/>
              <w:pBdr/>
              <w:spacing/>
              <w:ind/>
              <w:rPr/>
            </w:pPr>
            <w:r>
              <w:t xml:space="preserve">Owner: Comparative researcher</w:t>
            </w:r>
            <w:r/>
          </w:p>
        </w:tc>
        <w:tc>
          <w:tcPr>
            <w:shd w:val="clear" w:color="auto" w:fill="ffffff"/>
            <w:tcBorders/>
            <w:tcMar>
              <w:left w:w="55" w:type="dxa"/>
              <w:top w:w="45" w:type="dxa"/>
              <w:right w:w="55" w:type="dxa"/>
              <w:bottom w:w="45" w:type="dxa"/>
            </w:tcMar>
            <w:tcW w:w="7012" w:type="dxa"/>
            <w:vAlign w:val="top"/>
          </w:tcPr>
          <w:p>
            <w:pPr>
              <w:pStyle w:val="1089"/>
              <w:pBdr/>
              <w:spacing/>
              <w:ind/>
              <w:rPr/>
            </w:pPr>
            <w:r>
              <w:t xml:space="preserve">Process: Declare tertium, normalized scale/scope; create typed relations, disanalogies and genealogy/independence metadata.</w:t>
            </w:r>
            <w:r/>
          </w:p>
          <w:p>
            <w:pPr>
              <w:pStyle w:val="1089"/>
              <w:pBdr/>
              <w:spacing/>
              <w:ind/>
              <w:rPr/>
            </w:pPr>
            <w:r>
              <w:t xml:space="preserve">Output: ComparisonEvent + ComparativeRelations</w:t>
            </w:r>
            <w:r/>
          </w:p>
          <w:p>
            <w:pPr>
              <w:pStyle w:val="1089"/>
              <w:pBdr/>
              <w:spacing/>
              <w:ind/>
              <w:rPr/>
            </w:pPr>
            <w:r>
              <w:t xml:space="preserve">Exit criterion: Granularity, relation, disanalogy and genealogy/independence rules pass.</w:t>
            </w:r>
            <w:r/>
          </w:p>
          <w:p>
            <w:pPr>
              <w:pStyle w:val="1089"/>
              <w:pBdr/>
              <w:spacing/>
              <w:ind/>
              <w:rPr/>
            </w:pPr>
            <w:r>
              <w:t xml:space="preserve">Review: R5 / G3 where release confidence requires</w:t>
            </w:r>
            <w:r/>
          </w:p>
          <w:p>
            <w:pPr>
              <w:pStyle w:val="1089"/>
              <w:pBdr/>
              <w:spacing/>
              <w:ind/>
              <w:rPr/>
            </w:pPr>
            <w:r>
              <w:t xml:space="preserve">Failure: revise tertium/scale or return comparand upstream.</w:t>
            </w:r>
            <w:r/>
          </w:p>
          <w:p>
            <w:pPr>
              <w:pStyle w:val="1089"/>
              <w:pBdr/>
              <w:spacing/>
              <w:ind/>
              <w:rPr/>
            </w:pPr>
            <w:r>
              <w:t xml:space="preserve">Handoff: comparison records -&gt; Synthesis candidate or chapter use.</w:t>
            </w:r>
            <w:r/>
          </w:p>
        </w:tc>
      </w:tr>
      <w:tr>
        <w:trPr>
          <w:cantSplit/>
        </w:trPr>
        <w:tc>
          <w:tcPr>
            <w:shd w:val="clear" w:color="auto" w:fill="f4f6f7"/>
            <w:tcBorders/>
            <w:tcMar>
              <w:left w:w="55" w:type="dxa"/>
              <w:top w:w="45" w:type="dxa"/>
              <w:right w:w="55" w:type="dxa"/>
              <w:bottom w:w="45" w:type="dxa"/>
            </w:tcMar>
            <w:tcW w:w="2994" w:type="dxa"/>
            <w:vAlign w:val="top"/>
          </w:tcPr>
          <w:p>
            <w:pPr>
              <w:pStyle w:val="1089"/>
              <w:pBdr/>
              <w:spacing/>
              <w:ind/>
              <w:rPr/>
            </w:pPr>
            <w:r>
              <w:t xml:space="preserve">9. Synthesis candidate</w:t>
            </w:r>
            <w:r/>
          </w:p>
          <w:p>
            <w:pPr>
              <w:pStyle w:val="1089"/>
              <w:pBdr/>
              <w:spacing/>
              <w:ind/>
              <w:rPr/>
            </w:pPr>
            <w:r>
              <w:t xml:space="preserve">Input: Validated relations</w:t>
            </w:r>
            <w:r/>
          </w:p>
          <w:p>
            <w:pPr>
              <w:pStyle w:val="1089"/>
              <w:pBdr/>
              <w:spacing/>
              <w:ind/>
              <w:rPr/>
            </w:pPr>
            <w:r>
              <w:t xml:space="preserve">Owner: Synthesis lead</w:t>
            </w:r>
            <w:r/>
          </w:p>
        </w:tc>
        <w:tc>
          <w:tcPr>
            <w:shd w:val="clear" w:color="auto" w:fill="f4f6f7"/>
            <w:tcBorders/>
            <w:tcMar>
              <w:left w:w="55" w:type="dxa"/>
              <w:top w:w="45" w:type="dxa"/>
              <w:right w:w="55" w:type="dxa"/>
              <w:bottom w:w="45" w:type="dxa"/>
            </w:tcMar>
            <w:tcW w:w="7012" w:type="dxa"/>
            <w:vAlign w:val="top"/>
          </w:tcPr>
          <w:p>
            <w:pPr>
              <w:pStyle w:val="1089"/>
              <w:pBdr/>
              <w:spacing/>
              <w:ind/>
              <w:rPr/>
            </w:pPr>
            <w:r>
              <w:t xml:space="preserve">Process: Register only permitted-level pattern/fault-line candidate; search active counterexamples and assess coverage/independence.</w:t>
            </w:r>
            <w:r/>
          </w:p>
          <w:p>
            <w:pPr>
              <w:pStyle w:val="1089"/>
              <w:pBdr/>
              <w:spacing/>
              <w:ind/>
              <w:rPr/>
            </w:pPr>
            <w:r>
              <w:t xml:space="preserve">Output: L1/L2 candidate record</w:t>
            </w:r>
            <w:r/>
          </w:p>
          <w:p>
            <w:pPr>
              <w:pStyle w:val="1089"/>
              <w:pBdr/>
              <w:spacing/>
              <w:ind/>
              <w:rPr/>
            </w:pPr>
            <w:r>
              <w:t xml:space="preserve">Exit criterion: Declared level threshold and counterexample burden satisfied.</w:t>
            </w:r>
            <w:r/>
          </w:p>
          <w:p>
            <w:pPr>
              <w:pStyle w:val="1089"/>
              <w:pBdr/>
              <w:spacing/>
              <w:ind/>
              <w:rPr/>
            </w:pPr>
            <w:r>
              <w:t xml:space="preserve">Review: R7</w:t>
            </w:r>
            <w:r/>
          </w:p>
          <w:p>
            <w:pPr>
              <w:pStyle w:val="1089"/>
              <w:pBdr/>
              <w:spacing/>
              <w:ind/>
              <w:rPr/>
            </w:pPr>
            <w:r>
              <w:t xml:space="preserve">Failure: delimit/demote synthesis or return to Comparison/Coverage work.</w:t>
            </w:r>
            <w:r/>
          </w:p>
          <w:p>
            <w:pPr>
              <w:pStyle w:val="1089"/>
              <w:pBdr/>
              <w:spacing/>
              <w:ind/>
              <w:rPr/>
            </w:pPr>
            <w:r>
              <w:t xml:space="preserve">Handoff: candidate -&gt; Specialist review / chapter synthesis.</w:t>
            </w:r>
            <w:r/>
          </w:p>
        </w:tc>
      </w:tr>
      <w:tr>
        <w:trPr>
          <w:cantSplit/>
        </w:trPr>
        <w:tc>
          <w:tcPr>
            <w:shd w:val="clear" w:color="auto" w:fill="ffffff"/>
            <w:tcBorders/>
            <w:tcMar>
              <w:left w:w="55" w:type="dxa"/>
              <w:top w:w="45" w:type="dxa"/>
              <w:right w:w="55" w:type="dxa"/>
              <w:bottom w:w="45" w:type="dxa"/>
            </w:tcMar>
            <w:tcW w:w="2994" w:type="dxa"/>
            <w:vAlign w:val="top"/>
          </w:tcPr>
          <w:p>
            <w:pPr>
              <w:pStyle w:val="1089"/>
              <w:pBdr/>
              <w:spacing/>
              <w:ind/>
              <w:rPr/>
            </w:pPr>
            <w:r>
              <w:t xml:space="preserve">10. Specialist/community review</w:t>
            </w:r>
            <w:r/>
          </w:p>
          <w:p>
            <w:pPr>
              <w:pStyle w:val="1089"/>
              <w:pBdr/>
              <w:spacing/>
              <w:ind/>
              <w:rPr/>
            </w:pPr>
            <w:r>
              <w:t xml:space="preserve">Input: Candidate records</w:t>
            </w:r>
            <w:r/>
          </w:p>
          <w:p>
            <w:pPr>
              <w:pStyle w:val="1089"/>
              <w:pBdr/>
              <w:spacing/>
              <w:ind/>
              <w:rPr/>
            </w:pPr>
            <w:r>
              <w:t xml:space="preserve">Owner: Designated reviewers</w:t>
            </w:r>
            <w:r/>
          </w:p>
        </w:tc>
        <w:tc>
          <w:tcPr>
            <w:shd w:val="clear" w:color="auto" w:fill="ffffff"/>
            <w:tcBorders/>
            <w:tcMar>
              <w:left w:w="55" w:type="dxa"/>
              <w:top w:w="45" w:type="dxa"/>
              <w:right w:w="55" w:type="dxa"/>
              <w:bottom w:w="45" w:type="dxa"/>
            </w:tcMar>
            <w:tcW w:w="7012" w:type="dxa"/>
            <w:vAlign w:val="top"/>
          </w:tcPr>
          <w:p>
            <w:pPr>
              <w:pStyle w:val="1089"/>
              <w:pBdr/>
              <w:spacing/>
              <w:ind/>
              <w:rPr/>
            </w:pPr>
            <w:r>
              <w:t xml:space="preserve">Process: Review high-impact scholarship, translation, equivalence and applicable community/rights representation.</w:t>
            </w:r>
            <w:r/>
          </w:p>
          <w:p>
            <w:pPr>
              <w:pStyle w:val="1089"/>
              <w:pBdr/>
              <w:spacing/>
              <w:ind/>
              <w:rPr/>
            </w:pPr>
            <w:r>
              <w:t xml:space="preserve">Output: Reviewed / revised records</w:t>
            </w:r>
            <w:r/>
          </w:p>
          <w:p>
            <w:pPr>
              <w:pStyle w:val="1089"/>
              <w:pBdr/>
              <w:spacing/>
              <w:ind/>
              <w:rPr/>
            </w:pPr>
            <w:r>
              <w:t xml:space="preserve">Exit criterion: Applicable specialist, translation, community/rights review completed.</w:t>
            </w:r>
            <w:r/>
          </w:p>
          <w:p>
            <w:pPr>
              <w:pStyle w:val="1089"/>
              <w:pBdr/>
              <w:spacing/>
              <w:ind/>
              <w:rPr/>
            </w:pPr>
            <w:r>
              <w:t xml:space="preserve">Review: R3 / R6</w:t>
            </w:r>
            <w:r/>
          </w:p>
          <w:p>
            <w:pPr>
              <w:pStyle w:val="1089"/>
              <w:pBdr/>
              <w:spacing/>
              <w:ind/>
              <w:rPr/>
            </w:pPr>
            <w:r>
              <w:t xml:space="preserve">Failure: return specific record to responsible upstream owner with unresolved-issue record.</w:t>
            </w:r>
            <w:r/>
          </w:p>
          <w:p>
            <w:pPr>
              <w:pStyle w:val="1089"/>
              <w:pBdr/>
              <w:spacing/>
              <w:ind/>
              <w:rPr/>
            </w:pPr>
            <w:r>
              <w:t xml:space="preserve">Handoff: reviewed records -&gt; Release/version.</w:t>
            </w:r>
            <w:r/>
          </w:p>
        </w:tc>
      </w:tr>
      <w:tr>
        <w:trPr>
          <w:cantSplit/>
        </w:trPr>
        <w:tc>
          <w:tcPr>
            <w:shd w:val="clear" w:color="auto" w:fill="f4f6f7"/>
            <w:tcBorders/>
            <w:tcMar>
              <w:left w:w="55" w:type="dxa"/>
              <w:top w:w="45" w:type="dxa"/>
              <w:right w:w="55" w:type="dxa"/>
              <w:bottom w:w="45" w:type="dxa"/>
            </w:tcMar>
            <w:tcW w:w="2994" w:type="dxa"/>
            <w:vAlign w:val="top"/>
          </w:tcPr>
          <w:p>
            <w:pPr>
              <w:pStyle w:val="1089"/>
              <w:pBdr/>
              <w:spacing/>
              <w:ind/>
              <w:rPr/>
            </w:pPr>
            <w:r>
              <w:t xml:space="preserve">11. Release/version</w:t>
            </w:r>
            <w:r/>
          </w:p>
          <w:p>
            <w:pPr>
              <w:pStyle w:val="1089"/>
              <w:pBdr/>
              <w:spacing/>
              <w:ind/>
              <w:rPr/>
            </w:pPr>
            <w:r>
              <w:t xml:space="preserve">Input: Reviewed records</w:t>
            </w:r>
            <w:r/>
          </w:p>
          <w:p>
            <w:pPr>
              <w:pStyle w:val="1089"/>
              <w:pBdr/>
              <w:spacing/>
              <w:ind/>
              <w:rPr/>
            </w:pPr>
            <w:r>
              <w:t xml:space="preserve">Owner: Data/validation engineer + release officer</w:t>
            </w:r>
            <w:r/>
          </w:p>
        </w:tc>
        <w:tc>
          <w:tcPr>
            <w:shd w:val="clear" w:color="auto" w:fill="f4f6f7"/>
            <w:tcBorders/>
            <w:tcMar>
              <w:left w:w="55" w:type="dxa"/>
              <w:top w:w="45" w:type="dxa"/>
              <w:right w:w="55" w:type="dxa"/>
              <w:bottom w:w="45" w:type="dxa"/>
            </w:tcMar>
            <w:tcW w:w="7012" w:type="dxa"/>
            <w:vAlign w:val="top"/>
          </w:tcPr>
          <w:p>
            <w:pPr>
              <w:pStyle w:val="1089"/>
              <w:pBdr/>
              <w:spacing/>
              <w:ind/>
              <w:rPr/>
            </w:pPr>
            <w:r>
              <w:t xml:space="preserve">Process: Run VAL-1 through VAL-4, CriterionResults for R1-R9 and applicable GateRuns; freeze canonical build; preserve history; generate views from a named Canonical Evidence Store build.</w:t>
            </w:r>
            <w:r/>
          </w:p>
          <w:p>
            <w:pPr>
              <w:pStyle w:val="1089"/>
              <w:pBdr/>
              <w:spacing/>
              <w:ind/>
              <w:rPr/>
            </w:pPr>
            <w:r>
              <w:t xml:space="preserve">Output: Frozen canonical build / release decision</w:t>
            </w:r>
            <w:r/>
          </w:p>
          <w:p>
            <w:pPr>
              <w:pStyle w:val="1089"/>
              <w:pBdr/>
              <w:spacing/>
              <w:ind/>
              <w:rPr/>
            </w:pPr>
            <w:r>
              <w:t xml:space="preserve">Exit criterion: R1-R9 and all applicable G gates pass; no unresolved Severity-1 defect.</w:t>
            </w:r>
            <w:r/>
          </w:p>
          <w:p>
            <w:pPr>
              <w:pStyle w:val="1089"/>
              <w:pBdr/>
              <w:spacing/>
              <w:ind/>
              <w:rPr/>
            </w:pPr>
            <w:r>
              <w:t xml:space="preserve">Review: GO / HOLD</w:t>
            </w:r>
            <w:r/>
          </w:p>
          <w:p>
            <w:pPr>
              <w:pStyle w:val="1089"/>
              <w:pBdr/>
              <w:spacing/>
              <w:ind/>
              <w:rPr/>
            </w:pPr>
            <w:r>
              <w:t xml:space="preserve">Failure: HOLD with bounded remediation returned upstream.</w:t>
            </w:r>
            <w:r/>
          </w:p>
          <w:p>
            <w:pPr>
              <w:pStyle w:val="1089"/>
              <w:pBdr/>
              <w:spacing/>
              <w:ind/>
              <w:rPr/>
            </w:pPr>
            <w:r>
              <w:t xml:space="preserve">Handoff: GO -&gt; downstream release; HOLD -&gt; targeted remediation and re-test.</w:t>
            </w:r>
            <w:r/>
          </w:p>
        </w:tc>
      </w:tr>
    </w:tbl>
    <w:p>
      <w:pPr>
        <w:pStyle w:val="1097"/>
        <w:pBdr/>
        <w:spacing/>
        <w:ind/>
        <w:rPr/>
      </w:pPr>
      <w:r/>
      <w:r/>
    </w:p>
    <w:p>
      <w:pPr>
        <w:pStyle w:val="1083"/>
        <w:keepLines w:val="false"/>
        <w:pBdr/>
        <w:spacing/>
        <w:ind/>
        <w:rPr/>
      </w:pPr>
      <w:r>
        <w:t xml:space="preserve">A stage is complete only when its mandatory output exists and its exit criterion is s</w:t>
      </w:r>
      <w:r>
        <w:t xml:space="preserve">atisfied. Downstream work may proceed provisionally only where explicitly marked, but no provisional dependency may be released as validated evidence. Failed exit criteria return the object to the responsible upstream stage with an unresolved-issue record.</w:t>
      </w:r>
      <w:r/>
    </w:p>
    <w:p>
      <w:pPr>
        <w:pStyle w:val="924"/>
        <w:keepNext w:val="true"/>
        <w:keepLines w:val="true"/>
        <w:pBdr/>
        <w:spacing/>
        <w:ind/>
        <w:rPr/>
      </w:pPr>
      <w:r/>
      <w:bookmarkStart w:id="60" w:name="s9_2_atomic_roles"/>
      <w:r>
        <w:t xml:space="preserve">9.2 Atomic-claim ingestion and role independence</w:t>
      </w:r>
      <w:bookmarkEnd w:id="60"/>
      <w:r/>
      <w:r/>
    </w:p>
    <w:p>
      <w:pPr>
        <w:pStyle w:val="1086"/>
        <w:keepNext w:val="true"/>
        <w:keepLines w:val="true"/>
        <w:pBdr/>
        <w:spacing/>
        <w:ind/>
        <w:rPr/>
      </w:pPr>
      <w:r/>
      <w:bookmarkStart w:id="61" w:name="tbl_atomic_claim_tests"/>
      <w:r>
        <w:t xml:space="preserve">Governing — Atomic-claim ingestion tests</w:t>
      </w:r>
      <w:bookmarkEnd w:id="61"/>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483"/>
        <w:gridCol w:w="7523"/>
      </w:tblGrid>
      <w:tr>
        <w:trPr>
          <w:cantSplit/>
          <w:tblHeader/>
        </w:trPr>
        <w:tc>
          <w:tcPr>
            <w:shd w:val="clear" w:color="auto" w:fill="1f5d7a"/>
            <w:tcBorders/>
            <w:tcMar>
              <w:left w:w="70" w:type="dxa"/>
              <w:top w:w="55" w:type="dxa"/>
              <w:right w:w="70" w:type="dxa"/>
              <w:bottom w:w="55" w:type="dxa"/>
            </w:tcMar>
            <w:tcW w:w="2483" w:type="dxa"/>
            <w:vAlign w:val="top"/>
          </w:tcPr>
          <w:p>
            <w:pPr>
              <w:pStyle w:val="1087"/>
              <w:pBdr/>
              <w:spacing/>
              <w:ind/>
              <w:rPr/>
            </w:pPr>
            <w:r>
              <w:t xml:space="preserve">Test</w:t>
            </w:r>
            <w:r/>
          </w:p>
        </w:tc>
        <w:tc>
          <w:tcPr>
            <w:shd w:val="clear" w:color="auto" w:fill="1f5d7a"/>
            <w:tcBorders/>
            <w:tcMar>
              <w:left w:w="70" w:type="dxa"/>
              <w:top w:w="55" w:type="dxa"/>
              <w:right w:w="70" w:type="dxa"/>
              <w:bottom w:w="55" w:type="dxa"/>
            </w:tcMar>
            <w:tcW w:w="7523" w:type="dxa"/>
            <w:vAlign w:val="top"/>
          </w:tcPr>
          <w:p>
            <w:pPr>
              <w:pStyle w:val="1087"/>
              <w:pBdr/>
              <w:spacing/>
              <w:ind/>
              <w:rPr/>
            </w:pPr>
            <w:r>
              <w:t xml:space="preserve">Decision rule</w:t>
            </w:r>
            <w:r/>
          </w:p>
        </w:tc>
      </w:tr>
      <w:tr>
        <w:trPr>
          <w:cantSplit/>
        </w:trPr>
        <w:tc>
          <w:tcPr>
            <w:shd w:val="clear" w:color="auto" w:fill="ffffff"/>
            <w:tcBorders/>
            <w:tcMar>
              <w:left w:w="70" w:type="dxa"/>
              <w:top w:w="55" w:type="dxa"/>
              <w:right w:w="70" w:type="dxa"/>
              <w:bottom w:w="55" w:type="dxa"/>
            </w:tcMar>
            <w:tcW w:w="2483" w:type="dxa"/>
            <w:vAlign w:val="top"/>
          </w:tcPr>
          <w:p>
            <w:pPr>
              <w:pStyle w:val="1088"/>
              <w:pBdr/>
              <w:spacing/>
              <w:ind/>
              <w:rPr/>
            </w:pPr>
            <w:r>
              <w:t xml:space="preserve">One proposition</w:t>
            </w:r>
            <w:r/>
          </w:p>
        </w:tc>
        <w:tc>
          <w:tcPr>
            <w:shd w:val="clear" w:color="auto" w:fill="ffffff"/>
            <w:tcBorders/>
            <w:tcMar>
              <w:left w:w="70" w:type="dxa"/>
              <w:top w:w="55" w:type="dxa"/>
              <w:right w:w="70" w:type="dxa"/>
              <w:bottom w:w="55" w:type="dxa"/>
            </w:tcMar>
            <w:tcW w:w="7523" w:type="dxa"/>
            <w:vAlign w:val="top"/>
          </w:tcPr>
          <w:p>
            <w:pPr>
              <w:pStyle w:val="1088"/>
              <w:pBdr/>
              <w:spacing/>
              <w:ind/>
              <w:rPr/>
            </w:pPr>
            <w:r>
              <w:t xml:space="preserve">Could a reviewer accept one part and reject another? If yes, split.</w:t>
            </w:r>
            <w:r/>
          </w:p>
        </w:tc>
      </w:tr>
      <w:tr>
        <w:trPr>
          <w:cantSplit/>
        </w:trPr>
        <w:tc>
          <w:tcPr>
            <w:shd w:val="clear" w:color="auto" w:fill="f4f6f7"/>
            <w:tcBorders/>
            <w:tcMar>
              <w:left w:w="70" w:type="dxa"/>
              <w:top w:w="55" w:type="dxa"/>
              <w:right w:w="70" w:type="dxa"/>
              <w:bottom w:w="55" w:type="dxa"/>
            </w:tcMar>
            <w:tcW w:w="2483" w:type="dxa"/>
            <w:vAlign w:val="top"/>
          </w:tcPr>
          <w:p>
            <w:pPr>
              <w:pStyle w:val="1088"/>
              <w:pBdr/>
              <w:spacing/>
              <w:ind/>
              <w:rPr/>
            </w:pPr>
            <w:r>
              <w:t xml:space="preserve">One attachment</w:t>
            </w:r>
            <w:r/>
          </w:p>
        </w:tc>
        <w:tc>
          <w:tcPr>
            <w:shd w:val="clear" w:color="auto" w:fill="f4f6f7"/>
            <w:tcBorders/>
            <w:tcMar>
              <w:left w:w="70" w:type="dxa"/>
              <w:top w:w="55" w:type="dxa"/>
              <w:right w:w="70" w:type="dxa"/>
              <w:bottom w:w="55" w:type="dxa"/>
            </w:tcMar>
            <w:tcW w:w="7523" w:type="dxa"/>
            <w:vAlign w:val="top"/>
          </w:tcPr>
          <w:p>
            <w:pPr>
              <w:pStyle w:val="1088"/>
              <w:pBdr/>
              <w:spacing/>
              <w:ind/>
              <w:rPr/>
            </w:pPr>
            <w:r>
              <w:t xml:space="preserve">Does part have a different DEF/EXP/DER/CTX status? If yes, split.</w:t>
            </w:r>
            <w:r/>
          </w:p>
        </w:tc>
      </w:tr>
      <w:tr>
        <w:trPr>
          <w:cantSplit/>
        </w:trPr>
        <w:tc>
          <w:tcPr>
            <w:shd w:val="clear" w:color="auto" w:fill="ffffff"/>
            <w:tcBorders/>
            <w:tcMar>
              <w:left w:w="70" w:type="dxa"/>
              <w:top w:w="55" w:type="dxa"/>
              <w:right w:w="70" w:type="dxa"/>
              <w:bottom w:w="55" w:type="dxa"/>
            </w:tcMar>
            <w:tcW w:w="2483" w:type="dxa"/>
            <w:vAlign w:val="top"/>
          </w:tcPr>
          <w:p>
            <w:pPr>
              <w:pStyle w:val="1088"/>
              <w:pBdr/>
              <w:spacing/>
              <w:ind/>
              <w:rPr/>
            </w:pPr>
            <w:r>
              <w:t xml:space="preserve">One evidence burden</w:t>
            </w:r>
            <w:r/>
          </w:p>
        </w:tc>
        <w:tc>
          <w:tcPr>
            <w:shd w:val="clear" w:color="auto" w:fill="ffffff"/>
            <w:tcBorders/>
            <w:tcMar>
              <w:left w:w="70" w:type="dxa"/>
              <w:top w:w="55" w:type="dxa"/>
              <w:right w:w="70" w:type="dxa"/>
              <w:bottom w:w="55" w:type="dxa"/>
            </w:tcMar>
            <w:tcW w:w="7523" w:type="dxa"/>
            <w:vAlign w:val="top"/>
          </w:tcPr>
          <w:p>
            <w:pPr>
              <w:pStyle w:val="1088"/>
              <w:pBdr/>
              <w:spacing/>
              <w:ind/>
              <w:rPr/>
            </w:pPr>
            <w:r>
              <w:t xml:space="preserve">Do parts require materially different evidence or locators? If yes, split.</w:t>
            </w:r>
            <w:r/>
          </w:p>
        </w:tc>
      </w:tr>
      <w:tr>
        <w:trPr>
          <w:cantSplit/>
        </w:trPr>
        <w:tc>
          <w:tcPr>
            <w:shd w:val="clear" w:color="auto" w:fill="f4f6f7"/>
            <w:tcBorders/>
            <w:tcMar>
              <w:left w:w="70" w:type="dxa"/>
              <w:top w:w="55" w:type="dxa"/>
              <w:right w:w="70" w:type="dxa"/>
              <w:bottom w:w="55" w:type="dxa"/>
            </w:tcMar>
            <w:tcW w:w="2483" w:type="dxa"/>
            <w:vAlign w:val="top"/>
          </w:tcPr>
          <w:p>
            <w:pPr>
              <w:pStyle w:val="1088"/>
              <w:pBdr/>
              <w:spacing/>
              <w:ind/>
              <w:rPr/>
            </w:pPr>
            <w:r>
              <w:t xml:space="preserve">One scope</w:t>
            </w:r>
            <w:r/>
          </w:p>
        </w:tc>
        <w:tc>
          <w:tcPr>
            <w:shd w:val="clear" w:color="auto" w:fill="f4f6f7"/>
            <w:tcBorders/>
            <w:tcMar>
              <w:left w:w="70" w:type="dxa"/>
              <w:top w:w="55" w:type="dxa"/>
              <w:right w:w="70" w:type="dxa"/>
              <w:bottom w:w="55" w:type="dxa"/>
            </w:tcMar>
            <w:tcW w:w="7523" w:type="dxa"/>
            <w:vAlign w:val="top"/>
          </w:tcPr>
          <w:p>
            <w:pPr>
              <w:pStyle w:val="1088"/>
              <w:pBdr/>
              <w:spacing/>
              <w:ind/>
              <w:rPr/>
            </w:pPr>
            <w:r>
              <w:t xml:space="preserve">Does the sentence shift from text-specific to thinker/school/community-wide scope? If yes, split or state scope explicitly.</w:t>
            </w:r>
            <w:r/>
          </w:p>
        </w:tc>
      </w:tr>
      <w:tr>
        <w:trPr>
          <w:cantSplit/>
        </w:trPr>
        <w:tc>
          <w:tcPr>
            <w:shd w:val="clear" w:color="auto" w:fill="ffffff"/>
            <w:tcBorders/>
            <w:tcMar>
              <w:left w:w="70" w:type="dxa"/>
              <w:top w:w="55" w:type="dxa"/>
              <w:right w:w="70" w:type="dxa"/>
              <w:bottom w:w="55" w:type="dxa"/>
            </w:tcMar>
            <w:tcW w:w="2483" w:type="dxa"/>
            <w:vAlign w:val="top"/>
          </w:tcPr>
          <w:p>
            <w:pPr>
              <w:pStyle w:val="1088"/>
              <w:pBdr/>
              <w:spacing/>
              <w:ind/>
              <w:rPr/>
            </w:pPr>
            <w:r>
              <w:t xml:space="preserve">One inference</w:t>
            </w:r>
            <w:r/>
          </w:p>
        </w:tc>
        <w:tc>
          <w:tcPr>
            <w:shd w:val="clear" w:color="auto" w:fill="ffffff"/>
            <w:tcBorders/>
            <w:tcMar>
              <w:left w:w="70" w:type="dxa"/>
              <w:top w:w="55" w:type="dxa"/>
              <w:right w:w="70" w:type="dxa"/>
              <w:bottom w:w="55" w:type="dxa"/>
            </w:tcMar>
            <w:tcW w:w="7523" w:type="dxa"/>
            <w:vAlign w:val="top"/>
          </w:tcPr>
          <w:p>
            <w:pPr>
              <w:pStyle w:val="1088"/>
              <w:pBdr/>
              <w:spacing/>
              <w:ind/>
              <w:rPr/>
            </w:pPr>
            <w:r>
              <w:t xml:space="preserve">Does the sentence mix source assertion and Atlas inference? Separate the source-grounded attribution from the Atlas inference.</w:t>
            </w:r>
            <w:r/>
          </w:p>
        </w:tc>
      </w:tr>
    </w:tbl>
    <w:p>
      <w:pPr>
        <w:pStyle w:val="1097"/>
        <w:pBdr/>
        <w:spacing/>
        <w:ind/>
        <w:rPr/>
      </w:pPr>
      <w:r/>
      <w:r/>
    </w:p>
    <w:p>
      <w:pPr>
        <w:pStyle w:val="1086"/>
        <w:keepNext w:val="true"/>
        <w:keepLines w:val="true"/>
        <w:pBdr/>
        <w:spacing/>
        <w:ind/>
        <w:rPr/>
      </w:pPr>
      <w:r/>
      <w:bookmarkStart w:id="62" w:name="tbl_roles_independence"/>
      <w:r>
        <w:t xml:space="preserve">Governing — Roles, decision rights and prohibited self-certification</w:t>
      </w:r>
      <w:bookmarkEnd w:id="62"/>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483"/>
        <w:gridCol w:w="3871"/>
        <w:gridCol w:w="3651"/>
      </w:tblGrid>
      <w:tr>
        <w:trPr>
          <w:cantSplit/>
          <w:tblHeader/>
        </w:trPr>
        <w:tc>
          <w:tcPr>
            <w:shd w:val="clear" w:color="auto" w:fill="1f5d7a"/>
            <w:tcBorders/>
            <w:tcMar>
              <w:left w:w="55" w:type="dxa"/>
              <w:top w:w="45" w:type="dxa"/>
              <w:right w:w="55" w:type="dxa"/>
              <w:bottom w:w="45" w:type="dxa"/>
            </w:tcMar>
            <w:tcW w:w="2483" w:type="dxa"/>
            <w:vAlign w:val="top"/>
          </w:tcPr>
          <w:p>
            <w:pPr>
              <w:pStyle w:val="1090"/>
              <w:pBdr/>
              <w:spacing/>
              <w:ind/>
              <w:rPr/>
            </w:pPr>
            <w:r>
              <w:t xml:space="preserve">Role</w:t>
            </w:r>
            <w:r/>
          </w:p>
        </w:tc>
        <w:tc>
          <w:tcPr>
            <w:shd w:val="clear" w:color="auto" w:fill="1f5d7a"/>
            <w:tcBorders/>
            <w:tcMar>
              <w:left w:w="55" w:type="dxa"/>
              <w:top w:w="45" w:type="dxa"/>
              <w:right w:w="55" w:type="dxa"/>
              <w:bottom w:w="45" w:type="dxa"/>
            </w:tcMar>
            <w:tcW w:w="3871" w:type="dxa"/>
            <w:vAlign w:val="top"/>
          </w:tcPr>
          <w:p>
            <w:pPr>
              <w:pStyle w:val="1090"/>
              <w:pBdr/>
              <w:spacing/>
              <w:ind/>
              <w:rPr/>
            </w:pPr>
            <w:r>
              <w:t xml:space="preserve">Decision authority</w:t>
            </w:r>
            <w:r/>
          </w:p>
        </w:tc>
        <w:tc>
          <w:tcPr>
            <w:shd w:val="clear" w:color="auto" w:fill="1f5d7a"/>
            <w:tcBorders/>
            <w:tcMar>
              <w:left w:w="55" w:type="dxa"/>
              <w:top w:w="45" w:type="dxa"/>
              <w:right w:w="55" w:type="dxa"/>
              <w:bottom w:w="45" w:type="dxa"/>
            </w:tcMar>
            <w:tcW w:w="3651" w:type="dxa"/>
            <w:vAlign w:val="top"/>
          </w:tcPr>
          <w:p>
            <w:pPr>
              <w:pStyle w:val="1090"/>
              <w:pBdr/>
              <w:spacing/>
              <w:ind/>
              <w:rPr/>
            </w:pPr>
            <w:r>
              <w:t xml:space="preserve">Cannot independently certify</w:t>
            </w:r>
            <w:r/>
          </w:p>
        </w:tc>
      </w:tr>
      <w:tr>
        <w:trPr>
          <w:cantSplit/>
        </w:trPr>
        <w:tc>
          <w:tcPr>
            <w:shd w:val="clear" w:color="auto" w:fill="ffffff"/>
            <w:tcBorders/>
            <w:tcMar>
              <w:left w:w="55" w:type="dxa"/>
              <w:top w:w="45" w:type="dxa"/>
              <w:right w:w="55" w:type="dxa"/>
              <w:bottom w:w="45" w:type="dxa"/>
            </w:tcMar>
            <w:tcW w:w="2483" w:type="dxa"/>
            <w:vAlign w:val="top"/>
          </w:tcPr>
          <w:p>
            <w:pPr>
              <w:pStyle w:val="1089"/>
              <w:pBdr/>
              <w:spacing/>
              <w:ind/>
              <w:rPr/>
            </w:pPr>
            <w:r>
              <w:t xml:space="preserve">Research lead</w:t>
            </w:r>
            <w:r/>
          </w:p>
        </w:tc>
        <w:tc>
          <w:tcPr>
            <w:shd w:val="clear" w:color="auto" w:fill="ffffff"/>
            <w:tcBorders/>
            <w:tcMar>
              <w:left w:w="55" w:type="dxa"/>
              <w:top w:w="45" w:type="dxa"/>
              <w:right w:w="55" w:type="dxa"/>
              <w:bottom w:w="45" w:type="dxa"/>
            </w:tcMar>
            <w:tcW w:w="3871" w:type="dxa"/>
            <w:vAlign w:val="top"/>
          </w:tcPr>
          <w:p>
            <w:pPr>
              <w:pStyle w:val="1089"/>
              <w:pBdr/>
              <w:spacing/>
              <w:ind/>
              <w:rPr/>
            </w:pPr>
            <w:r>
              <w:t xml:space="preserve">Bounding, source package, claim decomposition and remediation path. May act as primary coder.</w:t>
            </w:r>
            <w:r/>
          </w:p>
        </w:tc>
        <w:tc>
          <w:tcPr>
            <w:shd w:val="clear" w:color="auto" w:fill="ffffff"/>
            <w:tcBorders/>
            <w:tcMar>
              <w:left w:w="55" w:type="dxa"/>
              <w:top w:w="45" w:type="dxa"/>
              <w:right w:w="55" w:type="dxa"/>
              <w:bottom w:w="45" w:type="dxa"/>
            </w:tcMar>
            <w:tcW w:w="3651" w:type="dxa"/>
            <w:vAlign w:val="top"/>
          </w:tcPr>
          <w:p>
            <w:pPr>
              <w:pStyle w:val="1089"/>
              <w:pBdr/>
              <w:spacing/>
              <w:ind/>
              <w:rPr/>
            </w:pPr>
            <w:r>
              <w:t xml:space="preserve">Final release; own reliability result; completion of readiness axes they alone supplied.</w:t>
            </w:r>
            <w:r/>
          </w:p>
        </w:tc>
      </w:tr>
      <w:tr>
        <w:trPr>
          <w:cantSplit/>
        </w:trPr>
        <w:tc>
          <w:tcPr>
            <w:shd w:val="clear" w:color="auto" w:fill="f4f6f7"/>
            <w:tcBorders/>
            <w:tcMar>
              <w:left w:w="55" w:type="dxa"/>
              <w:top w:w="45" w:type="dxa"/>
              <w:right w:w="55" w:type="dxa"/>
              <w:bottom w:w="45" w:type="dxa"/>
            </w:tcMar>
            <w:tcW w:w="2483" w:type="dxa"/>
            <w:vAlign w:val="top"/>
          </w:tcPr>
          <w:p>
            <w:pPr>
              <w:pStyle w:val="1089"/>
              <w:pBdr/>
              <w:spacing/>
              <w:ind/>
              <w:rPr/>
            </w:pPr>
            <w:r>
              <w:t xml:space="preserve">Primary coder</w:t>
            </w:r>
            <w:r/>
          </w:p>
        </w:tc>
        <w:tc>
          <w:tcPr>
            <w:shd w:val="clear" w:color="auto" w:fill="f4f6f7"/>
            <w:tcBorders/>
            <w:tcMar>
              <w:left w:w="55" w:type="dxa"/>
              <w:top w:w="45" w:type="dxa"/>
              <w:right w:w="55" w:type="dxa"/>
              <w:bottom w:w="45" w:type="dxa"/>
            </w:tcMar>
            <w:tcW w:w="3871" w:type="dxa"/>
            <w:vAlign w:val="top"/>
          </w:tcPr>
          <w:p>
            <w:pPr>
              <w:pStyle w:val="1089"/>
              <w:pBdr/>
              <w:spacing/>
              <w:ind/>
              <w:rPr/>
            </w:pPr>
            <w:r>
              <w:t xml:space="preserve">Primary QR/relation encoding after source preparation.</w:t>
            </w:r>
            <w:r/>
          </w:p>
        </w:tc>
        <w:tc>
          <w:tcPr>
            <w:shd w:val="clear" w:color="auto" w:fill="f4f6f7"/>
            <w:tcBorders/>
            <w:tcMar>
              <w:left w:w="55" w:type="dxa"/>
              <w:top w:w="45" w:type="dxa"/>
              <w:right w:w="55" w:type="dxa"/>
              <w:bottom w:w="45" w:type="dxa"/>
            </w:tcMar>
            <w:tcW w:w="3651" w:type="dxa"/>
            <w:vAlign w:val="top"/>
          </w:tcPr>
          <w:p>
            <w:pPr>
              <w:pStyle w:val="1089"/>
              <w:pBdr/>
              <w:spacing/>
              <w:ind/>
              <w:rPr/>
            </w:pPr>
            <w:r>
              <w:t xml:space="preserve">G2/G3 reliability for own labels or their own PublicationClaim review.</w:t>
            </w:r>
            <w:r/>
          </w:p>
        </w:tc>
      </w:tr>
      <w:tr>
        <w:trPr>
          <w:cantSplit/>
        </w:trPr>
        <w:tc>
          <w:tcPr>
            <w:shd w:val="clear" w:color="auto" w:fill="ffffff"/>
            <w:tcBorders/>
            <w:tcMar>
              <w:left w:w="55" w:type="dxa"/>
              <w:top w:w="45" w:type="dxa"/>
              <w:right w:w="55" w:type="dxa"/>
              <w:bottom w:w="45" w:type="dxa"/>
            </w:tcMar>
            <w:tcW w:w="2483" w:type="dxa"/>
            <w:vAlign w:val="top"/>
          </w:tcPr>
          <w:p>
            <w:pPr>
              <w:pStyle w:val="1089"/>
              <w:pBdr/>
              <w:spacing/>
              <w:ind/>
              <w:rPr/>
            </w:pPr>
            <w:r>
              <w:t xml:space="preserve">Independent coder</w:t>
            </w:r>
            <w:r/>
          </w:p>
        </w:tc>
        <w:tc>
          <w:tcPr>
            <w:shd w:val="clear" w:color="auto" w:fill="ffffff"/>
            <w:tcBorders/>
            <w:tcMar>
              <w:left w:w="55" w:type="dxa"/>
              <w:top w:w="45" w:type="dxa"/>
              <w:right w:w="55" w:type="dxa"/>
              <w:bottom w:w="45" w:type="dxa"/>
            </w:tcMar>
            <w:tcW w:w="3871" w:type="dxa"/>
            <w:vAlign w:val="top"/>
          </w:tcPr>
          <w:p>
            <w:pPr>
              <w:pStyle w:val="1089"/>
              <w:pBdr/>
              <w:spacing/>
              <w:ind/>
              <w:rPr/>
            </w:pPr>
            <w:r>
              <w:t xml:space="preserve">Blind held-out coding for reliability evidence. Minimum two; target three where feasible.</w:t>
            </w:r>
            <w:r/>
          </w:p>
        </w:tc>
        <w:tc>
          <w:tcPr>
            <w:shd w:val="clear" w:color="auto" w:fill="ffffff"/>
            <w:tcBorders/>
            <w:tcMar>
              <w:left w:w="55" w:type="dxa"/>
              <w:top w:w="45" w:type="dxa"/>
              <w:right w:w="55" w:type="dxa"/>
              <w:bottom w:w="45" w:type="dxa"/>
            </w:tcMar>
            <w:tcW w:w="3651" w:type="dxa"/>
            <w:vAlign w:val="top"/>
          </w:tcPr>
          <w:p>
            <w:pPr>
              <w:pStyle w:val="1089"/>
              <w:pBdr/>
              <w:spacing/>
              <w:ind/>
              <w:rPr/>
            </w:pPr>
            <w:r>
              <w:t xml:space="preserve">Own adjudicated labels as substitute reliability evidence.</w:t>
            </w:r>
            <w:r/>
          </w:p>
        </w:tc>
      </w:tr>
      <w:tr>
        <w:trPr>
          <w:cantSplit/>
        </w:trPr>
        <w:tc>
          <w:tcPr>
            <w:shd w:val="clear" w:color="auto" w:fill="f4f6f7"/>
            <w:tcBorders/>
            <w:tcMar>
              <w:left w:w="55" w:type="dxa"/>
              <w:top w:w="45" w:type="dxa"/>
              <w:right w:w="55" w:type="dxa"/>
              <w:bottom w:w="45" w:type="dxa"/>
            </w:tcMar>
            <w:tcW w:w="2483" w:type="dxa"/>
            <w:vAlign w:val="top"/>
          </w:tcPr>
          <w:p>
            <w:pPr>
              <w:pStyle w:val="1089"/>
              <w:pBdr/>
              <w:spacing/>
              <w:ind/>
              <w:rPr/>
            </w:pPr>
            <w:r>
              <w:t xml:space="preserve">Specialist reviewer</w:t>
            </w:r>
            <w:r/>
          </w:p>
        </w:tc>
        <w:tc>
          <w:tcPr>
            <w:shd w:val="clear" w:color="auto" w:fill="f4f6f7"/>
            <w:tcBorders/>
            <w:tcMar>
              <w:left w:w="55" w:type="dxa"/>
              <w:top w:w="45" w:type="dxa"/>
              <w:right w:w="55" w:type="dxa"/>
              <w:bottom w:w="45" w:type="dxa"/>
            </w:tcMar>
            <w:tcW w:w="3871" w:type="dxa"/>
            <w:vAlign w:val="top"/>
          </w:tcPr>
          <w:p>
            <w:pPr>
              <w:pStyle w:val="1089"/>
              <w:pBdr/>
              <w:spacing/>
              <w:ind/>
              <w:rPr/>
            </w:pPr>
            <w:r>
              <w:t xml:space="preserve">High-impact historical, philological, philosophical, translation and OEQ review.</w:t>
            </w:r>
            <w:r/>
          </w:p>
        </w:tc>
        <w:tc>
          <w:tcPr>
            <w:shd w:val="clear" w:color="auto" w:fill="f4f6f7"/>
            <w:tcBorders/>
            <w:tcMar>
              <w:left w:w="55" w:type="dxa"/>
              <w:top w:w="45" w:type="dxa"/>
              <w:right w:w="55" w:type="dxa"/>
              <w:bottom w:w="45" w:type="dxa"/>
            </w:tcMar>
            <w:tcW w:w="3651" w:type="dxa"/>
            <w:vAlign w:val="top"/>
          </w:tcPr>
          <w:p>
            <w:pPr>
              <w:pStyle w:val="1089"/>
              <w:pBdr/>
              <w:spacing/>
              <w:ind/>
              <w:rPr/>
            </w:pPr>
            <w:r>
              <w:t xml:space="preserve">Community authority merely by disciplinary expertise.</w:t>
            </w:r>
            <w:r/>
          </w:p>
        </w:tc>
      </w:tr>
      <w:tr>
        <w:trPr>
          <w:cantSplit/>
        </w:trPr>
        <w:tc>
          <w:tcPr>
            <w:shd w:val="clear" w:color="auto" w:fill="ffffff"/>
            <w:tcBorders/>
            <w:tcMar>
              <w:left w:w="55" w:type="dxa"/>
              <w:top w:w="45" w:type="dxa"/>
              <w:right w:w="55" w:type="dxa"/>
              <w:bottom w:w="45" w:type="dxa"/>
            </w:tcMar>
            <w:tcW w:w="2483" w:type="dxa"/>
            <w:vAlign w:val="top"/>
          </w:tcPr>
          <w:p>
            <w:pPr>
              <w:pStyle w:val="1089"/>
              <w:pBdr/>
              <w:spacing/>
              <w:ind/>
              <w:rPr/>
            </w:pPr>
            <w:r>
              <w:t xml:space="preserve">Source-community reviewer / governance liaison</w:t>
            </w:r>
            <w:r/>
          </w:p>
        </w:tc>
        <w:tc>
          <w:tcPr>
            <w:shd w:val="clear" w:color="auto" w:fill="ffffff"/>
            <w:tcBorders/>
            <w:tcMar>
              <w:left w:w="55" w:type="dxa"/>
              <w:top w:w="45" w:type="dxa"/>
              <w:right w:w="55" w:type="dxa"/>
              <w:bottom w:w="45" w:type="dxa"/>
            </w:tcMar>
            <w:tcW w:w="3871" w:type="dxa"/>
            <w:vAlign w:val="top"/>
          </w:tcPr>
          <w:p>
            <w:pPr>
              <w:pStyle w:val="1089"/>
              <w:pBdr/>
              <w:spacing/>
              <w:ind/>
              <w:rPr/>
            </w:pPr>
            <w:r>
              <w:t xml:space="preserve">Applicable representation scope, rights/protocol constraints, feedback pathway and release basis.</w:t>
            </w:r>
            <w:r/>
          </w:p>
        </w:tc>
        <w:tc>
          <w:tcPr>
            <w:shd w:val="clear" w:color="auto" w:fill="ffffff"/>
            <w:tcBorders/>
            <w:tcMar>
              <w:left w:w="55" w:type="dxa"/>
              <w:top w:w="45" w:type="dxa"/>
              <w:right w:w="55" w:type="dxa"/>
              <w:bottom w:w="45" w:type="dxa"/>
            </w:tcMar>
            <w:tcW w:w="3651" w:type="dxa"/>
            <w:vAlign w:val="top"/>
          </w:tcPr>
          <w:p>
            <w:pPr>
              <w:pStyle w:val="1089"/>
              <w:pBdr/>
              <w:spacing/>
              <w:ind/>
              <w:rPr/>
            </w:pPr>
            <w:r>
              <w:t xml:space="preserve">Whole-community representation by assumption.</w:t>
            </w:r>
            <w:r/>
          </w:p>
        </w:tc>
      </w:tr>
      <w:tr>
        <w:trPr>
          <w:cantSplit/>
        </w:trPr>
        <w:tc>
          <w:tcPr>
            <w:shd w:val="clear" w:color="auto" w:fill="f4f6f7"/>
            <w:tcBorders/>
            <w:tcMar>
              <w:left w:w="55" w:type="dxa"/>
              <w:top w:w="45" w:type="dxa"/>
              <w:right w:w="55" w:type="dxa"/>
              <w:bottom w:w="45" w:type="dxa"/>
            </w:tcMar>
            <w:tcW w:w="2483" w:type="dxa"/>
            <w:vAlign w:val="top"/>
          </w:tcPr>
          <w:p>
            <w:pPr>
              <w:pStyle w:val="1089"/>
              <w:pBdr/>
              <w:spacing/>
              <w:ind/>
              <w:rPr/>
            </w:pPr>
            <w:r>
              <w:t xml:space="preserve">Data/validation engineer</w:t>
            </w:r>
            <w:r/>
          </w:p>
        </w:tc>
        <w:tc>
          <w:tcPr>
            <w:shd w:val="clear" w:color="auto" w:fill="f4f6f7"/>
            <w:tcBorders/>
            <w:tcMar>
              <w:left w:w="55" w:type="dxa"/>
              <w:top w:w="45" w:type="dxa"/>
              <w:right w:w="55" w:type="dxa"/>
              <w:bottom w:w="45" w:type="dxa"/>
            </w:tcMar>
            <w:tcW w:w="3871" w:type="dxa"/>
            <w:vAlign w:val="top"/>
          </w:tcPr>
          <w:p>
            <w:pPr>
              <w:pStyle w:val="1089"/>
              <w:pBdr/>
              <w:spacing/>
              <w:ind/>
              <w:rPr/>
            </w:pPr>
            <w:r>
              <w:t xml:space="preserve">Structural, referential and conditional validation; build manifests; regeneration tests.</w:t>
            </w:r>
            <w:r/>
          </w:p>
        </w:tc>
        <w:tc>
          <w:tcPr>
            <w:shd w:val="clear" w:color="auto" w:fill="f4f6f7"/>
            <w:tcBorders/>
            <w:tcMar>
              <w:left w:w="55" w:type="dxa"/>
              <w:top w:w="45" w:type="dxa"/>
              <w:right w:w="55" w:type="dxa"/>
              <w:bottom w:w="45" w:type="dxa"/>
            </w:tcMar>
            <w:tcW w:w="3651" w:type="dxa"/>
            <w:vAlign w:val="top"/>
          </w:tcPr>
          <w:p>
            <w:pPr>
              <w:pStyle w:val="1089"/>
              <w:pBdr/>
              <w:spacing/>
              <w:ind/>
              <w:rPr/>
            </w:pPr>
            <w:r>
              <w:t xml:space="preserve">Substantive scholarly interpretation.</w:t>
            </w:r>
            <w:r/>
          </w:p>
        </w:tc>
      </w:tr>
      <w:tr>
        <w:trPr>
          <w:cantSplit/>
        </w:trPr>
        <w:tc>
          <w:tcPr>
            <w:shd w:val="clear" w:color="auto" w:fill="ffffff"/>
            <w:tcBorders/>
            <w:tcMar>
              <w:left w:w="55" w:type="dxa"/>
              <w:top w:w="45" w:type="dxa"/>
              <w:right w:w="55" w:type="dxa"/>
              <w:bottom w:w="45" w:type="dxa"/>
            </w:tcMar>
            <w:tcW w:w="2483" w:type="dxa"/>
            <w:vAlign w:val="top"/>
          </w:tcPr>
          <w:p>
            <w:pPr>
              <w:pStyle w:val="1089"/>
              <w:pBdr/>
              <w:spacing/>
              <w:ind/>
              <w:rPr/>
            </w:pPr>
            <w:r>
              <w:t xml:space="preserve">Release officer</w:t>
            </w:r>
            <w:r/>
          </w:p>
        </w:tc>
        <w:tc>
          <w:tcPr>
            <w:shd w:val="clear" w:color="auto" w:fill="ffffff"/>
            <w:tcBorders/>
            <w:tcMar>
              <w:left w:w="55" w:type="dxa"/>
              <w:top w:w="45" w:type="dxa"/>
              <w:right w:w="55" w:type="dxa"/>
              <w:bottom w:w="45" w:type="dxa"/>
            </w:tcMar>
            <w:tcW w:w="3871" w:type="dxa"/>
            <w:vAlign w:val="top"/>
          </w:tcPr>
          <w:p>
            <w:pPr>
              <w:pStyle w:val="1089"/>
              <w:pBdr/>
              <w:spacing/>
              <w:ind/>
              <w:rPr/>
            </w:pPr>
            <w:r>
              <w:t xml:space="preserve">GO/HOLD based on documented evidence and gate status.</w:t>
            </w:r>
            <w:r/>
          </w:p>
        </w:tc>
        <w:tc>
          <w:tcPr>
            <w:shd w:val="clear" w:color="auto" w:fill="ffffff"/>
            <w:tcBorders/>
            <w:tcMar>
              <w:left w:w="55" w:type="dxa"/>
              <w:top w:w="45" w:type="dxa"/>
              <w:right w:w="55" w:type="dxa"/>
              <w:bottom w:w="45" w:type="dxa"/>
            </w:tcMar>
            <w:tcW w:w="3651" w:type="dxa"/>
            <w:vAlign w:val="top"/>
          </w:tcPr>
          <w:p>
            <w:pPr>
              <w:pStyle w:val="1089"/>
              <w:pBdr/>
              <w:spacing/>
              <w:ind/>
              <w:rPr/>
            </w:pPr>
            <w:r>
              <w:t xml:space="preserve">A release-candidate canonical build for which the officer is the sole substantive author.</w:t>
            </w:r>
            <w:r/>
          </w:p>
        </w:tc>
      </w:tr>
    </w:tbl>
    <w:p>
      <w:pPr>
        <w:pStyle w:val="1097"/>
        <w:pBdr/>
        <w:spacing/>
        <w:ind/>
        <w:rPr/>
      </w:pPr>
      <w:r/>
      <w:r/>
    </w:p>
    <w:p>
      <w:pPr>
        <w:pStyle w:val="1083"/>
        <w:keepLines w:val="false"/>
        <w:pBdr/>
        <w:spacing/>
        <w:ind/>
        <w:rPr/>
      </w:pPr>
      <w:r>
        <w:t xml:space="preserve">For G2 and G3, coders receive identical source excerpts, bounded Claim pairs or vignettes and codebook instructions, but not each other’s judgments. Submitted blind packets are immutable. Raw outputs are retained after adju</w:t>
      </w:r>
      <w:r>
        <w:t xml:space="preserve">dication. Reliability is calculated on pre-adjudication labels; adjudicated labels become training or reference data, not replacement reliability evidence. Coder identity remains traceable internally to qualifications and conflict-of-interest declarations.</w:t>
      </w:r>
      <w:r/>
    </w:p>
    <w:p>
      <w:pPr>
        <w:pStyle w:val="924"/>
        <w:keepNext w:val="true"/>
        <w:keepLines w:val="true"/>
        <w:pBdr/>
        <w:spacing/>
        <w:ind/>
        <w:rPr/>
      </w:pPr>
      <w:r/>
      <w:bookmarkStart w:id="63" w:name="s9_3_dod"/>
      <w:r>
        <w:t xml:space="preserve">9.3 Definitions of done</w:t>
      </w:r>
      <w:bookmarkEnd w:id="63"/>
      <w:r/>
      <w:r/>
    </w:p>
    <w:p>
      <w:pPr>
        <w:pStyle w:val="925"/>
        <w:keepNext w:val="true"/>
        <w:keepLines w:val="true"/>
        <w:pBdr/>
        <w:spacing/>
        <w:ind/>
        <w:rPr/>
      </w:pPr>
      <w:r/>
      <w:bookmarkStart w:id="64" w:name="dod_position"/>
      <w:r>
        <w:t xml:space="preserve">Bounded Position — comparison-ready</w:t>
      </w:r>
      <w:bookmarkEnd w:id="64"/>
      <w:r/>
      <w:r/>
    </w:p>
    <w:p>
      <w:pPr>
        <w:pStyle w:val="1084"/>
        <w:keepLines w:val="false"/>
        <w:pBdr/>
        <w:spacing/>
        <w:ind/>
        <w:rPr/>
      </w:pPr>
      <w:r>
        <w:t xml:space="preserve">• Boundary and scope are explicit, including assessment sufficient to distinguish legitimate VAR from boundary failure.</w:t>
      </w:r>
      <w:r/>
    </w:p>
    <w:p>
      <w:pPr>
        <w:pStyle w:val="1084"/>
        <w:keepLines w:val="false"/>
        <w:pBdr/>
        <w:spacing/>
        <w:ind/>
        <w:rPr/>
      </w:pPr>
      <w:r>
        <w:t xml:space="preserve">• Principal source-fit package exists using orthogonal source fields; emic orientation exists; high-risk concepts are controlled.</w:t>
      </w:r>
      <w:r/>
    </w:p>
    <w:p>
      <w:pPr>
        <w:pStyle w:val="1084"/>
        <w:keepLines w:val="false"/>
        <w:pBdr/>
        <w:spacing/>
        <w:ind/>
        <w:rPr/>
      </w:pPr>
      <w:r>
        <w:t xml:space="preserve">• Material Claims are atomic, scoped, attachment/origin-coded and evidenced or derived.</w:t>
      </w:r>
      <w:r/>
    </w:p>
    <w:p>
      <w:pPr>
        <w:pStyle w:val="1084"/>
        <w:keepLines w:val="false"/>
        <w:pBdr/>
        <w:spacing/>
        <w:ind/>
        <w:rPr/>
      </w:pPr>
      <w:r>
        <w:t xml:space="preserve">• Relevant D1–D15 QuestionResponses contain one primary state and orthogonal CAT warnings.</w:t>
      </w:r>
      <w:r/>
    </w:p>
    <w:p>
      <w:pPr>
        <w:pStyle w:val="1084"/>
        <w:keepLines w:val="false"/>
        <w:pBdr/>
        <w:spacing/>
        <w:ind/>
        <w:rPr/>
      </w:pPr>
      <w:r>
        <w:t xml:space="preserve">• Internal variation is audited and subpositions linked where applicable.</w:t>
      </w:r>
      <w:r/>
    </w:p>
    <w:p>
      <w:pPr>
        <w:pStyle w:val="1084"/>
        <w:keepLines w:val="false"/>
        <w:pBdr/>
        <w:spacing/>
        <w:ind/>
        <w:rPr/>
      </w:pPr>
      <w:r>
        <w:t xml:space="preserve">• Applicable RepresentationReadiness component states and unresolved issues are explicit.</w:t>
      </w:r>
      <w:r/>
    </w:p>
    <w:p>
      <w:pPr>
        <w:pStyle w:val="1084"/>
        <w:keepLines w:val="false"/>
        <w:pBdr/>
        <w:spacing/>
        <w:ind/>
        <w:rPr/>
      </w:pPr>
      <w:r>
        <w:t xml:space="preserve">• Version and reviewer metadata exists.</w:t>
      </w:r>
      <w:r/>
    </w:p>
    <w:p>
      <w:pPr>
        <w:pStyle w:val="1083"/>
        <w:keepLines w:val="false"/>
        <w:pBdr/>
        <w:spacing/>
        <w:ind/>
        <w:rPr/>
      </w:pPr>
      <w:r>
        <w:t xml:space="preserve">No Position enters cross-Position comparison unless every mandatory item is present or a documented exception explicitly blocks release.</w:t>
      </w:r>
      <w:r/>
    </w:p>
    <w:p>
      <w:pPr>
        <w:pStyle w:val="925"/>
        <w:keepNext w:val="true"/>
        <w:keepLines w:val="true"/>
        <w:pBdr/>
        <w:spacing/>
        <w:ind/>
        <w:rPr/>
      </w:pPr>
      <w:r/>
      <w:bookmarkStart w:id="65" w:name="dod_comparison"/>
      <w:r>
        <w:t xml:space="preserve">ComparisonEvent — release-ready</w:t>
      </w:r>
      <w:bookmarkEnd w:id="65"/>
      <w:r/>
      <w:r/>
    </w:p>
    <w:p>
      <w:pPr>
        <w:pStyle w:val="1084"/>
        <w:keepLines w:val="false"/>
        <w:pBdr/>
        <w:spacing/>
        <w:ind/>
        <w:rPr/>
      </w:pPr>
      <w:r>
        <w:t xml:space="preserve">• Comparands are bounded and normalized to an explicit analytical scale.</w:t>
      </w:r>
      <w:r/>
    </w:p>
    <w:p>
      <w:pPr>
        <w:pStyle w:val="1084"/>
        <w:keepLines w:val="false"/>
        <w:pBdr/>
        <w:spacing/>
        <w:ind/>
        <w:rPr/>
      </w:pPr>
      <w:r>
        <w:t xml:space="preserve">• Exact left and right Claim IDs, tertium, dimension, scale, temporal and Position scope and directionality are explicit.</w:t>
      </w:r>
      <w:r/>
    </w:p>
    <w:p>
      <w:pPr>
        <w:pStyle w:val="1084"/>
        <w:keepLines w:val="false"/>
        <w:pBdr/>
        <w:spacing/>
        <w:ind/>
        <w:rPr/>
      </w:pPr>
      <w:r>
        <w:t xml:space="preserve">• Source adequacy supports each relation; every relation contains exactly one type and the event relation set passes coherence validation.</w:t>
      </w:r>
      <w:r/>
    </w:p>
    <w:p>
      <w:pPr>
        <w:pStyle w:val="1084"/>
        <w:keepLines w:val="false"/>
        <w:pBdr/>
        <w:spacing/>
        <w:ind/>
        <w:rPr/>
      </w:pPr>
      <w:r>
        <w:t xml:space="preserve">• Mandatory material disanalogy is linked and explained; tertium validity is recorded and a DISTORTING tertium carries no positive relation.</w:t>
      </w:r>
      <w:r/>
    </w:p>
    <w:p>
      <w:pPr>
        <w:pStyle w:val="1084"/>
        <w:keepLines w:val="false"/>
        <w:pBdr/>
        <w:spacing/>
        <w:ind/>
        <w:rPr/>
      </w:pPr>
      <w:r>
        <w:t xml:space="preserve">• Genealogy or independence status is recorded where relevant; OEQ dimensions, failure conditions, disanalogy and specialist review are complete where proposed.</w:t>
      </w:r>
      <w:r/>
    </w:p>
    <w:p>
      <w:pPr>
        <w:pStyle w:val="1084"/>
        <w:keepLines w:val="false"/>
        <w:pBdr/>
        <w:spacing/>
        <w:ind/>
        <w:rPr/>
      </w:pPr>
      <w:r>
        <w:t xml:space="preserve">• Review status, unresolved flags, canonical IDs and version metadata are present.</w:t>
      </w:r>
      <w:r/>
    </w:p>
    <w:p>
      <w:pPr>
        <w:pStyle w:val="1083"/>
        <w:keepLines w:val="false"/>
        <w:pBdr/>
        <w:spacing/>
        <w:ind/>
        <w:rPr/>
      </w:pPr>
      <w:r>
        <w:t xml:space="preserve">A relation label alone never makes a ComparisonEvent release-ready.</w:t>
      </w:r>
      <w:r/>
    </w:p>
    <w:p>
      <w:pPr>
        <w:pStyle w:val="925"/>
        <w:keepNext w:val="true"/>
        <w:keepLines w:val="true"/>
        <w:pBdr/>
        <w:spacing/>
        <w:ind/>
        <w:rPr/>
      </w:pPr>
      <w:r/>
      <w:bookmarkStart w:id="66" w:name="dod_publicationclaim"/>
      <w:r>
        <w:t xml:space="preserve">PublicationClaim — release-ready</w:t>
      </w:r>
      <w:bookmarkEnd w:id="66"/>
      <w:r/>
      <w:r/>
    </w:p>
    <w:p>
      <w:pPr>
        <w:pStyle w:val="1084"/>
        <w:keepLines w:val="false"/>
        <w:pBdr/>
        <w:spacing/>
        <w:ind/>
        <w:rPr/>
      </w:pPr>
      <w:r>
        <w:t xml:space="preserve">• The claim is linked to a chapter and section and classified as source attribution, comparative, synthesis, limitation or editorial decision.</w:t>
      </w:r>
      <w:r/>
    </w:p>
    <w:p>
      <w:pPr>
        <w:pStyle w:val="1084"/>
        <w:keepLines w:val="false"/>
        <w:pBdr/>
        <w:spacing/>
        <w:ind/>
        <w:rPr/>
      </w:pPr>
      <w:r>
        <w:t xml:space="preserve">• Every premise ID resolves to canonical Claim, QuestionResponse, ComparativeRelation, SynthesisRecord or relevant evidence records.</w:t>
      </w:r>
      <w:r/>
    </w:p>
    <w:p>
      <w:pPr>
        <w:pStyle w:val="1084"/>
        <w:keepLines w:val="false"/>
        <w:pBdr/>
        <w:spacing/>
        <w:ind/>
        <w:rPr/>
      </w:pPr>
      <w:r>
        <w:t xml:space="preserve">• The inference rationale states why the premises support the publication claim and distinguishes attribution, deduction, classification, explanatory inference or bounded editorial synthesis where material.</w:t>
      </w:r>
      <w:r/>
    </w:p>
    <w:p>
      <w:pPr>
        <w:pStyle w:val="1084"/>
        <w:keepLines w:val="false"/>
        <w:pBdr/>
        <w:spacing/>
        <w:ind/>
        <w:rPr/>
      </w:pPr>
      <w:r>
        <w:t xml:space="preserve">• Position, time, corpus, domain, relation dimension and prohibited stronger reading are explicit.</w:t>
      </w:r>
      <w:r/>
    </w:p>
    <w:p>
      <w:pPr>
        <w:pStyle w:val="1084"/>
        <w:keepLines w:val="false"/>
        <w:pBdr/>
        <w:spacing/>
        <w:ind/>
        <w:rPr/>
      </w:pPr>
      <w:r>
        <w:t xml:space="preserve">• Material counterevidence, negative cases, disanalogies, unresolved issues and their disposition are linked.</w:t>
      </w:r>
      <w:r/>
    </w:p>
    <w:p>
      <w:pPr>
        <w:pStyle w:val="1084"/>
        <w:keepLines w:val="false"/>
        <w:pBdr/>
        <w:spacing/>
        <w:ind/>
        <w:rPr/>
      </w:pPr>
      <w:r>
        <w:t xml:space="preserve">• Applicable synthesis level and maturity, review criteria, release state, version and supersession history are recorded.</w:t>
      </w:r>
      <w:r/>
    </w:p>
    <w:p>
      <w:pPr>
        <w:pStyle w:val="924"/>
        <w:keepNext w:val="true"/>
        <w:keepLines w:val="true"/>
        <w:pBdr/>
        <w:spacing/>
        <w:ind/>
        <w:rPr/>
      </w:pPr>
      <w:r/>
      <w:bookmarkStart w:id="67" w:name="s9_4_ai"/>
      <w:r>
        <w:t xml:space="preserve">9.4 AI and confidentiality</w:t>
      </w:r>
      <w:bookmarkEnd w:id="67"/>
      <w:r/>
      <w:r/>
    </w:p>
    <w:p>
      <w:pPr>
        <w:pStyle w:val="1083"/>
        <w:keepLines w:val="false"/>
        <w:pBdr/>
        <w:spacing/>
        <w:ind/>
        <w:rPr/>
      </w:pPr>
      <w:r>
        <w:t xml:space="preserve">The front-matter Human-Operability Rule governs all use of AI.</w:t>
      </w:r>
      <w:r/>
    </w:p>
    <w:tbl>
      <w:tblPr>
        <w:jc w:val="center"/>
        <w:tblW w:w="0" w:type="auto"/>
        <w:tblBorders>
          <w:top w:val="single" w:color="a33a3a" w:sz="5" w:space="0"/>
          <w:left w:val="single" w:color="a33a3a" w:sz="5" w:space="0"/>
          <w:bottom w:val="single" w:color="a33a3a" w:sz="5" w:space="0"/>
          <w:right w:val="single" w:color="a33a3a" w:sz="5" w:space="0"/>
          <w:insideH w:val="single" w:color="a33a3a" w:sz="5" w:space="0"/>
          <w:insideV w:val="single" w:color="a33a3a" w:sz="5" w:space="0"/>
        </w:tblBorders>
        <w:tblLayout w:type="fixed"/>
        <w:tblLook w:val="04A0" w:firstRow="1" w:lastRow="0" w:firstColumn="1" w:lastColumn="0" w:noHBand="0" w:noVBand="1"/>
      </w:tblPr>
      <w:tblGrid>
        <w:gridCol w:w="10006"/>
      </w:tblGrid>
      <w:tr>
        <w:trPr>
          <w:cantSplit/>
          <w:tblHeader/>
        </w:trPr>
        <w:tc>
          <w:tcPr>
            <w:shd w:val="clear" w:color="auto" w:fill="fbeaea"/>
            <w:tcBorders/>
            <w:tcMar>
              <w:left w:w="90" w:type="dxa"/>
              <w:top w:w="0" w:type="dxa"/>
              <w:right w:w="90" w:type="dxa"/>
              <w:bottom w:w="65" w:type="dxa"/>
            </w:tcMar>
            <w:tcW w:w="9864" w:type="dxa"/>
            <w:vAlign w:val="center"/>
          </w:tcPr>
          <w:p>
            <w:pPr>
              <w:pStyle w:val="1091"/>
              <w:pBdr/>
              <w:shd w:val="clear" w:color="auto" w:fill="a33a3a"/>
              <w:spacing/>
              <w:ind/>
              <w:rPr/>
            </w:pPr>
            <w:r>
              <w:t xml:space="preserve">Governing: Confidentiality rule</w:t>
            </w:r>
            <w:r/>
          </w:p>
          <w:p>
            <w:pPr>
              <w:pStyle w:val="1092"/>
              <w:pBdr/>
              <w:spacing/>
              <w:ind/>
              <w:rPr/>
            </w:pPr>
            <w:r>
              <w:t xml:space="preserve">Unpublish</w:t>
            </w:r>
            <w:r>
              <w:t xml:space="preserve">ed, confidential, restricted or community-controlled material MUST NOT be entered into an external AI system unless that system and use are explicitly approved under applicable confidentiality, data-protection, rights and community-governance requirements.</w:t>
            </w:r>
            <w:r/>
          </w:p>
        </w:tc>
      </w:tr>
    </w:tbl>
    <w:p>
      <w:pPr>
        <w:pStyle w:val="1097"/>
        <w:pBdr/>
        <w:spacing/>
        <w:ind/>
        <w:rPr/>
      </w:pPr>
      <w:r/>
      <w:r/>
    </w:p>
    <w:p>
      <w:pPr>
        <w:pStyle w:val="1086"/>
        <w:keepNext w:val="true"/>
        <w:keepLines w:val="true"/>
        <w:pBdr/>
        <w:spacing/>
        <w:ind/>
        <w:rPr/>
      </w:pPr>
      <w:r/>
      <w:bookmarkStart w:id="68" w:name="tbl_ai_policy"/>
      <w:r>
        <w:t xml:space="preserve">Governing — Permitted and prohibited AI assistance</w:t>
      </w:r>
      <w:bookmarkEnd w:id="68"/>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4966"/>
        <w:gridCol w:w="5040"/>
      </w:tblGrid>
      <w:tr>
        <w:trPr>
          <w:cantSplit/>
          <w:tblHeader/>
        </w:trPr>
        <w:tc>
          <w:tcPr>
            <w:shd w:val="clear" w:color="auto" w:fill="1f5d7a"/>
            <w:tcBorders/>
            <w:tcMar>
              <w:left w:w="70" w:type="dxa"/>
              <w:top w:w="55" w:type="dxa"/>
              <w:right w:w="70" w:type="dxa"/>
              <w:bottom w:w="55" w:type="dxa"/>
            </w:tcMar>
            <w:tcW w:w="4966" w:type="dxa"/>
            <w:vAlign w:val="top"/>
          </w:tcPr>
          <w:p>
            <w:pPr>
              <w:pStyle w:val="1087"/>
              <w:pBdr/>
              <w:spacing/>
              <w:ind/>
              <w:rPr/>
            </w:pPr>
            <w:r>
              <w:t xml:space="preserve">Permitted</w:t>
            </w:r>
            <w:r/>
          </w:p>
        </w:tc>
        <w:tc>
          <w:tcPr>
            <w:shd w:val="clear" w:color="auto" w:fill="1f5d7a"/>
            <w:tcBorders/>
            <w:tcMar>
              <w:left w:w="70" w:type="dxa"/>
              <w:top w:w="55" w:type="dxa"/>
              <w:right w:w="70" w:type="dxa"/>
              <w:bottom w:w="55" w:type="dxa"/>
            </w:tcMar>
            <w:tcW w:w="5040" w:type="dxa"/>
            <w:vAlign w:val="top"/>
          </w:tcPr>
          <w:p>
            <w:pPr>
              <w:pStyle w:val="1087"/>
              <w:pBdr/>
              <w:spacing/>
              <w:ind/>
              <w:rPr/>
            </w:pPr>
            <w:r>
              <w:t xml:space="preserve">Not permitted</w:t>
            </w:r>
            <w:r/>
          </w:p>
        </w:tc>
      </w:tr>
      <w:tr>
        <w:trPr>
          <w:cantSplit/>
        </w:trPr>
        <w:tc>
          <w:tcPr>
            <w:shd w:val="clear" w:color="auto" w:fill="ffffff"/>
            <w:tcBorders/>
            <w:tcMar>
              <w:left w:w="70" w:type="dxa"/>
              <w:top w:w="55" w:type="dxa"/>
              <w:right w:w="70" w:type="dxa"/>
              <w:bottom w:w="55" w:type="dxa"/>
            </w:tcMar>
            <w:tcW w:w="4966" w:type="dxa"/>
            <w:vAlign w:val="top"/>
          </w:tcPr>
          <w:p>
            <w:pPr>
              <w:pStyle w:val="1088"/>
              <w:pBdr/>
              <w:spacing/>
              <w:ind/>
              <w:rPr/>
            </w:pPr>
            <w:r>
              <w:t xml:space="preserve">Source discovery/search terms; extraction; duplicate detection; candidate record drafting; missing-field QA; possible relation candidates; view generation.</w:t>
            </w:r>
            <w:r/>
          </w:p>
        </w:tc>
        <w:tc>
          <w:tcPr>
            <w:shd w:val="clear" w:color="auto" w:fill="ffffff"/>
            <w:tcBorders/>
            <w:tcMar>
              <w:left w:w="70" w:type="dxa"/>
              <w:top w:w="55" w:type="dxa"/>
              <w:right w:w="70" w:type="dxa"/>
              <w:bottom w:w="55" w:type="dxa"/>
            </w:tcMar>
            <w:tcW w:w="5040" w:type="dxa"/>
            <w:vAlign w:val="top"/>
          </w:tcPr>
          <w:p>
            <w:pPr>
              <w:pStyle w:val="1088"/>
              <w:pBdr/>
              <w:spacing/>
              <w:ind/>
              <w:rPr/>
            </w:pPr>
            <w:r>
              <w:t xml:space="preserve">Invent doctrine; fabricate quotations/citations; infer consensus from model confidence; treat model translation as final; represent a community without traceable evidence; upgrade analogy to equivalence without evidence.</w:t>
            </w:r>
            <w:r/>
          </w:p>
        </w:tc>
      </w:tr>
      <w:tr>
        <w:trPr>
          <w:cantSplit/>
        </w:trPr>
        <w:tc>
          <w:tcPr>
            <w:shd w:val="clear" w:color="auto" w:fill="f4f6f7"/>
            <w:tcBorders/>
            <w:tcMar>
              <w:left w:w="70" w:type="dxa"/>
              <w:top w:w="55" w:type="dxa"/>
              <w:right w:w="70" w:type="dxa"/>
              <w:bottom w:w="55" w:type="dxa"/>
            </w:tcMar>
            <w:tcW w:w="4966" w:type="dxa"/>
            <w:vAlign w:val="top"/>
          </w:tcPr>
          <w:p>
            <w:pPr>
              <w:pStyle w:val="1088"/>
              <w:pBdr/>
              <w:spacing/>
              <w:ind/>
              <w:rPr/>
            </w:pPr>
            <w:r>
              <w:t xml:space="preserve">Transform verified records into profile/matrix views; flag missing locators/concepts/disanalogies.</w:t>
            </w:r>
            <w:r/>
          </w:p>
        </w:tc>
        <w:tc>
          <w:tcPr>
            <w:shd w:val="clear" w:color="auto" w:fill="f4f6f7"/>
            <w:tcBorders/>
            <w:tcMar>
              <w:left w:w="70" w:type="dxa"/>
              <w:top w:w="55" w:type="dxa"/>
              <w:right w:w="70" w:type="dxa"/>
              <w:bottom w:w="55" w:type="dxa"/>
            </w:tcMar>
            <w:tcW w:w="5040" w:type="dxa"/>
            <w:vAlign w:val="top"/>
          </w:tcPr>
          <w:p>
            <w:pPr>
              <w:pStyle w:val="1088"/>
              <w:pBdr/>
              <w:spacing/>
              <w:ind/>
              <w:rPr/>
            </w:pPr>
            <w:r>
              <w:t xml:space="preserve">Serve as independent reliability coder, specialist/community reviewer, final translation authority or source; self-certify evidence or release gates.</w:t>
            </w:r>
            <w:r/>
          </w:p>
        </w:tc>
      </w:tr>
    </w:tbl>
    <w:p>
      <w:pPr>
        <w:pStyle w:val="1097"/>
        <w:pBdr/>
        <w:spacing/>
        <w:ind/>
        <w:rPr/>
      </w:pPr>
      <w:r/>
      <w:r/>
    </w:p>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AI traceability rule</w:t>
            </w:r>
            <w:r/>
          </w:p>
          <w:p>
            <w:pPr>
              <w:pStyle w:val="1092"/>
              <w:pBdr/>
              <w:spacing/>
              <w:ind/>
              <w:rPr/>
            </w:pPr>
            <w:r>
              <w:t xml:space="preserve">Every AI-suggested substantive statement must resolve to a human-verifiable evidence chain before release. AIProvenance records identify affected fields and human verification. “The model says” is never a source class.</w:t>
            </w:r>
            <w:r/>
          </w:p>
        </w:tc>
      </w:tr>
    </w:tbl>
    <w:p>
      <w:pPr>
        <w:pStyle w:val="1097"/>
        <w:pBdr/>
        <w:spacing/>
        <w:ind/>
        <w:rPr/>
      </w:pPr>
      <w:r/>
      <w:r/>
    </w:p>
    <w:p>
      <w:pPr>
        <w:pStyle w:val="923"/>
        <w:keepNext w:val="true"/>
        <w:keepLines w:val="true"/>
        <w:pBdr/>
        <w:spacing/>
        <w:ind/>
        <w:rPr/>
      </w:pPr>
      <w:r/>
      <w:bookmarkStart w:id="69" w:name="section_10_gates"/>
      <w:r>
        <w:t xml:space="preserve">10. Validation gates and release</w:t>
      </w:r>
      <w:bookmarkEnd w:id="69"/>
      <w:r/>
      <w:r/>
    </w:p>
    <w:p>
      <w:pPr>
        <w:pStyle w:val="1083"/>
        <w:keepLines w:val="false"/>
        <w:pBdr/>
        <w:spacing/>
        <w:ind/>
        <w:rPr/>
      </w:pPr>
      <w:r>
        <w:t xml:space="preserve">G1–G8 are project-scale capability and acceptance gates. They are not replaced by chapter review, per-record release checks or schema validation.</w:t>
      </w:r>
      <w:r/>
    </w:p>
    <w:p>
      <w:pPr>
        <w:pStyle w:val="1083"/>
        <w:keepLines w:val="false"/>
        <w:pBdr/>
        <w:spacing/>
        <w:ind/>
        <w:rPr/>
      </w:pPr>
      <w:r>
        <w:t xml:space="preserve">Gate verdict and evidence maturity are independent: PARTIAL and PROTOTYPE are evidence-maturity values, never gate verdicts and never authorization for GO.</w:t>
      </w:r>
      <w:r/>
    </w:p>
    <w:p>
      <w:pPr>
        <w:pStyle w:val="1083"/>
        <w:keepLines w:val="false"/>
        <w:pBdr/>
        <w:spacing/>
        <w:ind/>
        <w:rPr/>
      </w:pPr>
      <w:r>
        <w:t xml:space="preserve">Full acceptance evidence and packet specifications are governe</w:t>
      </w:r>
      <w:r>
        <w:t xml:space="preserve">d in Annex C. Current gate and release decisions are established by the applicable recorded GateRuns and release records under this section. The historical snapshot summarizes the state at its stated date and does not independently establish a later state.</w:t>
      </w:r>
      <w:r/>
    </w:p>
    <w:p>
      <w:pPr>
        <w:pStyle w:val="1086"/>
        <w:keepNext w:val="true"/>
        <w:keepLines w:val="true"/>
        <w:pBdr/>
        <w:spacing/>
        <w:ind/>
        <w:rPr/>
      </w:pPr>
      <w:r/>
      <w:bookmarkStart w:id="70" w:name="tbl_gate_summary"/>
      <w:r>
        <w:t xml:space="preserve">Governing summary — G1–G8 governing purpose and consequence</w:t>
      </w:r>
      <w:bookmarkEnd w:id="70"/>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1972"/>
        <w:gridCol w:w="4674"/>
        <w:gridCol w:w="3359"/>
      </w:tblGrid>
      <w:tr>
        <w:trPr>
          <w:cantSplit/>
          <w:tblHeader/>
        </w:trPr>
        <w:tc>
          <w:tcPr>
            <w:shd w:val="clear" w:color="auto" w:fill="1f5d7a"/>
            <w:tcBorders/>
            <w:tcMar>
              <w:left w:w="55" w:type="dxa"/>
              <w:top w:w="45" w:type="dxa"/>
              <w:right w:w="55" w:type="dxa"/>
              <w:bottom w:w="45" w:type="dxa"/>
            </w:tcMar>
            <w:tcW w:w="1972" w:type="dxa"/>
            <w:vAlign w:val="top"/>
          </w:tcPr>
          <w:p>
            <w:pPr>
              <w:pStyle w:val="1090"/>
              <w:pBdr/>
              <w:spacing/>
              <w:ind/>
              <w:rPr/>
            </w:pPr>
            <w:r>
              <w:t xml:space="preserve">Gate</w:t>
            </w:r>
            <w:r/>
          </w:p>
        </w:tc>
        <w:tc>
          <w:tcPr>
            <w:shd w:val="clear" w:color="auto" w:fill="1f5d7a"/>
            <w:tcBorders/>
            <w:tcMar>
              <w:left w:w="55" w:type="dxa"/>
              <w:top w:w="45" w:type="dxa"/>
              <w:right w:w="55" w:type="dxa"/>
              <w:bottom w:w="45" w:type="dxa"/>
            </w:tcMar>
            <w:tcW w:w="4674" w:type="dxa"/>
            <w:vAlign w:val="top"/>
          </w:tcPr>
          <w:p>
            <w:pPr>
              <w:pStyle w:val="1090"/>
              <w:pBdr/>
              <w:spacing/>
              <w:ind/>
              <w:rPr/>
            </w:pPr>
            <w:r>
              <w:t xml:space="preserve">Purpose</w:t>
            </w:r>
            <w:r/>
          </w:p>
        </w:tc>
        <w:tc>
          <w:tcPr>
            <w:shd w:val="clear" w:color="auto" w:fill="1f5d7a"/>
            <w:tcBorders/>
            <w:tcMar>
              <w:left w:w="55" w:type="dxa"/>
              <w:top w:w="45" w:type="dxa"/>
              <w:right w:w="55" w:type="dxa"/>
              <w:bottom w:w="45" w:type="dxa"/>
            </w:tcMar>
            <w:tcW w:w="3359" w:type="dxa"/>
            <w:vAlign w:val="top"/>
          </w:tcPr>
          <w:p>
            <w:pPr>
              <w:pStyle w:val="1090"/>
              <w:pBdr/>
              <w:spacing/>
              <w:ind/>
              <w:rPr/>
            </w:pPr>
            <w:r>
              <w:t xml:space="preserve">Consequence if unmet</w:t>
            </w:r>
            <w:r/>
          </w:p>
        </w:tc>
      </w:tr>
      <w:tr>
        <w:trPr>
          <w:cantSplit/>
        </w:trPr>
        <w:tc>
          <w:tcPr>
            <w:shd w:val="clear" w:color="auto" w:fill="ffffff"/>
            <w:tcBorders/>
            <w:tcMar>
              <w:left w:w="55" w:type="dxa"/>
              <w:top w:w="45" w:type="dxa"/>
              <w:right w:w="55" w:type="dxa"/>
              <w:bottom w:w="45" w:type="dxa"/>
            </w:tcMar>
            <w:tcW w:w="1972" w:type="dxa"/>
            <w:vAlign w:val="top"/>
          </w:tcPr>
          <w:p>
            <w:pPr>
              <w:pStyle w:val="1089"/>
              <w:pBdr/>
              <w:spacing/>
              <w:ind/>
              <w:rPr/>
            </w:pPr>
            <w:r>
              <w:t xml:space="preserve">G1 — Schema stability</w:t>
            </w:r>
            <w:r/>
          </w:p>
        </w:tc>
        <w:tc>
          <w:tcPr>
            <w:shd w:val="clear" w:color="auto" w:fill="ffffff"/>
            <w:tcBorders/>
            <w:tcMar>
              <w:left w:w="55" w:type="dxa"/>
              <w:top w:w="45" w:type="dxa"/>
              <w:right w:w="55" w:type="dxa"/>
              <w:bottom w:w="45" w:type="dxa"/>
            </w:tcMar>
            <w:tcW w:w="4674" w:type="dxa"/>
            <w:vAlign w:val="top"/>
          </w:tcPr>
          <w:p>
            <w:pPr>
              <w:pStyle w:val="1089"/>
              <w:pBdr/>
              <w:spacing/>
              <w:ind/>
              <w:rPr/>
            </w:pPr>
            <w:r>
              <w:t xml:space="preserve">Confirm no repeated core structural failure under current governed semantics.</w:t>
            </w:r>
            <w:r/>
          </w:p>
        </w:tc>
        <w:tc>
          <w:tcPr>
            <w:shd w:val="clear" w:color="auto" w:fill="ffffff"/>
            <w:tcBorders/>
            <w:tcMar>
              <w:left w:w="55" w:type="dxa"/>
              <w:top w:w="45" w:type="dxa"/>
              <w:right w:w="55" w:type="dxa"/>
              <w:bottom w:w="45" w:type="dxa"/>
            </w:tcMar>
            <w:tcW w:w="3359" w:type="dxa"/>
            <w:vAlign w:val="top"/>
          </w:tcPr>
          <w:p>
            <w:pPr>
              <w:pStyle w:val="1089"/>
              <w:pBdr/>
              <w:spacing/>
              <w:ind/>
              <w:rPr/>
            </w:pPr>
            <w:r>
              <w:t xml:space="preserve">Reopen schema review and keep release on HOLD.</w:t>
            </w:r>
            <w:r/>
          </w:p>
        </w:tc>
      </w:tr>
      <w:tr>
        <w:trPr>
          <w:cantSplit/>
        </w:trPr>
        <w:tc>
          <w:tcPr>
            <w:shd w:val="clear" w:color="auto" w:fill="f4f6f7"/>
            <w:tcBorders/>
            <w:tcMar>
              <w:left w:w="55" w:type="dxa"/>
              <w:top w:w="45" w:type="dxa"/>
              <w:right w:w="55" w:type="dxa"/>
              <w:bottom w:w="45" w:type="dxa"/>
            </w:tcMar>
            <w:tcW w:w="1972" w:type="dxa"/>
            <w:vAlign w:val="top"/>
          </w:tcPr>
          <w:p>
            <w:pPr>
              <w:pStyle w:val="1089"/>
              <w:pBdr/>
              <w:spacing/>
              <w:ind/>
              <w:rPr/>
            </w:pPr>
            <w:r>
              <w:t xml:space="preserve">G2 — Status discrimination</w:t>
            </w:r>
            <w:r/>
          </w:p>
        </w:tc>
        <w:tc>
          <w:tcPr>
            <w:shd w:val="clear" w:color="auto" w:fill="f4f6f7"/>
            <w:tcBorders/>
            <w:tcMar>
              <w:left w:w="55" w:type="dxa"/>
              <w:top w:w="45" w:type="dxa"/>
              <w:right w:w="55" w:type="dxa"/>
              <w:bottom w:w="45" w:type="dxa"/>
            </w:tcMar>
            <w:tcW w:w="4674" w:type="dxa"/>
            <w:vAlign w:val="top"/>
          </w:tcPr>
          <w:p>
            <w:pPr>
              <w:pStyle w:val="1089"/>
              <w:pBdr/>
              <w:spacing/>
              <w:ind/>
              <w:rPr/>
            </w:pPr>
            <w:r>
              <w:t xml:space="preserve">Demonstrate reliable eight-state QuestionResponse coding and orthogonal CAT handling.</w:t>
            </w:r>
            <w:r/>
          </w:p>
        </w:tc>
        <w:tc>
          <w:tcPr>
            <w:shd w:val="clear" w:color="auto" w:fill="f4f6f7"/>
            <w:tcBorders/>
            <w:tcMar>
              <w:left w:w="55" w:type="dxa"/>
              <w:top w:w="45" w:type="dxa"/>
              <w:right w:w="55" w:type="dxa"/>
              <w:bottom w:w="45" w:type="dxa"/>
            </w:tcMar>
            <w:tcW w:w="3359" w:type="dxa"/>
            <w:vAlign w:val="top"/>
          </w:tcPr>
          <w:p>
            <w:pPr>
              <w:pStyle w:val="1089"/>
              <w:pBdr/>
              <w:spacing/>
              <w:ind/>
              <w:rPr/>
            </w:pPr>
            <w:r>
              <w:t xml:space="preserve">Recode, retrain and hold affected arguments.</w:t>
            </w:r>
            <w:r/>
          </w:p>
        </w:tc>
      </w:tr>
      <w:tr>
        <w:trPr>
          <w:cantSplit/>
        </w:trPr>
        <w:tc>
          <w:tcPr>
            <w:shd w:val="clear" w:color="auto" w:fill="ffffff"/>
            <w:tcBorders/>
            <w:tcMar>
              <w:left w:w="55" w:type="dxa"/>
              <w:top w:w="45" w:type="dxa"/>
              <w:right w:w="55" w:type="dxa"/>
              <w:bottom w:w="45" w:type="dxa"/>
            </w:tcMar>
            <w:tcW w:w="1972" w:type="dxa"/>
            <w:vAlign w:val="top"/>
          </w:tcPr>
          <w:p>
            <w:pPr>
              <w:pStyle w:val="1089"/>
              <w:pBdr/>
              <w:spacing/>
              <w:ind/>
              <w:rPr/>
            </w:pPr>
            <w:r>
              <w:t xml:space="preserve">G3 — Relation reliability</w:t>
            </w:r>
            <w:r/>
          </w:p>
        </w:tc>
        <w:tc>
          <w:tcPr>
            <w:shd w:val="clear" w:color="auto" w:fill="ffffff"/>
            <w:tcBorders/>
            <w:tcMar>
              <w:left w:w="55" w:type="dxa"/>
              <w:top w:w="45" w:type="dxa"/>
              <w:right w:w="55" w:type="dxa"/>
              <w:bottom w:w="45" w:type="dxa"/>
            </w:tcMar>
            <w:tcW w:w="4674" w:type="dxa"/>
            <w:vAlign w:val="top"/>
          </w:tcPr>
          <w:p>
            <w:pPr>
              <w:pStyle w:val="1089"/>
              <w:pBdr/>
              <w:spacing/>
              <w:ind/>
              <w:rPr/>
            </w:pPr>
            <w:r>
              <w:t xml:space="preserve">Demonstrate reproducible full-taxonomy multi-label relation coding, scope, tertium and disanalogy.</w:t>
            </w:r>
            <w:r/>
          </w:p>
        </w:tc>
        <w:tc>
          <w:tcPr>
            <w:shd w:val="clear" w:color="auto" w:fill="ffffff"/>
            <w:tcBorders/>
            <w:tcMar>
              <w:left w:w="55" w:type="dxa"/>
              <w:top w:w="45" w:type="dxa"/>
              <w:right w:w="55" w:type="dxa"/>
              <w:bottom w:w="45" w:type="dxa"/>
            </w:tcMar>
            <w:tcW w:w="3359" w:type="dxa"/>
            <w:vAlign w:val="top"/>
          </w:tcPr>
          <w:p>
            <w:pPr>
              <w:pStyle w:val="1089"/>
              <w:pBdr/>
              <w:spacing/>
              <w:ind/>
              <w:rPr/>
            </w:pPr>
            <w:r>
              <w:t xml:space="preserve">Withdraw or weaken unreproducible relations and synthesis.</w:t>
            </w:r>
            <w:r/>
          </w:p>
        </w:tc>
      </w:tr>
      <w:tr>
        <w:trPr>
          <w:cantSplit/>
        </w:trPr>
        <w:tc>
          <w:tcPr>
            <w:shd w:val="clear" w:color="auto" w:fill="f4f6f7"/>
            <w:tcBorders/>
            <w:tcMar>
              <w:left w:w="55" w:type="dxa"/>
              <w:top w:w="45" w:type="dxa"/>
              <w:right w:w="55" w:type="dxa"/>
              <w:bottom w:w="45" w:type="dxa"/>
            </w:tcMar>
            <w:tcW w:w="1972" w:type="dxa"/>
            <w:vAlign w:val="top"/>
          </w:tcPr>
          <w:p>
            <w:pPr>
              <w:pStyle w:val="1089"/>
              <w:pBdr/>
              <w:spacing/>
              <w:ind/>
              <w:rPr/>
            </w:pPr>
            <w:r>
              <w:t xml:space="preserve">G4 — Oral/performance provenance</w:t>
            </w:r>
            <w:r/>
          </w:p>
        </w:tc>
        <w:tc>
          <w:tcPr>
            <w:shd w:val="clear" w:color="auto" w:fill="f4f6f7"/>
            <w:tcBorders/>
            <w:tcMar>
              <w:left w:w="55" w:type="dxa"/>
              <w:top w:w="45" w:type="dxa"/>
              <w:right w:w="55" w:type="dxa"/>
              <w:bottom w:w="45" w:type="dxa"/>
            </w:tcMar>
            <w:tcW w:w="4674" w:type="dxa"/>
            <w:vAlign w:val="top"/>
          </w:tcPr>
          <w:p>
            <w:pPr>
              <w:pStyle w:val="1089"/>
              <w:pBdr/>
              <w:spacing/>
              <w:ind/>
              <w:rPr/>
            </w:pPr>
            <w:r>
              <w:t xml:space="preserve">Demonstrate one complete release-candidate event/artifact chain.</w:t>
            </w:r>
            <w:r/>
          </w:p>
        </w:tc>
        <w:tc>
          <w:tcPr>
            <w:shd w:val="clear" w:color="auto" w:fill="f4f6f7"/>
            <w:tcBorders/>
            <w:tcMar>
              <w:left w:w="55" w:type="dxa"/>
              <w:top w:w="45" w:type="dxa"/>
              <w:right w:w="55" w:type="dxa"/>
              <w:bottom w:w="45" w:type="dxa"/>
            </w:tcMar>
            <w:tcW w:w="3359" w:type="dxa"/>
            <w:vAlign w:val="top"/>
          </w:tcPr>
          <w:p>
            <w:pPr>
              <w:pStyle w:val="1089"/>
              <w:pBdr/>
              <w:spacing/>
              <w:ind/>
              <w:rPr/>
            </w:pPr>
            <w:r>
              <w:t xml:space="preserve">Hold unsupported oral or performed claims.</w:t>
            </w:r>
            <w:r/>
          </w:p>
        </w:tc>
      </w:tr>
      <w:tr>
        <w:trPr>
          <w:cantSplit/>
        </w:trPr>
        <w:tc>
          <w:tcPr>
            <w:shd w:val="clear" w:color="auto" w:fill="ffffff"/>
            <w:tcBorders/>
            <w:tcMar>
              <w:left w:w="55" w:type="dxa"/>
              <w:top w:w="45" w:type="dxa"/>
              <w:right w:w="55" w:type="dxa"/>
              <w:bottom w:w="45" w:type="dxa"/>
            </w:tcMar>
            <w:tcW w:w="1972" w:type="dxa"/>
            <w:vAlign w:val="top"/>
          </w:tcPr>
          <w:p>
            <w:pPr>
              <w:pStyle w:val="1089"/>
              <w:pBdr/>
              <w:spacing/>
              <w:ind/>
              <w:rPr/>
            </w:pPr>
            <w:r>
              <w:t xml:space="preserve">G5 — Community representation</w:t>
            </w:r>
            <w:r/>
          </w:p>
        </w:tc>
        <w:tc>
          <w:tcPr>
            <w:shd w:val="clear" w:color="auto" w:fill="ffffff"/>
            <w:tcBorders/>
            <w:tcMar>
              <w:left w:w="55" w:type="dxa"/>
              <w:top w:w="45" w:type="dxa"/>
              <w:right w:w="55" w:type="dxa"/>
              <w:bottom w:w="45" w:type="dxa"/>
            </w:tcMar>
            <w:tcW w:w="4674" w:type="dxa"/>
            <w:vAlign w:val="top"/>
          </w:tcPr>
          <w:p>
            <w:pPr>
              <w:pStyle w:val="1089"/>
              <w:pBdr/>
              <w:spacing/>
              <w:ind/>
              <w:rPr/>
            </w:pPr>
            <w:r>
              <w:t xml:space="preserve">Demonstrate one adequate applicable coverage, authority, rights and release decision.</w:t>
            </w:r>
            <w:r/>
          </w:p>
        </w:tc>
        <w:tc>
          <w:tcPr>
            <w:shd w:val="clear" w:color="auto" w:fill="ffffff"/>
            <w:tcBorders/>
            <w:tcMar>
              <w:left w:w="55" w:type="dxa"/>
              <w:top w:w="45" w:type="dxa"/>
              <w:right w:w="55" w:type="dxa"/>
              <w:bottom w:w="45" w:type="dxa"/>
            </w:tcMar>
            <w:tcW w:w="3359" w:type="dxa"/>
            <w:vAlign w:val="top"/>
          </w:tcPr>
          <w:p>
            <w:pPr>
              <w:pStyle w:val="1089"/>
              <w:pBdr/>
              <w:spacing/>
              <w:ind/>
              <w:rPr/>
            </w:pPr>
            <w:r>
              <w:t xml:space="preserve">Restrict or hold affected representation.</w:t>
            </w:r>
            <w:r/>
          </w:p>
        </w:tc>
      </w:tr>
      <w:tr>
        <w:trPr>
          <w:cantSplit/>
        </w:trPr>
        <w:tc>
          <w:tcPr>
            <w:shd w:val="clear" w:color="auto" w:fill="f4f6f7"/>
            <w:tcBorders/>
            <w:tcMar>
              <w:left w:w="55" w:type="dxa"/>
              <w:top w:w="45" w:type="dxa"/>
              <w:right w:w="55" w:type="dxa"/>
              <w:bottom w:w="45" w:type="dxa"/>
            </w:tcMar>
            <w:tcW w:w="1972" w:type="dxa"/>
            <w:vAlign w:val="top"/>
          </w:tcPr>
          <w:p>
            <w:pPr>
              <w:pStyle w:val="1089"/>
              <w:pBdr/>
              <w:spacing/>
              <w:ind/>
              <w:rPr/>
            </w:pPr>
            <w:r>
              <w:t xml:space="preserve">G6 — Claim and PublicationClaim traceability</w:t>
            </w:r>
            <w:r/>
          </w:p>
        </w:tc>
        <w:tc>
          <w:tcPr>
            <w:shd w:val="clear" w:color="auto" w:fill="f4f6f7"/>
            <w:tcBorders/>
            <w:tcMar>
              <w:left w:w="55" w:type="dxa"/>
              <w:top w:w="45" w:type="dxa"/>
              <w:right w:w="55" w:type="dxa"/>
              <w:bottom w:w="45" w:type="dxa"/>
            </w:tcMar>
            <w:tcW w:w="4674" w:type="dxa"/>
            <w:vAlign w:val="top"/>
          </w:tcPr>
          <w:p>
            <w:pPr>
              <w:pStyle w:val="1089"/>
              <w:pBdr/>
              <w:spacing/>
              <w:ind/>
              <w:rPr/>
            </w:pPr>
            <w:r>
              <w:t xml:space="preserve">Achieve a traceability ratio of 1.000 for each of the two required non-empty release-candidate populations; apply Annex C §C3.6 to empty or incomplete evaluation scopes.</w:t>
            </w:r>
            <w:r/>
          </w:p>
        </w:tc>
        <w:tc>
          <w:tcPr>
            <w:shd w:val="clear" w:color="auto" w:fill="f4f6f7"/>
            <w:tcBorders/>
            <w:tcMar>
              <w:left w:w="55" w:type="dxa"/>
              <w:top w:w="45" w:type="dxa"/>
              <w:right w:w="55" w:type="dxa"/>
              <w:bottom w:w="45" w:type="dxa"/>
            </w:tcMar>
            <w:tcW w:w="3359" w:type="dxa"/>
            <w:vAlign w:val="top"/>
          </w:tcPr>
          <w:p>
            <w:pPr>
              <w:pStyle w:val="1089"/>
              <w:pBdr/>
              <w:spacing/>
              <w:ind/>
              <w:rPr/>
            </w:pPr>
            <w:r>
              <w:t xml:space="preserve">Remove or hold incomplete evidence or premise chains.</w:t>
            </w:r>
            <w:r/>
          </w:p>
        </w:tc>
      </w:tr>
      <w:tr>
        <w:trPr>
          <w:cantSplit/>
        </w:trPr>
        <w:tc>
          <w:tcPr>
            <w:shd w:val="clear" w:color="auto" w:fill="ffffff"/>
            <w:tcBorders/>
            <w:tcMar>
              <w:left w:w="55" w:type="dxa"/>
              <w:top w:w="45" w:type="dxa"/>
              <w:right w:w="55" w:type="dxa"/>
              <w:bottom w:w="45" w:type="dxa"/>
            </w:tcMar>
            <w:tcW w:w="1972" w:type="dxa"/>
            <w:vAlign w:val="top"/>
          </w:tcPr>
          <w:p>
            <w:pPr>
              <w:pStyle w:val="1089"/>
              <w:pBdr/>
              <w:spacing/>
              <w:ind/>
              <w:rPr/>
            </w:pPr>
            <w:r>
              <w:t xml:space="preserve">G7 — Production regeneration</w:t>
            </w:r>
            <w:r/>
          </w:p>
        </w:tc>
        <w:tc>
          <w:tcPr>
            <w:shd w:val="clear" w:color="auto" w:fill="ffffff"/>
            <w:tcBorders/>
            <w:tcMar>
              <w:left w:w="55" w:type="dxa"/>
              <w:top w:w="45" w:type="dxa"/>
              <w:right w:w="55" w:type="dxa"/>
              <w:bottom w:w="45" w:type="dxa"/>
            </w:tcMar>
            <w:tcW w:w="4674" w:type="dxa"/>
            <w:vAlign w:val="top"/>
          </w:tcPr>
          <w:p>
            <w:pPr>
              <w:pStyle w:val="1089"/>
              <w:pBdr/>
              <w:spacing/>
              <w:ind/>
              <w:rPr/>
            </w:pPr>
            <w:r>
              <w:t xml:space="preserve">Regenerate production views and controlled changes from named builds.</w:t>
            </w:r>
            <w:r/>
          </w:p>
        </w:tc>
        <w:tc>
          <w:tcPr>
            <w:shd w:val="clear" w:color="auto" w:fill="ffffff"/>
            <w:tcBorders/>
            <w:tcMar>
              <w:left w:w="55" w:type="dxa"/>
              <w:top w:w="45" w:type="dxa"/>
              <w:right w:w="55" w:type="dxa"/>
              <w:bottom w:w="45" w:type="dxa"/>
            </w:tcMar>
            <w:tcW w:w="3359" w:type="dxa"/>
            <w:vAlign w:val="top"/>
          </w:tcPr>
          <w:p>
            <w:pPr>
              <w:pStyle w:val="1089"/>
              <w:pBdr/>
              <w:spacing/>
              <w:ind/>
              <w:rPr/>
            </w:pPr>
            <w:r>
              <w:t xml:space="preserve">Hold Generated Evidence Views and public outputs.</w:t>
            </w:r>
            <w:r/>
          </w:p>
        </w:tc>
      </w:tr>
      <w:tr>
        <w:trPr>
          <w:cantSplit/>
        </w:trPr>
        <w:tc>
          <w:tcPr>
            <w:shd w:val="clear" w:color="auto" w:fill="f4f6f7"/>
            <w:tcBorders/>
            <w:tcMar>
              <w:left w:w="55" w:type="dxa"/>
              <w:top w:w="45" w:type="dxa"/>
              <w:right w:w="55" w:type="dxa"/>
              <w:bottom w:w="45" w:type="dxa"/>
            </w:tcMar>
            <w:tcW w:w="1972" w:type="dxa"/>
            <w:vAlign w:val="top"/>
          </w:tcPr>
          <w:p>
            <w:pPr>
              <w:pStyle w:val="1089"/>
              <w:pBdr/>
              <w:spacing/>
              <w:ind/>
              <w:rPr/>
            </w:pPr>
            <w:r>
              <w:t xml:space="preserve">G8 — Novelty refresh</w:t>
            </w:r>
            <w:r/>
          </w:p>
        </w:tc>
        <w:tc>
          <w:tcPr>
            <w:shd w:val="clear" w:color="auto" w:fill="f4f6f7"/>
            <w:tcBorders/>
            <w:tcMar>
              <w:left w:w="55" w:type="dxa"/>
              <w:top w:w="45" w:type="dxa"/>
              <w:right w:w="55" w:type="dxa"/>
              <w:bottom w:w="45" w:type="dxa"/>
            </w:tcMar>
            <w:tcW w:w="4674" w:type="dxa"/>
            <w:vAlign w:val="top"/>
          </w:tcPr>
          <w:p>
            <w:pPr>
              <w:pStyle w:val="1089"/>
              <w:pBdr/>
              <w:spacing/>
              <w:ind/>
              <w:rPr/>
            </w:pPr>
            <w:r>
              <w:t xml:space="preserve">Maintain a dated scoped originality and precedent review.</w:t>
            </w:r>
            <w:r/>
          </w:p>
        </w:tc>
        <w:tc>
          <w:tcPr>
            <w:shd w:val="clear" w:color="auto" w:fill="f4f6f7"/>
            <w:tcBorders/>
            <w:tcMar>
              <w:left w:w="55" w:type="dxa"/>
              <w:top w:w="45" w:type="dxa"/>
              <w:right w:w="55" w:type="dxa"/>
              <w:bottom w:w="45" w:type="dxa"/>
            </w:tcMar>
            <w:tcW w:w="3359" w:type="dxa"/>
            <w:vAlign w:val="top"/>
          </w:tcPr>
          <w:p>
            <w:pPr>
              <w:pStyle w:val="1089"/>
              <w:pBdr/>
              <w:spacing/>
              <w:ind/>
              <w:rPr/>
            </w:pPr>
            <w:r>
              <w:t xml:space="preserve">Revise public positioning language.</w:t>
            </w:r>
            <w:r/>
          </w:p>
        </w:tc>
      </w:tr>
    </w:tbl>
    <w:p>
      <w:pPr>
        <w:pStyle w:val="1097"/>
        <w:pBdr/>
        <w:spacing/>
        <w:ind/>
        <w:rPr/>
      </w:pPr>
      <w:r/>
      <w:r/>
    </w:p>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Capability gates and unit release</w:t>
            </w:r>
            <w:r/>
          </w:p>
          <w:p>
            <w:pPr>
              <w:pStyle w:val="1092"/>
              <w:pBdr/>
              <w:spacing/>
              <w:ind/>
              <w:rPr/>
            </w:pPr>
            <w:r>
              <w:t xml:space="preserve">A project-level G4 o</w:t>
            </w:r>
            <w:r>
              <w:t xml:space="preserve">r G5 PASS demonstrates that the governed process can be executed. It does not clear every record of that class. Each release-candidate oral/performed or community-applicable unit remains subject to per-record validation, RepresentationReadiness and review.</w:t>
            </w:r>
            <w:r/>
          </w:p>
        </w:tc>
      </w:tr>
    </w:tbl>
    <w:p>
      <w:pPr>
        <w:pStyle w:val="1097"/>
        <w:pBdr/>
        <w:spacing/>
        <w:ind/>
        <w:rPr/>
      </w:pPr>
      <w:r/>
      <w:r/>
    </w:p>
    <w:p>
      <w:pPr>
        <w:pStyle w:val="924"/>
        <w:keepNext w:val="true"/>
        <w:keepLines w:val="true"/>
        <w:pBdr/>
        <w:spacing/>
        <w:ind/>
        <w:rPr/>
      </w:pPr>
      <w:r/>
      <w:bookmarkStart w:id="71" w:name="s10_1_release_algorithm"/>
      <w:r>
        <w:t xml:space="preserve">10.1 Release decision algorithm</w:t>
      </w:r>
      <w:bookmarkEnd w:id="71"/>
      <w:r/>
      <w:r/>
    </w:p>
    <w:p>
      <w:pPr>
        <w:pStyle w:val="1085"/>
        <w:keepLines w:val="false"/>
        <w:pBdr/>
        <w:spacing/>
        <w:ind/>
        <w:rPr/>
      </w:pPr>
      <w:r>
        <w:t xml:space="preserve">1. Confirm all manifest evidence files, canonical IDs and checksums resolve.</w:t>
      </w:r>
      <w:r/>
    </w:p>
    <w:p>
      <w:pPr>
        <w:pStyle w:val="1085"/>
        <w:keepLines w:val="false"/>
        <w:pBdr/>
        <w:spacing/>
        <w:ind/>
        <w:rPr/>
      </w:pPr>
      <w:r>
        <w:t xml:space="preserve">2. Confirm structural, referential and semantic validation has zero unresolved Severity-1 defects.</w:t>
      </w:r>
      <w:r/>
    </w:p>
    <w:p>
      <w:pPr>
        <w:pStyle w:val="1085"/>
        <w:keepLines w:val="false"/>
        <w:pBdr/>
        <w:spacing/>
        <w:ind/>
        <w:rPr/>
      </w:pPr>
      <w:r>
        <w:t xml:space="preserve">3. Read human-review evidence for each gate; do not infer reliability, specialist or community review, rights clearance or production regeneration from schema completeness.</w:t>
      </w:r>
      <w:r/>
    </w:p>
    <w:p>
      <w:pPr>
        <w:pStyle w:val="1085"/>
        <w:keepLines w:val="false"/>
        <w:pBdr/>
        <w:spacing/>
        <w:ind/>
        <w:rPr/>
      </w:pPr>
      <w:r>
        <w:t xml:space="preserve">4. Mark every applicable gate with exactly one verdict. Record evidence maturity separately; it never substitutes for PASS.</w:t>
      </w:r>
      <w:r/>
    </w:p>
    <w:p>
      <w:pPr>
        <w:pStyle w:val="1085"/>
        <w:keepLines w:val="false"/>
        <w:pBdr/>
        <w:spacing/>
        <w:ind/>
        <w:rPr/>
      </w:pPr>
      <w:r>
        <w:t xml:space="preserve">5. Issue GO only when every applicable gate is PASS with complete gate-specific evidence and no unresolved Severity-1 defect. Otherwise issue HOLD with bounded remediation and rerun affected gates plus impacted regression checks.</w:t>
      </w:r>
      <w:r/>
    </w:p>
    <w:p>
      <w:pPr>
        <w:pStyle w:val="1086"/>
        <w:keepNext w:val="true"/>
        <w:keepLines w:val="true"/>
        <w:pBdr/>
        <w:spacing/>
        <w:ind/>
        <w:rPr/>
      </w:pPr>
      <w:r/>
      <w:bookmarkStart w:id="72" w:name="tbl_defect_severity"/>
      <w:r>
        <w:t xml:space="preserve">Governing — Defect severity and release consequence</w:t>
      </w:r>
      <w:bookmarkEnd w:id="72"/>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410"/>
        <w:gridCol w:w="7596"/>
      </w:tblGrid>
      <w:tr>
        <w:trPr>
          <w:cantSplit/>
          <w:tblHeader/>
        </w:trPr>
        <w:tc>
          <w:tcPr>
            <w:shd w:val="clear" w:color="auto" w:fill="1f5d7a"/>
            <w:tcBorders/>
            <w:tcMar>
              <w:left w:w="70" w:type="dxa"/>
              <w:top w:w="55" w:type="dxa"/>
              <w:right w:w="70" w:type="dxa"/>
              <w:bottom w:w="55" w:type="dxa"/>
            </w:tcMar>
            <w:tcW w:w="2410" w:type="dxa"/>
            <w:vAlign w:val="top"/>
          </w:tcPr>
          <w:p>
            <w:pPr>
              <w:pStyle w:val="1087"/>
              <w:pBdr/>
              <w:spacing/>
              <w:ind/>
              <w:rPr/>
            </w:pPr>
            <w:r>
              <w:t xml:space="preserve">Severity</w:t>
            </w:r>
            <w:r/>
          </w:p>
        </w:tc>
        <w:tc>
          <w:tcPr>
            <w:shd w:val="clear" w:color="auto" w:fill="1f5d7a"/>
            <w:tcBorders/>
            <w:tcMar>
              <w:left w:w="70" w:type="dxa"/>
              <w:top w:w="55" w:type="dxa"/>
              <w:right w:w="70" w:type="dxa"/>
              <w:bottom w:w="55" w:type="dxa"/>
            </w:tcMar>
            <w:tcW w:w="7596" w:type="dxa"/>
            <w:vAlign w:val="top"/>
          </w:tcPr>
          <w:p>
            <w:pPr>
              <w:pStyle w:val="1087"/>
              <w:pBdr/>
              <w:spacing/>
              <w:ind/>
              <w:rPr/>
            </w:pPr>
            <w:r>
              <w:t xml:space="preserve">Rule</w:t>
            </w:r>
            <w:r/>
          </w:p>
        </w:tc>
      </w:tr>
      <w:tr>
        <w:trPr>
          <w:cantSplit/>
        </w:trPr>
        <w:tc>
          <w:tcPr>
            <w:shd w:val="clear" w:color="auto" w:fill="ffffff"/>
            <w:tcBorders/>
            <w:tcMar>
              <w:left w:w="70" w:type="dxa"/>
              <w:top w:w="55" w:type="dxa"/>
              <w:right w:w="70" w:type="dxa"/>
              <w:bottom w:w="55" w:type="dxa"/>
            </w:tcMar>
            <w:tcW w:w="2410" w:type="dxa"/>
            <w:vAlign w:val="top"/>
          </w:tcPr>
          <w:p>
            <w:pPr>
              <w:pStyle w:val="1088"/>
              <w:pBdr/>
              <w:spacing/>
              <w:ind/>
              <w:rPr/>
            </w:pPr>
            <w:r>
              <w:t xml:space="preserve">Severity 1 - Blocking</w:t>
            </w:r>
            <w:r/>
          </w:p>
        </w:tc>
        <w:tc>
          <w:tcPr>
            <w:shd w:val="clear" w:color="auto" w:fill="ffffff"/>
            <w:tcBorders/>
            <w:tcMar>
              <w:left w:w="70" w:type="dxa"/>
              <w:top w:w="55" w:type="dxa"/>
              <w:right w:w="70" w:type="dxa"/>
              <w:bottom w:w="55" w:type="dxa"/>
            </w:tcMar>
            <w:tcW w:w="7596" w:type="dxa"/>
            <w:vAlign w:val="top"/>
          </w:tcPr>
          <w:p>
            <w:pPr>
              <w:pStyle w:val="1088"/>
              <w:pBdr/>
              <w:spacing/>
              <w:ind/>
              <w:rPr/>
            </w:pPr>
            <w:r>
              <w:t xml:space="preserve">Potentially false attribu</w:t>
            </w:r>
            <w:r>
              <w:t xml:space="preserve">tion; missing release evidence/locator; rights/authorization breach; uncontrolled community representation; invalid OEQ burden; schema semantic violation; fabricated/unverifiable source; or regeneration failure permitting factual divergence. GO prohibited.</w:t>
            </w:r>
            <w:r/>
          </w:p>
        </w:tc>
      </w:tr>
      <w:tr>
        <w:trPr>
          <w:cantSplit/>
        </w:trPr>
        <w:tc>
          <w:tcPr>
            <w:shd w:val="clear" w:color="auto" w:fill="f4f6f7"/>
            <w:tcBorders/>
            <w:tcMar>
              <w:left w:w="70" w:type="dxa"/>
              <w:top w:w="55" w:type="dxa"/>
              <w:right w:w="70" w:type="dxa"/>
              <w:bottom w:w="55" w:type="dxa"/>
            </w:tcMar>
            <w:tcW w:w="2410" w:type="dxa"/>
            <w:vAlign w:val="top"/>
          </w:tcPr>
          <w:p>
            <w:pPr>
              <w:pStyle w:val="1088"/>
              <w:pBdr/>
              <w:spacing/>
              <w:ind/>
              <w:rPr/>
            </w:pPr>
            <w:r>
              <w:t xml:space="preserve">Severity 2 - Material</w:t>
            </w:r>
            <w:r/>
          </w:p>
        </w:tc>
        <w:tc>
          <w:tcPr>
            <w:shd w:val="clear" w:color="auto" w:fill="f4f6f7"/>
            <w:tcBorders/>
            <w:tcMar>
              <w:left w:w="70" w:type="dxa"/>
              <w:top w:w="55" w:type="dxa"/>
              <w:right w:w="70" w:type="dxa"/>
              <w:bottom w:w="55" w:type="dxa"/>
            </w:tcMar>
            <w:tcW w:w="7596" w:type="dxa"/>
            <w:vAlign w:val="top"/>
          </w:tcPr>
          <w:p>
            <w:pPr>
              <w:pStyle w:val="1088"/>
              <w:pBdr/>
              <w:spacing/>
              <w:ind/>
              <w:rPr/>
            </w:pPr>
            <w:r>
              <w:t xml:space="preserve">Record-level ambiguity, incomplete non-critical metadata, inconsistent interpretation requiring adjudication, or validation issue that does not yet falsify a release claim. Remediate or explicitly exclude from release-candidate scope.</w:t>
            </w:r>
            <w:r/>
          </w:p>
        </w:tc>
      </w:tr>
      <w:tr>
        <w:trPr>
          <w:cantSplit/>
        </w:trPr>
        <w:tc>
          <w:tcPr>
            <w:shd w:val="clear" w:color="auto" w:fill="ffffff"/>
            <w:tcBorders/>
            <w:tcMar>
              <w:left w:w="70" w:type="dxa"/>
              <w:top w:w="55" w:type="dxa"/>
              <w:right w:w="70" w:type="dxa"/>
              <w:bottom w:w="55" w:type="dxa"/>
            </w:tcMar>
            <w:tcW w:w="2410" w:type="dxa"/>
            <w:vAlign w:val="top"/>
          </w:tcPr>
          <w:p>
            <w:pPr>
              <w:pStyle w:val="1088"/>
              <w:pBdr/>
              <w:spacing/>
              <w:ind/>
              <w:rPr/>
            </w:pPr>
            <w:r>
              <w:t xml:space="preserve">Severity 3 - Minor</w:t>
            </w:r>
            <w:r/>
          </w:p>
        </w:tc>
        <w:tc>
          <w:tcPr>
            <w:shd w:val="clear" w:color="auto" w:fill="ffffff"/>
            <w:tcBorders/>
            <w:tcMar>
              <w:left w:w="70" w:type="dxa"/>
              <w:top w:w="55" w:type="dxa"/>
              <w:right w:w="70" w:type="dxa"/>
              <w:bottom w:w="55" w:type="dxa"/>
            </w:tcMar>
            <w:tcW w:w="7596" w:type="dxa"/>
            <w:vAlign w:val="top"/>
          </w:tcPr>
          <w:p>
            <w:pPr>
              <w:pStyle w:val="1088"/>
              <w:pBdr/>
              <w:spacing/>
              <w:ind/>
              <w:rPr/>
            </w:pPr>
            <w:r>
              <w:t xml:space="preserve">Presentation, formatting, redundant metadata, non-substantive naming or documentation defect. May remain open with owner/date if it cannot affect gate evidence.</w:t>
            </w:r>
            <w:r/>
          </w:p>
        </w:tc>
      </w:tr>
    </w:tbl>
    <w:p>
      <w:pPr>
        <w:pStyle w:val="1097"/>
        <w:pBdr/>
        <w:spacing/>
        <w:ind/>
        <w:rPr/>
      </w:pPr>
      <w:r/>
      <w:r/>
    </w:p>
    <w:tbl>
      <w:tblPr>
        <w:jc w:val="center"/>
        <w:tblW w:w="0" w:type="auto"/>
        <w:tblBorders>
          <w:top w:val="single" w:color="a33a3a" w:sz="5" w:space="0"/>
          <w:left w:val="single" w:color="a33a3a" w:sz="5" w:space="0"/>
          <w:bottom w:val="single" w:color="a33a3a" w:sz="5" w:space="0"/>
          <w:right w:val="single" w:color="a33a3a" w:sz="5" w:space="0"/>
          <w:insideH w:val="single" w:color="a33a3a" w:sz="5" w:space="0"/>
          <w:insideV w:val="single" w:color="a33a3a" w:sz="5" w:space="0"/>
        </w:tblBorders>
        <w:tblLayout w:type="fixed"/>
        <w:tblLook w:val="04A0" w:firstRow="1" w:lastRow="0" w:firstColumn="1" w:lastColumn="0" w:noHBand="0" w:noVBand="1"/>
      </w:tblPr>
      <w:tblGrid>
        <w:gridCol w:w="10006"/>
      </w:tblGrid>
      <w:tr>
        <w:trPr>
          <w:cantSplit/>
          <w:tblHeader/>
        </w:trPr>
        <w:tc>
          <w:tcPr>
            <w:shd w:val="clear" w:color="auto" w:fill="fbeaea"/>
            <w:tcBorders/>
            <w:tcMar>
              <w:left w:w="90" w:type="dxa"/>
              <w:top w:w="0" w:type="dxa"/>
              <w:right w:w="90" w:type="dxa"/>
              <w:bottom w:w="65" w:type="dxa"/>
            </w:tcMar>
            <w:tcW w:w="9864" w:type="dxa"/>
            <w:vAlign w:val="center"/>
          </w:tcPr>
          <w:p>
            <w:pPr>
              <w:pStyle w:val="1091"/>
              <w:pBdr/>
              <w:shd w:val="clear" w:color="auto" w:fill="a33a3a"/>
              <w:spacing/>
              <w:ind/>
              <w:rPr/>
            </w:pPr>
            <w:r>
              <w:t xml:space="preserve">Governing: No pass by documentation</w:t>
            </w:r>
            <w:r/>
          </w:p>
          <w:p>
            <w:pPr>
              <w:pStyle w:val="1092"/>
              <w:pBdr/>
              <w:spacing/>
              <w:ind/>
              <w:rPr/>
            </w:pPr>
            <w:r>
              <w:t xml:space="preserve">A completed checklist proves only checklist completion. G2 and G3 req</w:t>
            </w:r>
            <w:r>
              <w:t xml:space="preserve">uire independent coding data; G4 an actual event/artifact chain; G5 an actual governed coverage and release decision; G6 complete Claim and PublicationClaim traceability; and G7 a running production regeneration test. Evidence maturity never authorizes GO.</w:t>
            </w:r>
            <w:r/>
          </w:p>
        </w:tc>
      </w:tr>
    </w:tbl>
    <w:p>
      <w:pPr>
        <w:pStyle w:val="1097"/>
        <w:pBdr/>
        <w:spacing/>
        <w:ind/>
        <w:rPr/>
      </w:pPr>
      <w:r/>
      <w:r/>
    </w:p>
    <w:p>
      <w:pPr>
        <w:pStyle w:val="923"/>
        <w:keepNext w:val="true"/>
        <w:keepLines w:val="true"/>
        <w:pBdr/>
        <w:spacing/>
        <w:ind/>
        <w:rPr/>
      </w:pPr>
      <w:r/>
      <w:bookmarkStart w:id="73" w:name="section_11_synthesis"/>
      <w:r>
        <w:t xml:space="preserve">11. Synthesis protocol</w:t>
      </w:r>
      <w:bookmarkEnd w:id="73"/>
      <w:r/>
      <w:r/>
    </w:p>
    <w:p>
      <w:pPr>
        <w:pStyle w:val="1086"/>
        <w:keepNext w:val="true"/>
        <w:keepLines w:val="true"/>
        <w:pBdr/>
        <w:spacing/>
        <w:ind/>
        <w:rPr/>
      </w:pPr>
      <w:r/>
      <w:bookmarkStart w:id="74" w:name="tbl_synthesis_products"/>
      <w:r>
        <w:t xml:space="preserve">Governing — Synthesis product types</w:t>
      </w:r>
      <w:bookmarkEnd w:id="74"/>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994"/>
        <w:gridCol w:w="7012"/>
      </w:tblGrid>
      <w:tr>
        <w:trPr>
          <w:cantSplit/>
          <w:tblHeader/>
        </w:trPr>
        <w:tc>
          <w:tcPr>
            <w:shd w:val="clear" w:color="auto" w:fill="1f5d7a"/>
            <w:tcBorders/>
            <w:tcMar>
              <w:left w:w="70" w:type="dxa"/>
              <w:top w:w="55" w:type="dxa"/>
              <w:right w:w="70" w:type="dxa"/>
              <w:bottom w:w="55" w:type="dxa"/>
            </w:tcMar>
            <w:tcW w:w="2994" w:type="dxa"/>
            <w:vAlign w:val="top"/>
          </w:tcPr>
          <w:p>
            <w:pPr>
              <w:pStyle w:val="1087"/>
              <w:pBdr/>
              <w:spacing/>
              <w:ind/>
              <w:rPr/>
            </w:pPr>
            <w:r>
              <w:t xml:space="preserve">Product</w:t>
            </w:r>
            <w:r/>
          </w:p>
        </w:tc>
        <w:tc>
          <w:tcPr>
            <w:shd w:val="clear" w:color="auto" w:fill="1f5d7a"/>
            <w:tcBorders/>
            <w:tcMar>
              <w:left w:w="70" w:type="dxa"/>
              <w:top w:w="55" w:type="dxa"/>
              <w:right w:w="70" w:type="dxa"/>
              <w:bottom w:w="55" w:type="dxa"/>
            </w:tcMar>
            <w:tcW w:w="7012" w:type="dxa"/>
            <w:vAlign w:val="top"/>
          </w:tcPr>
          <w:p>
            <w:pPr>
              <w:pStyle w:val="1087"/>
              <w:pBdr/>
              <w:spacing/>
              <w:ind/>
              <w:rPr/>
            </w:pPr>
            <w:r>
              <w:t xml:space="preserve">Definition</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Motif</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Recurring content feature without a claim of deep structural identity.</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Functional family</w:t>
            </w:r>
            <w:r/>
          </w:p>
        </w:tc>
        <w:tc>
          <w:tcPr>
            <w:shd w:val="clear" w:color="auto" w:fill="f4f6f7"/>
            <w:tcBorders/>
            <w:tcMar>
              <w:left w:w="70" w:type="dxa"/>
              <w:top w:w="55" w:type="dxa"/>
              <w:right w:w="70" w:type="dxa"/>
              <w:bottom w:w="55" w:type="dxa"/>
            </w:tcMar>
            <w:tcW w:w="7012" w:type="dxa"/>
            <w:vAlign w:val="top"/>
          </w:tcPr>
          <w:p>
            <w:pPr>
              <w:pStyle w:val="1088"/>
              <w:pBdr/>
              <w:spacing/>
              <w:ind/>
              <w:rPr/>
            </w:pPr>
            <w:r>
              <w:t xml:space="preserve">Different concepts or practices solving a comparable problem.</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Structural architecture</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Recurring relational sequence or organization across Positions.</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Fault line</w:t>
            </w:r>
            <w:r/>
          </w:p>
        </w:tc>
        <w:tc>
          <w:tcPr>
            <w:shd w:val="clear" w:color="auto" w:fill="f4f6f7"/>
            <w:tcBorders/>
            <w:tcMar>
              <w:left w:w="70" w:type="dxa"/>
              <w:top w:w="55" w:type="dxa"/>
              <w:right w:w="70" w:type="dxa"/>
              <w:bottom w:w="55" w:type="dxa"/>
            </w:tcMar>
            <w:tcW w:w="7012" w:type="dxa"/>
            <w:vAlign w:val="top"/>
          </w:tcPr>
          <w:p>
            <w:pPr>
              <w:pStyle w:val="1088"/>
              <w:pBdr/>
              <w:spacing/>
              <w:ind/>
              <w:rPr/>
            </w:pPr>
            <w:r>
              <w:t xml:space="preserve">Stable, scoped axis of incompatibility among claims or structures; not total cultural opposition.</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Genealogical family</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Similarity substantially explained by transmission or shared inheritance.</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Independent convergence candidate</w:t>
            </w:r>
            <w:r/>
          </w:p>
        </w:tc>
        <w:tc>
          <w:tcPr>
            <w:shd w:val="clear" w:color="auto" w:fill="f4f6f7"/>
            <w:tcBorders/>
            <w:tcMar>
              <w:left w:w="70" w:type="dxa"/>
              <w:top w:w="55" w:type="dxa"/>
              <w:right w:w="70" w:type="dxa"/>
              <w:bottom w:w="55" w:type="dxa"/>
            </w:tcMar>
            <w:tcW w:w="7012" w:type="dxa"/>
            <w:vAlign w:val="top"/>
          </w:tcPr>
          <w:p>
            <w:pPr>
              <w:pStyle w:val="1088"/>
              <w:pBdr/>
              <w:spacing/>
              <w:ind/>
              <w:rPr/>
            </w:pPr>
            <w:r>
              <w:t xml:space="preserve">Similar structure in historically independent contexts; independence argued, not assumed.</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Category challenge</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A Position exposes a flaw or parochial assumption in the Atlas schema.</w:t>
            </w:r>
            <w:r/>
          </w:p>
        </w:tc>
      </w:tr>
    </w:tbl>
    <w:p>
      <w:pPr>
        <w:pStyle w:val="1097"/>
        <w:pBdr/>
        <w:spacing/>
        <w:ind/>
        <w:rPr/>
      </w:pPr>
      <w:r/>
      <w:r/>
    </w:p>
    <w:p>
      <w:pPr>
        <w:pStyle w:val="1083"/>
        <w:keepLines w:val="false"/>
        <w:pBdr/>
        <w:spacing/>
        <w:ind/>
        <w:rPr/>
      </w:pPr>
      <w:r>
        <w:t xml:space="preserve">Synthesis level and maturity are independent. L0 is a single-unit observation; L1 a pairwise relation; L2 a cluster pattern; L3 a cross-regional recurrence;</w:t>
      </w:r>
      <w:r>
        <w:t xml:space="preserve"> L4 a provisional global morphology; and L5 a human universal or metaphysical-truth claim outside Atlas database inference. Exact definitions, registration permissions and maturity values are governed in Annex A; full SynthesisRecord fields are in Annex B.</w:t>
      </w:r>
      <w:r/>
    </w:p>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L2 publication rule</w:t>
            </w:r>
            <w:r/>
          </w:p>
          <w:p>
            <w:pPr>
              <w:pStyle w:val="1092"/>
              <w:pBdr/>
              <w:spacing/>
              <w:ind/>
              <w:rPr/>
            </w:pPr>
            <w:r>
              <w:t xml:space="preserve">An L2 candidate may be registered with at least three adequately described Positions and an active counterexample search. Reader-facing recurrence additionally requires a declared selection basis, effective genealogi</w:t>
            </w:r>
            <w:r>
              <w:t xml:space="preserve">cal support, negative-case search, linked counterexamples, material translation and boundary dependencies, sensitivity tests and level-appropriate review. Independent-recurrence language requires at least two adequately argued independent support clusters.</w:t>
            </w:r>
            <w:r/>
          </w:p>
        </w:tc>
      </w:tr>
    </w:tbl>
    <w:p>
      <w:pPr>
        <w:pStyle w:val="1097"/>
        <w:pBdr/>
        <w:spacing/>
        <w:ind/>
        <w:rPr/>
      </w:pPr>
      <w:r/>
      <w:r/>
    </w:p>
    <w:tbl>
      <w:tblPr>
        <w:jc w:val="center"/>
        <w:tblW w:w="0" w:type="auto"/>
        <w:tblBorders>
          <w:top w:val="single" w:color="a26a18" w:sz="5" w:space="0"/>
          <w:left w:val="single" w:color="a26a18" w:sz="5" w:space="0"/>
          <w:bottom w:val="single" w:color="a26a18" w:sz="5" w:space="0"/>
          <w:right w:val="single" w:color="a26a18" w:sz="5" w:space="0"/>
          <w:insideH w:val="single" w:color="a26a18" w:sz="5" w:space="0"/>
          <w:insideV w:val="single" w:color="a26a18" w:sz="5" w:space="0"/>
        </w:tblBorders>
        <w:tblLayout w:type="fixed"/>
        <w:tblLook w:val="04A0" w:firstRow="1" w:lastRow="0" w:firstColumn="1" w:lastColumn="0" w:noHBand="0" w:noVBand="1"/>
      </w:tblPr>
      <w:tblGrid>
        <w:gridCol w:w="10006"/>
      </w:tblGrid>
      <w:tr>
        <w:trPr>
          <w:cantSplit/>
          <w:tblHeader/>
        </w:trPr>
        <w:tc>
          <w:tcPr>
            <w:shd w:val="clear" w:color="auto" w:fill="fff4df"/>
            <w:tcBorders/>
            <w:tcMar>
              <w:left w:w="90" w:type="dxa"/>
              <w:top w:w="0" w:type="dxa"/>
              <w:right w:w="90" w:type="dxa"/>
              <w:bottom w:w="65" w:type="dxa"/>
            </w:tcMar>
            <w:tcW w:w="9864" w:type="dxa"/>
            <w:vAlign w:val="center"/>
          </w:tcPr>
          <w:p>
            <w:pPr>
              <w:pStyle w:val="1091"/>
              <w:pBdr/>
              <w:shd w:val="clear" w:color="auto" w:fill="a26a18"/>
              <w:spacing/>
              <w:ind/>
              <w:rPr/>
            </w:pPr>
            <w:r>
              <w:t xml:space="preserve">Governing: Current synthesis ceiling</w:t>
            </w:r>
            <w:r/>
          </w:p>
          <w:p>
            <w:pPr>
              <w:pStyle w:val="1092"/>
              <w:pBdr/>
              <w:spacing/>
              <w:ind/>
              <w:rPr/>
            </w:pPr>
            <w:r>
              <w:t xml:space="preserve">The project MAY use L0–L2 findings in current man</w:t>
            </w:r>
            <w:r>
              <w:t xml:space="preserve">uscript research and planning. L3–L4 remain gated by broader coverage, genealogy/independence, negative-case and review requirements. L5 is never inferable from the Atlas database alone. Document completion does not make a SynthesisRecord release-eligible.</w:t>
            </w:r>
            <w:r/>
          </w:p>
        </w:tc>
      </w:tr>
    </w:tbl>
    <w:p>
      <w:pPr>
        <w:pStyle w:val="1097"/>
        <w:pBdr/>
        <w:spacing/>
        <w:ind/>
        <w:rPr/>
      </w:pPr>
      <w:r/>
      <w:r/>
    </w:p>
    <w:p>
      <w:pPr>
        <w:pStyle w:val="1084"/>
        <w:keepLines w:val="false"/>
        <w:pBdr/>
        <w:spacing/>
        <w:ind/>
        <w:rPr/>
      </w:pPr>
      <w:r>
        <w:t xml:space="preserve">• Shared ancestry or known transmission reduces evidential weight for independent-convergence claims, though it may strengthen genealogical analysis.</w:t>
      </w:r>
      <w:r/>
    </w:p>
    <w:p>
      <w:pPr>
        <w:pStyle w:val="1084"/>
        <w:keepLines w:val="false"/>
        <w:pBdr/>
        <w:spacing/>
        <w:ind/>
        <w:rPr/>
      </w:pPr>
      <w:r>
        <w:t xml:space="preserve">• Parallel terminology in contact zones is investigated genealogically before being treated as spontaneous similarity.</w:t>
      </w:r>
      <w:r/>
    </w:p>
    <w:p>
      <w:pPr>
        <w:pStyle w:val="1084"/>
        <w:keepLines w:val="false"/>
        <w:pBdr/>
        <w:spacing/>
        <w:ind/>
        <w:rPr/>
      </w:pPr>
      <w:r>
        <w:t xml:space="preserve">• Every L2+ SynthesisRecord links counterexamples and states whether they falsify, delimit or refine the pattern.</w:t>
      </w:r>
      <w:r/>
    </w:p>
    <w:p>
      <w:pPr>
        <w:pStyle w:val="1084"/>
        <w:keepLines w:val="false"/>
        <w:pBdr/>
        <w:spacing/>
        <w:ind/>
        <w:rPr/>
      </w:pPr>
      <w:r>
        <w:t xml:space="preserve">• Every reader-facing L2 recurrence states its selection basis, material translation and Position-boundary dependencies and sensitivity results.</w:t>
      </w:r>
      <w:r/>
    </w:p>
    <w:p>
      <w:pPr>
        <w:pStyle w:val="1084"/>
        <w:keepLines w:val="false"/>
        <w:pBdr/>
        <w:spacing/>
        <w:ind/>
        <w:rPr/>
      </w:pPr>
      <w:r>
        <w:t xml:space="preserve">• A cross-domai</w:t>
      </w:r>
      <w:r>
        <w:t xml:space="preserve">n synthesis linking ontology, epistemic access, diagnosis and transformation states the exact direction and scope of each link, includes uncoupled, negative and category-refusing cases, and does not infer subjecthood or epistemic access from consciousness.</w:t>
      </w:r>
      <w:r/>
    </w:p>
    <w:p>
      <w:pPr>
        <w:pStyle w:val="1084"/>
        <w:keepLines w:val="false"/>
        <w:pBdr/>
        <w:spacing/>
        <w:ind w:firstLine="0" w:left="317"/>
        <w:rPr/>
      </w:pPr>
      <w:r>
        <w:t xml:space="preserve">A cross-pattern audit of existing SynthesisRecords does not itself authorize a new recurrence claim. Any new cluster relation must be registered and reviewed under §11; recording it in a PublicationClaim does not satisfy those requirements.</w:t>
      </w:r>
      <w:r/>
    </w:p>
    <w:p>
      <w:pPr>
        <w:pStyle w:val="1084"/>
        <w:keepLines w:val="false"/>
        <w:pBdr/>
        <w:spacing/>
        <w:ind w:firstLine="0" w:left="317"/>
        <w:rPr/>
      </w:pPr>
      <w:r>
        <w:t xml:space="preserve">No recurring relation among being, knowing and becoming is treated as a universal sequence or evidence of truth.</w:t>
      </w:r>
      <w:r/>
    </w:p>
    <w:p>
      <w:pPr>
        <w:pStyle w:val="1084"/>
        <w:keepLines w:val="false"/>
        <w:pBdr/>
        <w:spacing/>
        <w:ind/>
        <w:rPr/>
      </w:pPr>
      <w:r>
        <w:t xml:space="preserve">• Graph centrality, frequency or corpus survival is not evidence of philosophical importance, historical priority or truth.</w:t>
      </w:r>
      <w:r/>
    </w:p>
    <w:p>
      <w:pPr>
        <w:pStyle w:val="923"/>
        <w:keepNext w:val="true"/>
        <w:keepLines w:val="true"/>
        <w:pBdr/>
        <w:spacing/>
        <w:ind/>
        <w:rPr/>
      </w:pPr>
      <w:r/>
      <w:bookmarkStart w:id="75" w:name="section_12_publication"/>
      <w:r>
        <w:t xml:space="preserve">12. Publication interface and public-claims discipline</w:t>
      </w:r>
      <w:bookmarkEnd w:id="75"/>
      <w:r/>
      <w:r/>
    </w:p>
    <w:p>
      <w:pPr>
        <w:pStyle w:val="1083"/>
        <w:keepLines w:val="false"/>
        <w:pBdr/>
        <w:spacing/>
        <w:ind/>
        <w:rPr/>
      </w:pPr>
      <w:r>
        <w:t xml:space="preserve">Publication Architecture Specification governs editorial selection and organization: corpus roles, chapter architecture, coverage priorities, research gaps, reader journey and print/digital allocation. This speci</w:t>
      </w:r>
      <w:r>
        <w:t xml:space="preserve">fication governs whether the supporting research, evidence, comparisons, provenance, representation, validation, synthesis and PublicationClaim chains are valid and releasable. The four-layer authority model in §8 controls the evidence-to-publication flow.</w:t>
      </w:r>
      <w:r/>
    </w:p>
    <w:p>
      <w:pPr>
        <w:pStyle w:val="1083"/>
        <w:keepLines w:val="false"/>
        <w:pBdr/>
        <w:spacing/>
        <w:ind/>
        <w:rPr/>
      </w:pPr>
      <w:r>
        <w:t xml:space="preserve">Manuscript prose remains human-authored for argument, readability and int</w:t>
      </w:r>
      <w:r>
        <w:t xml:space="preserve">erpretation. Factual attributions trace to canonical Claim/Evidence chains; thesis-bearing inferences trace through PublicationClaim records. Publication Architecture may select validated material but cannot weaken evidence, readiness or gate requirements.</w:t>
      </w:r>
      <w:r/>
    </w:p>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PublicationClaim traceability</w:t>
            </w:r>
            <w:r/>
          </w:p>
          <w:p>
            <w:pPr>
              <w:pStyle w:val="1092"/>
              <w:pBdr/>
              <w:spacing/>
              <w:ind/>
              <w:rPr/>
            </w:pPr>
            <w:r>
              <w:t xml:space="preserve">Every thesis-bearing publication claim MUST resolve to canonical premises and record its infe</w:t>
            </w:r>
            <w:r>
              <w:t xml:space="preserve">rence rationale, scope, material disanalogies or counterexamples, synthesis level where applicable, review status and prohibited stronger reading. Human prose may synthesize and explain, but it may not become an untracked factual or inferential data store.</w:t>
            </w:r>
            <w:r/>
          </w:p>
        </w:tc>
      </w:tr>
    </w:tbl>
    <w:p>
      <w:pPr>
        <w:pStyle w:val="1097"/>
        <w:pBdr/>
        <w:spacing/>
        <w:ind/>
        <w:rPr/>
      </w:pPr>
      <w:r/>
      <w:r/>
    </w:p>
    <w:p>
      <w:pPr>
        <w:pStyle w:val="1083"/>
        <w:keepLines w:val="false"/>
        <w:pBdr/>
        <w:spacing/>
        <w:ind/>
        <w:rPr/>
      </w:pPr>
      <w:r>
        <w:t xml:space="preserve">Print is authoritative as an authored argument at its declared publication version. Its factu</w:t>
      </w:r>
      <w:r>
        <w:t xml:space="preserve">al attributions, factual exhibits and thesis-bearing claims trace to the Canonical Evidence Store and named canonical build. Comparative matrices and fault-line analyses query the same facts rather than maintaining independently authored factual summaries.</w:t>
      </w:r>
      <w:r/>
    </w:p>
    <w:p>
      <w:pPr>
        <w:pStyle w:val="1083"/>
        <w:keepLines w:val="false"/>
        <w:pBdr/>
        <w:spacing/>
        <w:ind/>
        <w:rPr/>
      </w:pPr>
      <w:r>
        <w:t xml:space="preserve">Publication-facing consequences of research gaps and unresolved project gates are maintained in Publication Architecture Specification, section 12. That dependency register does not maintain duplicate live GateRun verdicts.</w:t>
      </w:r>
      <w:r/>
    </w:p>
    <w:p>
      <w:pPr>
        <w:pStyle w:val="924"/>
        <w:keepNext w:val="true"/>
        <w:keepLines w:val="true"/>
        <w:pBdr/>
        <w:spacing/>
        <w:ind/>
        <w:rPr/>
      </w:pPr>
      <w:r/>
      <w:bookmarkStart w:id="76" w:name="s12_1_novelty"/>
      <w:r>
        <w:t xml:space="preserve">12.1 Novelty and public claims</w:t>
      </w:r>
      <w:bookmarkEnd w:id="76"/>
      <w:r/>
      <w:r/>
    </w:p>
    <w:p>
      <w:pPr>
        <w:pStyle w:val="1083"/>
        <w:keepLines w:val="false"/>
        <w:pBdr/>
        <w:spacing/>
        <w:ind/>
        <w:rPr/>
      </w:pPr>
      <w:r>
        <w:t xml:space="preserve">As of 19 August 2026, substantial prior art exists for worldview comparison, comparative philosophy and religion, structured religion/history databases, philosophy ontologies, provenance standard</w:t>
      </w:r>
      <w:r>
        <w:t xml:space="preserve">s, graph validation, multilingual concept representation, typed relations, philosophy knowledge graphs, philosophy-as-way-of-life research and transformative-philosophy research. None of those components or themes supports an Atlas novelty claim by itself.</w:t>
      </w:r>
      <w:r/>
    </w:p>
    <w:tbl>
      <w:tblPr>
        <w:jc w:val="center"/>
        <w:tblW w:w="0" w:type="auto"/>
        <w:tblBorders>
          <w:top w:val="single" w:color="17465c" w:sz="5" w:space="0"/>
          <w:left w:val="single" w:color="17465c" w:sz="5" w:space="0"/>
          <w:bottom w:val="single" w:color="17465c" w:sz="5" w:space="0"/>
          <w:right w:val="single" w:color="17465c" w:sz="5" w:space="0"/>
          <w:insideH w:val="single" w:color="17465c" w:sz="5" w:space="0"/>
          <w:insideV w:val="single" w:color="17465c"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7465c"/>
              <w:spacing/>
              <w:ind/>
              <w:rPr/>
            </w:pPr>
            <w:r>
              <w:t xml:space="preserve">Governing: Permissible positioning</w:t>
            </w:r>
            <w:r/>
          </w:p>
          <w:p>
            <w:pPr>
              <w:pStyle w:val="1092"/>
              <w:pBdr/>
              <w:spacing/>
              <w:ind/>
              <w:rPr/>
            </w:pPr>
            <w:r>
              <w:t xml:space="preserve">The </w:t>
            </w:r>
            <w:r>
              <w:t xml:space="preserve">Atlas may be described as a source-sensitive comparative research and publication architecture designed to generate structured reference views and narrative publication. Its distinctive target is to integrate bounded Positions, claim-level provenance, expl</w:t>
            </w:r>
            <w:r>
              <w:t xml:space="preserve">icit answer and non-answer states, concept-level translation control, internal-plurality safeguards, typed comparative relations with mandatory disanalogy and genealogy status, source-community governance and gated synthesis in one multi-resolution system.</w:t>
            </w:r>
            <w:r/>
          </w:p>
          <w:p>
            <w:pPr>
              <w:pStyle w:val="1092"/>
              <w:pBdr/>
              <w:spacing/>
              <w:ind/>
              <w:rPr/>
            </w:pPr>
            <w:r>
              <w:t xml:space="preserve">Its narrative argument may additionally be described as comparing how Positions connect or separate claims about reality, epistemic authority and ac</w:t>
            </w:r>
            <w:r>
              <w:t xml:space="preserve">cess, diagnosis and transformative praxis. Where source-grounded and applicable, this includes qualifications of knowing or of a knower or subject. This is an integration claim, not a claim of historical priority, universal structure or metaphysical truth.</w:t>
            </w:r>
            <w:r/>
          </w:p>
        </w:tc>
      </w:tr>
    </w:tbl>
    <w:p>
      <w:pPr>
        <w:pStyle w:val="1097"/>
        <w:pBdr/>
        <w:spacing/>
        <w:ind/>
        <w:rPr/>
      </w:pPr>
      <w:r/>
      <w:r/>
    </w:p>
    <w:p>
      <w:pPr>
        <w:pStyle w:val="1084"/>
        <w:keepLines w:val="false"/>
        <w:pBdr/>
        <w:spacing/>
        <w:ind/>
        <w:rPr/>
      </w:pPr>
      <w:r>
        <w:t xml:space="preserve">• Do not use “first-ever” or absolute historical-priority claims.</w:t>
      </w:r>
      <w:r/>
    </w:p>
    <w:p>
      <w:pPr>
        <w:pStyle w:val="1084"/>
        <w:keepLines w:val="false"/>
        <w:pBdr/>
        <w:spacing/>
        <w:ind/>
        <w:rPr/>
      </w:pPr>
      <w:r>
        <w:t xml:space="preserve">• Do not call the Atlas “the first global map of worldviews.”</w:t>
      </w:r>
      <w:r/>
    </w:p>
    <w:p>
      <w:pPr>
        <w:pStyle w:val="1084"/>
        <w:keepLines w:val="false"/>
        <w:pBdr/>
        <w:spacing/>
        <w:ind/>
        <w:rPr/>
      </w:pPr>
      <w:r>
        <w:t xml:space="preserve">• Do not claim it is “unique in history.”</w:t>
      </w:r>
      <w:r/>
    </w:p>
    <w:p>
      <w:pPr>
        <w:pStyle w:val="1084"/>
        <w:keepLines w:val="false"/>
        <w:pBdr/>
        <w:spacing/>
        <w:ind/>
        <w:rPr/>
      </w:pPr>
      <w:r>
        <w:t xml:space="preserve">• Do not call it “the first philosophy knowledge graph.”</w:t>
      </w:r>
      <w:r/>
    </w:p>
    <w:p>
      <w:pPr>
        <w:pStyle w:val="1084"/>
        <w:keepLines w:val="false"/>
        <w:pBdr/>
        <w:spacing/>
        <w:ind/>
        <w:rPr/>
      </w:pPr>
      <w:r>
        <w:t xml:space="preserve">• Do not call it “the first multilingual comparative ontology.”</w:t>
      </w:r>
      <w:r/>
    </w:p>
    <w:p>
      <w:pPr>
        <w:pStyle w:val="1084"/>
        <w:keepLines w:val="false"/>
        <w:pBdr/>
        <w:spacing/>
        <w:ind/>
        <w:rPr/>
      </w:pPr>
      <w:r>
        <w:t xml:space="preserve">• Do not claim that recurrence proves universal metaphysical structures or metaphysical truth.</w:t>
      </w:r>
      <w:r/>
    </w:p>
    <w:p>
      <w:pPr>
        <w:pStyle w:val="1083"/>
        <w:keepLines w:val="false"/>
        <w:pBdr/>
        <w:spacing/>
        <w:ind/>
        <w:rPr/>
      </w:pPr>
      <w:r>
        <w:t xml:space="preserve">Novelty status is dated. G8 MUST be rerun immediately before public submission or publication originality language if the existing review is no longer contemporaneous. Preprints and conference submissions are not automatical</w:t>
      </w:r>
      <w:r>
        <w:t xml:space="preserve">ly equated with mature peer-reviewed infrastructures. Publication Architecture Specification and other project documents inherit the permissible positioning, prohibitions and refresh discipline here rather than maintaining independent originality language.</w:t>
      </w:r>
      <w:r/>
    </w:p>
    <w:p>
      <w:pPr>
        <w:pStyle w:val="923"/>
        <w:keepNext w:val="true"/>
        <w:keepLines w:val="true"/>
        <w:pBdr/>
        <w:spacing/>
        <w:ind/>
        <w:rPr/>
      </w:pPr>
      <w:r/>
      <w:bookmarkStart w:id="77" w:name="section_13_change_control"/>
      <w:r>
        <w:t xml:space="preserve">13. Change control</w:t>
      </w:r>
      <w:bookmarkEnd w:id="77"/>
      <w:r/>
      <w:r/>
    </w:p>
    <w:p>
      <w:pPr>
        <w:pStyle w:val="1086"/>
        <w:keepNext w:val="true"/>
        <w:keepLines w:val="true"/>
        <w:pBdr/>
        <w:spacing/>
        <w:ind/>
        <w:rPr/>
      </w:pPr>
      <w:r/>
      <w:bookmarkStart w:id="78" w:name="tbl_change_control_areas"/>
      <w:r>
        <w:t xml:space="preserve">Governing — Governed invariants, implementation choices and editorial baseline</w:t>
      </w:r>
      <w:bookmarkEnd w:id="78"/>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3287"/>
        <w:gridCol w:w="6719"/>
      </w:tblGrid>
      <w:tr>
        <w:trPr>
          <w:cantSplit/>
          <w:tblHeader/>
        </w:trPr>
        <w:tc>
          <w:tcPr>
            <w:shd w:val="clear" w:color="auto" w:fill="1f5d7a"/>
            <w:tcBorders/>
            <w:tcMar>
              <w:left w:w="55" w:type="dxa"/>
              <w:top w:w="45" w:type="dxa"/>
              <w:right w:w="55" w:type="dxa"/>
              <w:bottom w:w="45" w:type="dxa"/>
            </w:tcMar>
            <w:tcW w:w="3287" w:type="dxa"/>
            <w:vAlign w:val="top"/>
          </w:tcPr>
          <w:p>
            <w:pPr>
              <w:pStyle w:val="1090"/>
              <w:pBdr/>
              <w:spacing/>
              <w:ind/>
              <w:rPr/>
            </w:pPr>
            <w:r>
              <w:t xml:space="preserve">Area</w:t>
            </w:r>
            <w:r/>
          </w:p>
        </w:tc>
        <w:tc>
          <w:tcPr>
            <w:shd w:val="clear" w:color="auto" w:fill="1f5d7a"/>
            <w:tcBorders/>
            <w:tcMar>
              <w:left w:w="55" w:type="dxa"/>
              <w:top w:w="45" w:type="dxa"/>
              <w:right w:w="55" w:type="dxa"/>
              <w:bottom w:w="45" w:type="dxa"/>
            </w:tcMar>
            <w:tcW w:w="6719" w:type="dxa"/>
            <w:vAlign w:val="top"/>
          </w:tcPr>
          <w:p>
            <w:pPr>
              <w:pStyle w:val="1090"/>
              <w:pBdr/>
              <w:spacing/>
              <w:ind/>
              <w:rPr/>
            </w:pPr>
            <w:r>
              <w:t xml:space="preserve">Governance status / rule</w:t>
            </w:r>
            <w:r/>
          </w:p>
        </w:tc>
      </w:tr>
      <w:tr>
        <w:trPr>
          <w:cantSplit/>
        </w:trPr>
        <w:tc>
          <w:tcPr>
            <w:shd w:val="clear" w:color="auto" w:fill="ffffff"/>
            <w:tcBorders/>
            <w:tcMar>
              <w:left w:w="55" w:type="dxa"/>
              <w:top w:w="45" w:type="dxa"/>
              <w:right w:w="55" w:type="dxa"/>
              <w:bottom w:w="45" w:type="dxa"/>
            </w:tcMar>
            <w:tcW w:w="3287" w:type="dxa"/>
            <w:vAlign w:val="top"/>
          </w:tcPr>
          <w:p>
            <w:pPr>
              <w:pStyle w:val="1089"/>
              <w:pBdr/>
              <w:spacing/>
              <w:ind/>
              <w:rPr/>
            </w:pPr>
            <w:r>
              <w:t xml:space="preserve">Core domains D1-D15</w:t>
            </w:r>
            <w:r/>
          </w:p>
        </w:tc>
        <w:tc>
          <w:tcPr>
            <w:shd w:val="clear" w:color="auto" w:fill="ffffff"/>
            <w:tcBorders/>
            <w:tcMar>
              <w:left w:w="55" w:type="dxa"/>
              <w:top w:w="45" w:type="dxa"/>
              <w:right w:w="55" w:type="dxa"/>
              <w:bottom w:w="45" w:type="dxa"/>
            </w:tcMar>
            <w:tcW w:w="6719" w:type="dxa"/>
            <w:vAlign w:val="top"/>
          </w:tcPr>
          <w:p>
            <w:pPr>
              <w:pStyle w:val="1089"/>
              <w:pBdr/>
              <w:spacing/>
              <w:ind/>
              <w:rPr/>
            </w:pPr>
            <w:r>
              <w:t xml:space="preserve">GOVERNED INVARIANT - change control required. Constitutive domain changes require evidence of repeated structural failure and formal methodological revision.</w:t>
            </w:r>
            <w:r/>
          </w:p>
        </w:tc>
      </w:tr>
      <w:tr>
        <w:trPr>
          <w:cantSplit/>
        </w:trPr>
        <w:tc>
          <w:tcPr>
            <w:shd w:val="clear" w:color="auto" w:fill="f4f6f7"/>
            <w:tcBorders/>
            <w:tcMar>
              <w:left w:w="55" w:type="dxa"/>
              <w:top w:w="45" w:type="dxa"/>
              <w:right w:w="55" w:type="dxa"/>
              <w:bottom w:w="45" w:type="dxa"/>
            </w:tcMar>
            <w:tcW w:w="3287" w:type="dxa"/>
            <w:vAlign w:val="top"/>
          </w:tcPr>
          <w:p>
            <w:pPr>
              <w:pStyle w:val="1089"/>
              <w:pBdr/>
              <w:spacing/>
              <w:ind/>
              <w:rPr/>
            </w:pPr>
            <w:r>
              <w:t xml:space="preserve">Primary response states + CAT</w:t>
            </w:r>
            <w:r/>
          </w:p>
        </w:tc>
        <w:tc>
          <w:tcPr>
            <w:shd w:val="clear" w:color="auto" w:fill="f4f6f7"/>
            <w:tcBorders/>
            <w:tcMar>
              <w:left w:w="55" w:type="dxa"/>
              <w:top w:w="45" w:type="dxa"/>
              <w:right w:w="55" w:type="dxa"/>
              <w:bottom w:w="45" w:type="dxa"/>
            </w:tcMar>
            <w:tcW w:w="6719" w:type="dxa"/>
            <w:vAlign w:val="top"/>
          </w:tcPr>
          <w:p>
            <w:pPr>
              <w:pStyle w:val="1089"/>
              <w:pBdr/>
              <w:spacing/>
              <w:ind/>
              <w:rPr/>
            </w:pPr>
            <w:r>
              <w:t xml:space="preserve">GOVERNED INVARIANT - change control required. Meanings are governed; examples and training material may expand without changing them. VAR boundary assessment and CAT orthogonality cannot be weakened.</w:t>
            </w:r>
            <w:r/>
          </w:p>
        </w:tc>
      </w:tr>
      <w:tr>
        <w:trPr>
          <w:cantSplit/>
        </w:trPr>
        <w:tc>
          <w:tcPr>
            <w:shd w:val="clear" w:color="auto" w:fill="ffffff"/>
            <w:tcBorders/>
            <w:tcMar>
              <w:left w:w="55" w:type="dxa"/>
              <w:top w:w="45" w:type="dxa"/>
              <w:right w:w="55" w:type="dxa"/>
              <w:bottom w:w="45" w:type="dxa"/>
            </w:tcMar>
            <w:tcW w:w="3287" w:type="dxa"/>
            <w:vAlign w:val="top"/>
          </w:tcPr>
          <w:p>
            <w:pPr>
              <w:pStyle w:val="1089"/>
              <w:pBdr/>
              <w:spacing/>
              <w:ind/>
              <w:rPr/>
            </w:pPr>
            <w:r>
              <w:t xml:space="preserve">Claim attachment / origin</w:t>
            </w:r>
            <w:r/>
          </w:p>
        </w:tc>
        <w:tc>
          <w:tcPr>
            <w:shd w:val="clear" w:color="auto" w:fill="ffffff"/>
            <w:tcBorders/>
            <w:tcMar>
              <w:left w:w="55" w:type="dxa"/>
              <w:top w:w="45" w:type="dxa"/>
              <w:right w:w="55" w:type="dxa"/>
              <w:bottom w:w="45" w:type="dxa"/>
            </w:tcMar>
            <w:tcW w:w="6719" w:type="dxa"/>
            <w:vAlign w:val="top"/>
          </w:tcPr>
          <w:p>
            <w:pPr>
              <w:pStyle w:val="1089"/>
              <w:pBdr/>
              <w:spacing/>
              <w:ind/>
              <w:rPr/>
            </w:pPr>
            <w:r>
              <w:t xml:space="preserve">GOVERNED INVARIANT - change control required. Meanings are governed; implementations may add non-conflicting metadata.</w:t>
            </w:r>
            <w:r/>
          </w:p>
        </w:tc>
      </w:tr>
      <w:tr>
        <w:trPr>
          <w:cantSplit/>
        </w:trPr>
        <w:tc>
          <w:tcPr>
            <w:shd w:val="clear" w:color="auto" w:fill="f4f6f7"/>
            <w:tcBorders/>
            <w:tcMar>
              <w:left w:w="55" w:type="dxa"/>
              <w:top w:w="45" w:type="dxa"/>
              <w:right w:w="55" w:type="dxa"/>
              <w:bottom w:w="45" w:type="dxa"/>
            </w:tcMar>
            <w:tcW w:w="3287" w:type="dxa"/>
            <w:vAlign w:val="top"/>
          </w:tcPr>
          <w:p>
            <w:pPr>
              <w:pStyle w:val="1089"/>
              <w:pBdr/>
              <w:spacing/>
              <w:ind/>
              <w:rPr/>
            </w:pPr>
            <w:r>
              <w:t xml:space="preserve">Orthogonal source model</w:t>
            </w:r>
            <w:r/>
          </w:p>
        </w:tc>
        <w:tc>
          <w:tcPr>
            <w:shd w:val="clear" w:color="auto" w:fill="f4f6f7"/>
            <w:tcBorders/>
            <w:tcMar>
              <w:left w:w="55" w:type="dxa"/>
              <w:top w:w="45" w:type="dxa"/>
              <w:right w:w="55" w:type="dxa"/>
              <w:bottom w:w="45" w:type="dxa"/>
            </w:tcMar>
            <w:tcW w:w="6719" w:type="dxa"/>
            <w:vAlign w:val="top"/>
          </w:tcPr>
          <w:p>
            <w:pPr>
              <w:pStyle w:val="1089"/>
              <w:pBdr/>
              <w:spacing/>
              <w:ind/>
              <w:rPr/>
            </w:pPr>
            <w:r>
              <w:t xml:space="preserve">GOVERNED INVARIANT - source proximity, source form, authority relation and EvidenceLink role remain separate.</w:t>
            </w:r>
            <w:r/>
          </w:p>
        </w:tc>
      </w:tr>
      <w:tr>
        <w:trPr>
          <w:cantSplit/>
        </w:trPr>
        <w:tc>
          <w:tcPr>
            <w:shd w:val="clear" w:color="auto" w:fill="ffffff"/>
            <w:tcBorders/>
            <w:tcMar>
              <w:left w:w="55" w:type="dxa"/>
              <w:top w:w="45" w:type="dxa"/>
              <w:right w:w="55" w:type="dxa"/>
              <w:bottom w:w="45" w:type="dxa"/>
            </w:tcMar>
            <w:tcW w:w="3287" w:type="dxa"/>
            <w:vAlign w:val="top"/>
          </w:tcPr>
          <w:p>
            <w:pPr>
              <w:pStyle w:val="1089"/>
              <w:pBdr/>
              <w:spacing/>
              <w:ind/>
              <w:rPr/>
            </w:pPr>
            <w:r>
              <w:t xml:space="preserve">Comparison relation taxonomy and coherence</w:t>
            </w:r>
            <w:r/>
          </w:p>
        </w:tc>
        <w:tc>
          <w:tcPr>
            <w:shd w:val="clear" w:color="auto" w:fill="ffffff"/>
            <w:tcBorders/>
            <w:tcMar>
              <w:left w:w="55" w:type="dxa"/>
              <w:top w:w="45" w:type="dxa"/>
              <w:right w:w="55" w:type="dxa"/>
              <w:bottom w:w="45" w:type="dxa"/>
            </w:tcMar>
            <w:tcW w:w="6719" w:type="dxa"/>
            <w:vAlign w:val="top"/>
          </w:tcPr>
          <w:p>
            <w:pPr>
              <w:pStyle w:val="1089"/>
              <w:pBdr/>
              <w:spacing/>
              <w:ind/>
              <w:rPr/>
            </w:pPr>
            <w:r>
              <w:t xml:space="preserve">GOVERNED INVARIANT - meanings, proposition scope, disanalogy links, tertium validity and same-key coherence burdens are governed; examples and review guidance may expand.</w:t>
            </w:r>
            <w:r/>
          </w:p>
        </w:tc>
      </w:tr>
      <w:tr>
        <w:trPr>
          <w:cantSplit/>
        </w:trPr>
        <w:tc>
          <w:tcPr>
            <w:shd w:val="clear" w:color="auto" w:fill="f4f6f7"/>
            <w:tcBorders/>
            <w:tcMar>
              <w:left w:w="55" w:type="dxa"/>
              <w:top w:w="45" w:type="dxa"/>
              <w:right w:w="55" w:type="dxa"/>
              <w:bottom w:w="45" w:type="dxa"/>
            </w:tcMar>
            <w:tcW w:w="3287" w:type="dxa"/>
            <w:vAlign w:val="top"/>
          </w:tcPr>
          <w:p>
            <w:pPr>
              <w:pStyle w:val="1089"/>
              <w:pBdr/>
              <w:spacing/>
              <w:ind/>
              <w:rPr/>
            </w:pPr>
            <w:r>
              <w:t xml:space="preserve">Provenance / rights / community requirements</w:t>
            </w:r>
            <w:r/>
          </w:p>
        </w:tc>
        <w:tc>
          <w:tcPr>
            <w:shd w:val="clear" w:color="auto" w:fill="f4f6f7"/>
            <w:tcBorders/>
            <w:tcMar>
              <w:left w:w="55" w:type="dxa"/>
              <w:top w:w="45" w:type="dxa"/>
              <w:right w:w="55" w:type="dxa"/>
              <w:bottom w:w="45" w:type="dxa"/>
            </w:tcMar>
            <w:tcW w:w="6719" w:type="dxa"/>
            <w:vAlign w:val="top"/>
          </w:tcPr>
          <w:p>
            <w:pPr>
              <w:pStyle w:val="1089"/>
              <w:pBdr/>
              <w:spacing/>
              <w:ind/>
              <w:rPr/>
            </w:pPr>
            <w:r>
              <w:t xml:space="preserve">GOVERNED INVARIANT - minimum burdens are governed; community-specific protocols may impose stricter controls.</w:t>
            </w:r>
            <w:r/>
          </w:p>
        </w:tc>
      </w:tr>
      <w:tr>
        <w:trPr>
          <w:cantSplit/>
        </w:trPr>
        <w:tc>
          <w:tcPr>
            <w:shd w:val="clear" w:color="auto" w:fill="ffffff"/>
            <w:tcBorders/>
            <w:tcMar>
              <w:left w:w="55" w:type="dxa"/>
              <w:top w:w="45" w:type="dxa"/>
              <w:right w:w="55" w:type="dxa"/>
              <w:bottom w:w="45" w:type="dxa"/>
            </w:tcMar>
            <w:tcW w:w="3287" w:type="dxa"/>
            <w:vAlign w:val="top"/>
          </w:tcPr>
          <w:p>
            <w:pPr>
              <w:pStyle w:val="1089"/>
              <w:pBdr/>
              <w:spacing/>
              <w:ind/>
              <w:rPr/>
            </w:pPr>
            <w:r>
              <w:t xml:space="preserve">Status and readiness axes</w:t>
            </w:r>
            <w:r/>
          </w:p>
        </w:tc>
        <w:tc>
          <w:tcPr>
            <w:shd w:val="clear" w:color="auto" w:fill="ffffff"/>
            <w:tcBorders/>
            <w:tcMar>
              <w:left w:w="55" w:type="dxa"/>
              <w:top w:w="45" w:type="dxa"/>
              <w:right w:w="55" w:type="dxa"/>
              <w:bottom w:w="45" w:type="dxa"/>
            </w:tcMar>
            <w:tcW w:w="6719" w:type="dxa"/>
            <w:vAlign w:val="top"/>
          </w:tcPr>
          <w:p>
            <w:pPr>
              <w:pStyle w:val="1089"/>
              <w:pBdr/>
              <w:spacing/>
              <w:ind/>
              <w:rPr/>
            </w:pPr>
            <w:r>
              <w:t xml:space="preserve">GOVERNED INVARIANT - gate verdict, evidence maturity, criterion result, representation readiness, editorial role, planning confidence, validation dependency, synthesis level and maturity remain separate.</w:t>
            </w:r>
            <w:r/>
          </w:p>
        </w:tc>
      </w:tr>
      <w:tr>
        <w:trPr>
          <w:cantSplit/>
        </w:trPr>
        <w:tc>
          <w:tcPr>
            <w:shd w:val="clear" w:color="auto" w:fill="f4f6f7"/>
            <w:tcBorders/>
            <w:tcMar>
              <w:left w:w="55" w:type="dxa"/>
              <w:top w:w="45" w:type="dxa"/>
              <w:right w:w="55" w:type="dxa"/>
              <w:bottom w:w="45" w:type="dxa"/>
            </w:tcMar>
            <w:tcW w:w="3287" w:type="dxa"/>
            <w:vAlign w:val="top"/>
          </w:tcPr>
          <w:p>
            <w:pPr>
              <w:pStyle w:val="1089"/>
              <w:pBdr/>
              <w:spacing/>
              <w:ind/>
              <w:rPr/>
            </w:pPr>
            <w:r>
              <w:t xml:space="preserve">Synthesis level / maturity</w:t>
            </w:r>
            <w:r/>
          </w:p>
        </w:tc>
        <w:tc>
          <w:tcPr>
            <w:shd w:val="clear" w:color="auto" w:fill="f4f6f7"/>
            <w:tcBorders/>
            <w:tcMar>
              <w:left w:w="55" w:type="dxa"/>
              <w:top w:w="45" w:type="dxa"/>
              <w:right w:w="55" w:type="dxa"/>
              <w:bottom w:w="45" w:type="dxa"/>
            </w:tcMar>
            <w:tcW w:w="6719" w:type="dxa"/>
            <w:vAlign w:val="top"/>
          </w:tcPr>
          <w:p>
            <w:pPr>
              <w:pStyle w:val="1089"/>
              <w:pBdr/>
              <w:spacing/>
              <w:ind/>
              <w:rPr/>
            </w:pPr>
            <w:r>
              <w:t xml:space="preserve">GOVERNED INVARIANT - L0-L5 meanings and maturity values are separate; L2 publication burden cannot be waived.</w:t>
            </w:r>
            <w:r/>
          </w:p>
        </w:tc>
      </w:tr>
      <w:tr>
        <w:trPr>
          <w:cantSplit/>
        </w:trPr>
        <w:tc>
          <w:tcPr>
            <w:shd w:val="clear" w:color="auto" w:fill="ffffff"/>
            <w:tcBorders/>
            <w:tcMar>
              <w:left w:w="55" w:type="dxa"/>
              <w:top w:w="45" w:type="dxa"/>
              <w:right w:w="55" w:type="dxa"/>
              <w:bottom w:w="45" w:type="dxa"/>
            </w:tcMar>
            <w:tcW w:w="3287" w:type="dxa"/>
            <w:vAlign w:val="top"/>
          </w:tcPr>
          <w:p>
            <w:pPr>
              <w:pStyle w:val="1089"/>
              <w:pBdr/>
              <w:spacing/>
              <w:ind/>
              <w:rPr/>
            </w:pPr>
            <w:r>
              <w:t xml:space="preserve">PublicationClaim traceability</w:t>
            </w:r>
            <w:r/>
          </w:p>
        </w:tc>
        <w:tc>
          <w:tcPr>
            <w:shd w:val="clear" w:color="auto" w:fill="ffffff"/>
            <w:tcBorders/>
            <w:tcMar>
              <w:left w:w="55" w:type="dxa"/>
              <w:top w:w="45" w:type="dxa"/>
              <w:right w:w="55" w:type="dxa"/>
              <w:bottom w:w="45" w:type="dxa"/>
            </w:tcMar>
            <w:tcW w:w="6719" w:type="dxa"/>
            <w:vAlign w:val="top"/>
          </w:tcPr>
          <w:p>
            <w:pPr>
              <w:pStyle w:val="1089"/>
              <w:pBdr/>
              <w:spacing/>
              <w:ind/>
              <w:rPr/>
            </w:pPr>
            <w:r>
              <w:t xml:space="preserve">GOVERNED INVARIANT - thesis-bearing publication claims require canonical premise chains, rationale, scope, defeaters, review and prohibited stronger reading.</w:t>
            </w:r>
            <w:r/>
          </w:p>
        </w:tc>
      </w:tr>
      <w:tr>
        <w:trPr>
          <w:cantSplit/>
        </w:trPr>
        <w:tc>
          <w:tcPr>
            <w:shd w:val="clear" w:color="auto" w:fill="f4f6f7"/>
            <w:tcBorders/>
            <w:tcMar>
              <w:left w:w="55" w:type="dxa"/>
              <w:top w:w="45" w:type="dxa"/>
              <w:right w:w="55" w:type="dxa"/>
              <w:bottom w:w="45" w:type="dxa"/>
            </w:tcMar>
            <w:tcW w:w="3287" w:type="dxa"/>
            <w:vAlign w:val="top"/>
          </w:tcPr>
          <w:p>
            <w:pPr>
              <w:pStyle w:val="1089"/>
              <w:pBdr/>
              <w:spacing/>
              <w:ind/>
              <w:rPr/>
            </w:pPr>
            <w:r>
              <w:t xml:space="preserve">Canonical minimum fields / cardinalities</w:t>
            </w:r>
            <w:r/>
          </w:p>
        </w:tc>
        <w:tc>
          <w:tcPr>
            <w:shd w:val="clear" w:color="auto" w:fill="f4f6f7"/>
            <w:tcBorders/>
            <w:tcMar>
              <w:left w:w="55" w:type="dxa"/>
              <w:top w:w="45" w:type="dxa"/>
              <w:right w:w="55" w:type="dxa"/>
              <w:bottom w:w="45" w:type="dxa"/>
            </w:tcMar>
            <w:tcW w:w="6719" w:type="dxa"/>
            <w:vAlign w:val="top"/>
          </w:tcPr>
          <w:p>
            <w:pPr>
              <w:pStyle w:val="1089"/>
              <w:pBdr/>
              <w:spacing/>
              <w:ind/>
              <w:rPr/>
            </w:pPr>
            <w:r>
              <w:t xml:space="preserve">GOVERNED INVARIANT - Annex B is authoritative. Non-conflicting implementation fields may be added without weakening semantics.</w:t>
            </w:r>
            <w:r/>
          </w:p>
        </w:tc>
      </w:tr>
      <w:tr>
        <w:trPr>
          <w:cantSplit/>
        </w:trPr>
        <w:tc>
          <w:tcPr>
            <w:shd w:val="clear" w:color="auto" w:fill="ffffff"/>
            <w:tcBorders/>
            <w:tcMar>
              <w:left w:w="55" w:type="dxa"/>
              <w:top w:w="45" w:type="dxa"/>
              <w:right w:w="55" w:type="dxa"/>
              <w:bottom w:w="45" w:type="dxa"/>
            </w:tcMar>
            <w:tcW w:w="3287" w:type="dxa"/>
            <w:vAlign w:val="top"/>
          </w:tcPr>
          <w:p>
            <w:pPr>
              <w:pStyle w:val="1089"/>
              <w:pBdr/>
              <w:spacing/>
              <w:ind/>
              <w:rPr/>
            </w:pPr>
            <w:r>
              <w:t xml:space="preserve">Canonical authority layers</w:t>
            </w:r>
            <w:r/>
          </w:p>
        </w:tc>
        <w:tc>
          <w:tcPr>
            <w:shd w:val="clear" w:color="auto" w:fill="ffffff"/>
            <w:tcBorders/>
            <w:tcMar>
              <w:left w:w="55" w:type="dxa"/>
              <w:top w:w="45" w:type="dxa"/>
              <w:right w:w="55" w:type="dxa"/>
              <w:bottom w:w="45" w:type="dxa"/>
            </w:tcMar>
            <w:tcW w:w="6719" w:type="dxa"/>
            <w:vAlign w:val="top"/>
          </w:tcPr>
          <w:p>
            <w:pPr>
              <w:pStyle w:val="1089"/>
              <w:pBdr/>
              <w:spacing/>
              <w:ind/>
              <w:rPr/>
            </w:pPr>
            <w:r>
              <w:t xml:space="preserve">GOVERNED INVARIANT - the Canonical Evidence Store is the sole authoritative factual source; system, generated-view and public-interface layers are derivative.</w:t>
            </w:r>
            <w:r/>
          </w:p>
        </w:tc>
      </w:tr>
      <w:tr>
        <w:trPr>
          <w:cantSplit/>
        </w:trPr>
        <w:tc>
          <w:tcPr>
            <w:shd w:val="clear" w:color="auto" w:fill="f4f6f7"/>
            <w:tcBorders/>
            <w:tcMar>
              <w:left w:w="55" w:type="dxa"/>
              <w:top w:w="45" w:type="dxa"/>
              <w:right w:w="55" w:type="dxa"/>
              <w:bottom w:w="45" w:type="dxa"/>
            </w:tcMar>
            <w:tcW w:w="3287" w:type="dxa"/>
            <w:vAlign w:val="top"/>
          </w:tcPr>
          <w:p>
            <w:pPr>
              <w:pStyle w:val="1089"/>
              <w:pBdr/>
              <w:spacing/>
              <w:ind/>
              <w:rPr/>
            </w:pPr>
            <w:r>
              <w:t xml:space="preserve">Serialization / database technology</w:t>
            </w:r>
            <w:r/>
          </w:p>
        </w:tc>
        <w:tc>
          <w:tcPr>
            <w:shd w:val="clear" w:color="auto" w:fill="f4f6f7"/>
            <w:tcBorders/>
            <w:tcMar>
              <w:left w:w="55" w:type="dxa"/>
              <w:top w:w="45" w:type="dxa"/>
              <w:right w:w="55" w:type="dxa"/>
              <w:bottom w:w="45" w:type="dxa"/>
            </w:tcMar>
            <w:tcW w:w="6719" w:type="dxa"/>
            <w:vAlign w:val="top"/>
          </w:tcPr>
          <w:p>
            <w:pPr>
              <w:pStyle w:val="1089"/>
              <w:pBdr/>
              <w:spacing/>
              <w:ind/>
              <w:rPr/>
            </w:pPr>
            <w:r>
              <w:t xml:space="preserve">IMPLEMENTATION OPEN. Technology may change while the logical model, interchange semantics and validation contract remain authoritative.</w:t>
            </w:r>
            <w:r/>
          </w:p>
        </w:tc>
      </w:tr>
      <w:tr>
        <w:trPr>
          <w:cantSplit/>
        </w:trPr>
        <w:tc>
          <w:tcPr>
            <w:shd w:val="clear" w:color="auto" w:fill="ffffff"/>
            <w:tcBorders/>
            <w:tcMar>
              <w:left w:w="55" w:type="dxa"/>
              <w:top w:w="45" w:type="dxa"/>
              <w:right w:w="55" w:type="dxa"/>
              <w:bottom w:w="45" w:type="dxa"/>
            </w:tcMar>
            <w:tcW w:w="3287" w:type="dxa"/>
            <w:vAlign w:val="top"/>
          </w:tcPr>
          <w:p>
            <w:pPr>
              <w:pStyle w:val="1089"/>
              <w:pBdr/>
              <w:spacing/>
              <w:ind/>
              <w:rPr/>
            </w:pPr>
            <w:r>
              <w:t xml:space="preserve">Local workflow tooling and non-conflicting metadata</w:t>
            </w:r>
            <w:r/>
          </w:p>
        </w:tc>
        <w:tc>
          <w:tcPr>
            <w:shd w:val="clear" w:color="auto" w:fill="ffffff"/>
            <w:tcBorders/>
            <w:tcMar>
              <w:left w:w="55" w:type="dxa"/>
              <w:top w:w="45" w:type="dxa"/>
              <w:right w:w="55" w:type="dxa"/>
              <w:bottom w:w="45" w:type="dxa"/>
            </w:tcMar>
            <w:tcW w:w="6719" w:type="dxa"/>
            <w:vAlign w:val="top"/>
          </w:tcPr>
          <w:p>
            <w:pPr>
              <w:pStyle w:val="1089"/>
              <w:pBdr/>
              <w:spacing/>
              <w:ind/>
              <w:rPr/>
            </w:pPr>
            <w:r>
              <w:t xml:space="preserve">IMPLEMENTATION OPEN, provided no MUST-level requirement or governed semantic is weakened.</w:t>
            </w:r>
            <w:r/>
          </w:p>
        </w:tc>
      </w:tr>
      <w:tr>
        <w:trPr>
          <w:cantSplit/>
        </w:trPr>
        <w:tc>
          <w:tcPr>
            <w:shd w:val="clear" w:color="auto" w:fill="f4f6f7"/>
            <w:tcBorders/>
            <w:tcMar>
              <w:left w:w="55" w:type="dxa"/>
              <w:top w:w="45" w:type="dxa"/>
              <w:right w:w="55" w:type="dxa"/>
              <w:bottom w:w="45" w:type="dxa"/>
            </w:tcMar>
            <w:tcW w:w="3287" w:type="dxa"/>
            <w:vAlign w:val="top"/>
          </w:tcPr>
          <w:p>
            <w:pPr>
              <w:pStyle w:val="1089"/>
              <w:pBdr/>
              <w:spacing/>
              <w:ind/>
              <w:rPr/>
            </w:pPr>
            <w:r>
              <w:t xml:space="preserve">Publication corpus and chapter design</w:t>
            </w:r>
            <w:r/>
          </w:p>
        </w:tc>
        <w:tc>
          <w:tcPr>
            <w:shd w:val="clear" w:color="auto" w:fill="f4f6f7"/>
            <w:tcBorders/>
            <w:tcMar>
              <w:left w:w="55" w:type="dxa"/>
              <w:top w:w="45" w:type="dxa"/>
              <w:right w:w="55" w:type="dxa"/>
              <w:bottom w:w="45" w:type="dxa"/>
            </w:tcMar>
            <w:tcW w:w="6719" w:type="dxa"/>
            <w:vAlign w:val="top"/>
          </w:tcPr>
          <w:p>
            <w:pPr>
              <w:pStyle w:val="1089"/>
              <w:pBdr/>
              <w:spacing/>
              <w:ind/>
              <w:rPr/>
            </w:pPr>
            <w:r>
              <w:t xml:space="preserve">ADOPTED EDITORIAL BASELINE governed by Publication Architecture Specification, subject to its versioned editorial change control and this specification's evidence/release requirements.</w:t>
            </w:r>
            <w:r/>
          </w:p>
        </w:tc>
      </w:tr>
    </w:tbl>
    <w:p>
      <w:pPr>
        <w:pStyle w:val="1097"/>
        <w:pBdr/>
        <w:spacing/>
        <w:ind/>
        <w:rPr/>
      </w:pPr>
      <w:r/>
      <w:r/>
    </w:p>
    <w:p>
      <w:pPr>
        <w:pStyle w:val="1086"/>
        <w:keepNext w:val="true"/>
        <w:keepLines w:val="true"/>
        <w:pBdr/>
        <w:spacing/>
        <w:ind/>
        <w:rPr/>
      </w:pPr>
      <w:r/>
      <w:bookmarkStart w:id="79" w:name="tbl_defect_classes"/>
      <w:r>
        <w:t xml:space="preserve">Governing — Defect classes and required action</w:t>
      </w:r>
      <w:bookmarkEnd w:id="79"/>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1826"/>
        <w:gridCol w:w="3651"/>
        <w:gridCol w:w="4528"/>
      </w:tblGrid>
      <w:tr>
        <w:trPr>
          <w:cantSplit/>
          <w:tblHeader/>
        </w:trPr>
        <w:tc>
          <w:tcPr>
            <w:shd w:val="clear" w:color="auto" w:fill="1f5d7a"/>
            <w:tcBorders/>
            <w:tcMar>
              <w:left w:w="70" w:type="dxa"/>
              <w:top w:w="55" w:type="dxa"/>
              <w:right w:w="70" w:type="dxa"/>
              <w:bottom w:w="55" w:type="dxa"/>
            </w:tcMar>
            <w:tcW w:w="1826" w:type="dxa"/>
            <w:vAlign w:val="top"/>
          </w:tcPr>
          <w:p>
            <w:pPr>
              <w:pStyle w:val="1087"/>
              <w:pBdr/>
              <w:spacing/>
              <w:ind/>
              <w:rPr/>
            </w:pPr>
            <w:r>
              <w:t xml:space="preserve">Class</w:t>
            </w:r>
            <w:r/>
          </w:p>
        </w:tc>
        <w:tc>
          <w:tcPr>
            <w:shd w:val="clear" w:color="auto" w:fill="1f5d7a"/>
            <w:tcBorders/>
            <w:tcMar>
              <w:left w:w="70" w:type="dxa"/>
              <w:top w:w="55" w:type="dxa"/>
              <w:right w:w="70" w:type="dxa"/>
              <w:bottom w:w="55" w:type="dxa"/>
            </w:tcMar>
            <w:tcW w:w="3651" w:type="dxa"/>
            <w:vAlign w:val="top"/>
          </w:tcPr>
          <w:p>
            <w:pPr>
              <w:pStyle w:val="1087"/>
              <w:pBdr/>
              <w:spacing/>
              <w:ind/>
              <w:rPr/>
            </w:pPr>
            <w:r>
              <w:t xml:space="preserve">Meaning</w:t>
            </w:r>
            <w:r/>
          </w:p>
        </w:tc>
        <w:tc>
          <w:tcPr>
            <w:shd w:val="clear" w:color="auto" w:fill="1f5d7a"/>
            <w:tcBorders/>
            <w:tcMar>
              <w:left w:w="70" w:type="dxa"/>
              <w:top w:w="55" w:type="dxa"/>
              <w:right w:w="70" w:type="dxa"/>
              <w:bottom w:w="55" w:type="dxa"/>
            </w:tcMar>
            <w:tcW w:w="4528" w:type="dxa"/>
            <w:vAlign w:val="top"/>
          </w:tcPr>
          <w:p>
            <w:pPr>
              <w:pStyle w:val="1087"/>
              <w:pBdr/>
              <w:spacing/>
              <w:ind/>
              <w:rPr/>
            </w:pPr>
            <w:r>
              <w:t xml:space="preserve">Action</w:t>
            </w:r>
            <w:r/>
          </w:p>
        </w:tc>
      </w:tr>
      <w:tr>
        <w:trPr>
          <w:cantSplit/>
        </w:trPr>
        <w:tc>
          <w:tcPr>
            <w:shd w:val="clear" w:color="auto" w:fill="ffffff"/>
            <w:tcBorders/>
            <w:tcMar>
              <w:left w:w="70" w:type="dxa"/>
              <w:top w:w="55" w:type="dxa"/>
              <w:right w:w="70" w:type="dxa"/>
              <w:bottom w:w="55" w:type="dxa"/>
            </w:tcMar>
            <w:tcW w:w="1826" w:type="dxa"/>
            <w:vAlign w:val="top"/>
          </w:tcPr>
          <w:p>
            <w:pPr>
              <w:pStyle w:val="1088"/>
              <w:pBdr/>
              <w:spacing/>
              <w:ind/>
              <w:rPr/>
            </w:pPr>
            <w:r>
              <w:t xml:space="preserve">Field defect</w:t>
            </w:r>
            <w:r/>
          </w:p>
        </w:tc>
        <w:tc>
          <w:tcPr>
            <w:shd w:val="clear" w:color="auto" w:fill="ffffff"/>
            <w:tcBorders/>
            <w:tcMar>
              <w:left w:w="70" w:type="dxa"/>
              <w:top w:w="55" w:type="dxa"/>
              <w:right w:w="70" w:type="dxa"/>
              <w:bottom w:w="55" w:type="dxa"/>
            </w:tcMar>
            <w:tcW w:w="3651" w:type="dxa"/>
            <w:vAlign w:val="top"/>
          </w:tcPr>
          <w:p>
            <w:pPr>
              <w:pStyle w:val="1088"/>
              <w:pBdr/>
              <w:spacing/>
              <w:ind/>
              <w:rPr/>
            </w:pPr>
            <w:r>
              <w:t xml:space="preserve">Missing/awkward implementation field without core semantic failure.</w:t>
            </w:r>
            <w:r/>
          </w:p>
        </w:tc>
        <w:tc>
          <w:tcPr>
            <w:shd w:val="clear" w:color="auto" w:fill="ffffff"/>
            <w:tcBorders/>
            <w:tcMar>
              <w:left w:w="70" w:type="dxa"/>
              <w:top w:w="55" w:type="dxa"/>
              <w:right w:w="70" w:type="dxa"/>
              <w:bottom w:w="55" w:type="dxa"/>
            </w:tcMar>
            <w:tcW w:w="4528" w:type="dxa"/>
            <w:vAlign w:val="top"/>
          </w:tcPr>
          <w:p>
            <w:pPr>
              <w:pStyle w:val="1088"/>
              <w:pBdr/>
              <w:spacing/>
              <w:ind/>
              <w:rPr/>
            </w:pPr>
            <w:r>
              <w:t xml:space="preserve">Add or refine an implementation field; document version; do not change controlled-vocabulary meaning.</w:t>
            </w:r>
            <w:r/>
          </w:p>
        </w:tc>
      </w:tr>
      <w:tr>
        <w:trPr>
          <w:cantSplit/>
        </w:trPr>
        <w:tc>
          <w:tcPr>
            <w:shd w:val="clear" w:color="auto" w:fill="f4f6f7"/>
            <w:tcBorders/>
            <w:tcMar>
              <w:left w:w="70" w:type="dxa"/>
              <w:top w:w="55" w:type="dxa"/>
              <w:right w:w="70" w:type="dxa"/>
              <w:bottom w:w="55" w:type="dxa"/>
            </w:tcMar>
            <w:tcW w:w="1826" w:type="dxa"/>
            <w:vAlign w:val="top"/>
          </w:tcPr>
          <w:p>
            <w:pPr>
              <w:pStyle w:val="1088"/>
              <w:pBdr/>
              <w:spacing/>
              <w:ind/>
              <w:rPr/>
            </w:pPr>
            <w:r>
              <w:t xml:space="preserve">Data-quality defect</w:t>
            </w:r>
            <w:r/>
          </w:p>
        </w:tc>
        <w:tc>
          <w:tcPr>
            <w:shd w:val="clear" w:color="auto" w:fill="f4f6f7"/>
            <w:tcBorders/>
            <w:tcMar>
              <w:left w:w="70" w:type="dxa"/>
              <w:top w:w="55" w:type="dxa"/>
              <w:right w:w="70" w:type="dxa"/>
              <w:bottom w:w="55" w:type="dxa"/>
            </w:tcMar>
            <w:tcW w:w="3651" w:type="dxa"/>
            <w:vAlign w:val="top"/>
          </w:tcPr>
          <w:p>
            <w:pPr>
              <w:pStyle w:val="1088"/>
              <w:pBdr/>
              <w:spacing/>
              <w:ind/>
              <w:rPr/>
            </w:pPr>
            <w:r>
              <w:t xml:space="preserve">Bad locator, incomplete record, inconsistent metadata, incorrect attribution.</w:t>
            </w:r>
            <w:r/>
          </w:p>
        </w:tc>
        <w:tc>
          <w:tcPr>
            <w:shd w:val="clear" w:color="auto" w:fill="f4f6f7"/>
            <w:tcBorders/>
            <w:tcMar>
              <w:left w:w="70" w:type="dxa"/>
              <w:top w:w="55" w:type="dxa"/>
              <w:right w:w="70" w:type="dxa"/>
              <w:bottom w:w="55" w:type="dxa"/>
            </w:tcMar>
            <w:tcW w:w="4528" w:type="dxa"/>
            <w:vAlign w:val="top"/>
          </w:tcPr>
          <w:p>
            <w:pPr>
              <w:pStyle w:val="1088"/>
              <w:pBdr/>
              <w:spacing/>
              <w:ind/>
              <w:rPr/>
            </w:pPr>
            <w:r>
              <w:t xml:space="preserve">Correct record; preserve prior version; rerun affected validation/gates.</w:t>
            </w:r>
            <w:r/>
          </w:p>
        </w:tc>
      </w:tr>
      <w:tr>
        <w:trPr>
          <w:cantSplit/>
        </w:trPr>
        <w:tc>
          <w:tcPr>
            <w:shd w:val="clear" w:color="auto" w:fill="ffffff"/>
            <w:tcBorders/>
            <w:tcMar>
              <w:left w:w="70" w:type="dxa"/>
              <w:top w:w="55" w:type="dxa"/>
              <w:right w:w="70" w:type="dxa"/>
              <w:bottom w:w="55" w:type="dxa"/>
            </w:tcMar>
            <w:tcW w:w="1826" w:type="dxa"/>
            <w:vAlign w:val="top"/>
          </w:tcPr>
          <w:p>
            <w:pPr>
              <w:pStyle w:val="1088"/>
              <w:pBdr/>
              <w:spacing/>
              <w:ind/>
              <w:rPr/>
            </w:pPr>
            <w:r>
              <w:t xml:space="preserve">Category challenge</w:t>
            </w:r>
            <w:r/>
          </w:p>
        </w:tc>
        <w:tc>
          <w:tcPr>
            <w:shd w:val="clear" w:color="auto" w:fill="ffffff"/>
            <w:tcBorders/>
            <w:tcMar>
              <w:left w:w="70" w:type="dxa"/>
              <w:top w:w="55" w:type="dxa"/>
              <w:right w:w="70" w:type="dxa"/>
              <w:bottom w:w="55" w:type="dxa"/>
            </w:tcMar>
            <w:tcW w:w="3651" w:type="dxa"/>
            <w:vAlign w:val="top"/>
          </w:tcPr>
          <w:p>
            <w:pPr>
              <w:pStyle w:val="1088"/>
              <w:pBdr/>
              <w:spacing/>
              <w:ind/>
              <w:rPr/>
            </w:pPr>
            <w:r>
              <w:t xml:space="preserve">A bounded position exposes distortion or mismatch but remains representable with CAT/REF/MIS.</w:t>
            </w:r>
            <w:r/>
          </w:p>
        </w:tc>
        <w:tc>
          <w:tcPr>
            <w:shd w:val="clear" w:color="auto" w:fill="ffffff"/>
            <w:tcBorders/>
            <w:tcMar>
              <w:left w:w="70" w:type="dxa"/>
              <w:top w:w="55" w:type="dxa"/>
              <w:right w:w="70" w:type="dxa"/>
              <w:bottom w:w="55" w:type="dxa"/>
            </w:tcMar>
            <w:tcW w:w="4528" w:type="dxa"/>
            <w:vAlign w:val="top"/>
          </w:tcPr>
          <w:p>
            <w:pPr>
              <w:pStyle w:val="1088"/>
              <w:pBdr/>
              <w:spacing/>
              <w:ind/>
              <w:rPr/>
            </w:pPr>
            <w:r>
              <w:t xml:space="preserve">Record challenge; do not force an answer; monitor for recurrence.</w:t>
            </w:r>
            <w:r/>
          </w:p>
        </w:tc>
      </w:tr>
      <w:tr>
        <w:trPr>
          <w:cantSplit/>
        </w:trPr>
        <w:tc>
          <w:tcPr>
            <w:shd w:val="clear" w:color="auto" w:fill="f4f6f7"/>
            <w:tcBorders/>
            <w:tcMar>
              <w:left w:w="70" w:type="dxa"/>
              <w:top w:w="55" w:type="dxa"/>
              <w:right w:w="70" w:type="dxa"/>
              <w:bottom w:w="55" w:type="dxa"/>
            </w:tcMar>
            <w:tcW w:w="1826" w:type="dxa"/>
            <w:vAlign w:val="top"/>
          </w:tcPr>
          <w:p>
            <w:pPr>
              <w:pStyle w:val="1088"/>
              <w:pBdr/>
              <w:spacing/>
              <w:ind/>
              <w:rPr/>
            </w:pPr>
            <w:r>
              <w:t xml:space="preserve">Governance defect</w:t>
            </w:r>
            <w:r/>
          </w:p>
        </w:tc>
        <w:tc>
          <w:tcPr>
            <w:shd w:val="clear" w:color="auto" w:fill="f4f6f7"/>
            <w:tcBorders/>
            <w:tcMar>
              <w:left w:w="70" w:type="dxa"/>
              <w:top w:w="55" w:type="dxa"/>
              <w:right w:w="70" w:type="dxa"/>
              <w:bottom w:w="55" w:type="dxa"/>
            </w:tcMar>
            <w:tcW w:w="3651" w:type="dxa"/>
            <w:vAlign w:val="top"/>
          </w:tcPr>
          <w:p>
            <w:pPr>
              <w:pStyle w:val="1088"/>
              <w:pBdr/>
              <w:spacing/>
              <w:ind/>
              <w:rPr/>
            </w:pPr>
            <w:r>
              <w:t xml:space="preserve">Rights, authority, representation or access issue.</w:t>
            </w:r>
            <w:r/>
          </w:p>
        </w:tc>
        <w:tc>
          <w:tcPr>
            <w:shd w:val="clear" w:color="auto" w:fill="f4f6f7"/>
            <w:tcBorders/>
            <w:tcMar>
              <w:left w:w="70" w:type="dxa"/>
              <w:top w:w="55" w:type="dxa"/>
              <w:right w:w="70" w:type="dxa"/>
              <w:bottom w:w="55" w:type="dxa"/>
            </w:tcMar>
            <w:tcW w:w="4528" w:type="dxa"/>
            <w:vAlign w:val="top"/>
          </w:tcPr>
          <w:p>
            <w:pPr>
              <w:pStyle w:val="1088"/>
              <w:pBdr/>
              <w:spacing/>
              <w:ind/>
              <w:rPr/>
            </w:pPr>
            <w:r>
              <w:t xml:space="preserve">Restrict/hold/remove affected content; remediate governance evidence before release.</w:t>
            </w:r>
            <w:r/>
          </w:p>
        </w:tc>
      </w:tr>
      <w:tr>
        <w:trPr>
          <w:cantSplit/>
        </w:trPr>
        <w:tc>
          <w:tcPr>
            <w:shd w:val="clear" w:color="auto" w:fill="ffffff"/>
            <w:tcBorders/>
            <w:tcMar>
              <w:left w:w="70" w:type="dxa"/>
              <w:top w:w="55" w:type="dxa"/>
              <w:right w:w="70" w:type="dxa"/>
              <w:bottom w:w="55" w:type="dxa"/>
            </w:tcMar>
            <w:tcW w:w="1826" w:type="dxa"/>
            <w:vAlign w:val="top"/>
          </w:tcPr>
          <w:p>
            <w:pPr>
              <w:pStyle w:val="1088"/>
              <w:pBdr/>
              <w:spacing/>
              <w:ind/>
              <w:rPr/>
            </w:pPr>
            <w:r>
              <w:t xml:space="preserve">Structural failure</w:t>
            </w:r>
            <w:r/>
          </w:p>
        </w:tc>
        <w:tc>
          <w:tcPr>
            <w:shd w:val="clear" w:color="auto" w:fill="ffffff"/>
            <w:tcBorders/>
            <w:tcMar>
              <w:left w:w="70" w:type="dxa"/>
              <w:top w:w="55" w:type="dxa"/>
              <w:right w:w="70" w:type="dxa"/>
              <w:bottom w:w="55" w:type="dxa"/>
            </w:tcMar>
            <w:tcW w:w="3651" w:type="dxa"/>
            <w:vAlign w:val="top"/>
          </w:tcPr>
          <w:p>
            <w:pPr>
              <w:pStyle w:val="1088"/>
              <w:pBdr/>
              <w:spacing/>
              <w:ind/>
              <w:rPr/>
            </w:pPr>
            <w:r>
              <w:t xml:space="preserve">Repeated inability to represent materially heterogeneous cases without changing a domain boundary, controlled-vocabulary meaning, source/status axis, relation-coherence rule or mandatory cardinality.</w:t>
            </w:r>
            <w:r/>
          </w:p>
        </w:tc>
        <w:tc>
          <w:tcPr>
            <w:shd w:val="clear" w:color="auto" w:fill="ffffff"/>
            <w:tcBorders/>
            <w:tcMar>
              <w:left w:w="70" w:type="dxa"/>
              <w:top w:w="55" w:type="dxa"/>
              <w:right w:w="70" w:type="dxa"/>
              <w:bottom w:w="55" w:type="dxa"/>
            </w:tcMar>
            <w:tcW w:w="4528" w:type="dxa"/>
            <w:vAlign w:val="top"/>
          </w:tcPr>
          <w:p>
            <w:pPr>
              <w:pStyle w:val="1088"/>
              <w:pBdr/>
              <w:spacing/>
              <w:ind/>
              <w:rPr/>
            </w:pPr>
            <w:r>
              <w:t xml:space="preserve">Reopen G1; pause authorization; conduct formal revision review.</w:t>
            </w:r>
            <w:r/>
          </w:p>
        </w:tc>
      </w:tr>
    </w:tbl>
    <w:p>
      <w:pPr>
        <w:pStyle w:val="1097"/>
        <w:pBdr/>
        <w:spacing/>
        <w:ind/>
        <w:rPr/>
      </w:pPr>
      <w:r/>
      <w:r/>
    </w:p>
    <w:p>
      <w:pPr>
        <w:pStyle w:val="1084"/>
        <w:keepLines w:val="false"/>
        <w:pBdr/>
        <w:spacing/>
        <w:ind/>
        <w:rPr/>
      </w:pPr>
      <w:r>
        <w:t xml:space="preserve">• All released records carry version and review metadata; superseded records remain addressable and are never silently overwritten.</w:t>
      </w:r>
      <w:r/>
    </w:p>
    <w:p>
      <w:pPr>
        <w:pStyle w:val="1084"/>
        <w:keepLines w:val="false"/>
        <w:pBdr/>
        <w:spacing/>
        <w:ind/>
        <w:rPr/>
      </w:pPr>
      <w:r>
        <w:t xml:space="preserve">• A methodological revision is adopted only through an explicit version decision stating changed semantics, migration impact, validation impact and publication-interface consequences.</w:t>
      </w:r>
      <w:r/>
    </w:p>
    <w:p>
      <w:pPr>
        <w:pStyle w:val="1084"/>
        <w:keepLines w:val="false"/>
        <w:pBdr/>
        <w:spacing/>
        <w:ind/>
        <w:rPr/>
      </w:pPr>
      <w:r>
        <w:t xml:space="preserve">• Publication Architecture is updated only when editorial consequences require it; methodological field corrections that do not change corpus or chapter architecture do not automatically trigger an editorial revision.</w:t>
      </w:r>
      <w:r/>
    </w:p>
    <w:p>
      <w:pPr>
        <w:pStyle w:val="1084"/>
        <w:keepLines w:val="false"/>
        <w:pBdr/>
        <w:spacing/>
        <w:ind/>
        <w:rPr/>
      </w:pPr>
      <w:r>
        <w:t xml:space="preserve">• A controlled release build records schema and vocabulary versions, canonical_build_id, dataset hash, reviewer and CriterionResult evidence, validation timestamp, Generated Evidence View hashes and superseded build ID.</w:t>
      </w:r>
      <w:r/>
    </w:p>
    <w:p>
      <w:pPr>
        <w:pStyle w:val="1083"/>
        <w:pBdr/>
        <w:spacing/>
        <w:ind/>
        <w:rPr/>
      </w:pPr>
      <w:r>
        <w:t xml:space="preserve">The SourceInstance identity/version and conditional-field contracts in Annex B §§B2.6 an</w:t>
      </w:r>
      <w:r>
        <w:t xml:space="preserve">d B2.11, and the evaluation procedures in Annex C §§C3.2–C3.3 and C3.6, govern records and GateRuns assessed under the declared specification version. Any implementation must map existing fields and versions without destructive overwrite, validate the affe</w:t>
      </w:r>
      <w:r>
        <w:t xml:space="preserve">cted links and conditions, and apply the declared evaluation procedure before collecting new blind coding evidence. Publication use remains subject to §§10–12. Specifying these requirements does not change a historical GateRun verdict or authorize release.</w:t>
      </w:r>
      <w:r/>
    </w:p>
    <w:p>
      <w:pPr>
        <w:pStyle w:val="1084"/>
        <w:keepLines w:val="false"/>
        <w:pBdr/>
        <w:spacing/>
        <w:ind/>
        <w:rPr/>
      </w:pPr>
      <w:r>
        <w:t xml:space="preserve">• Document status, GateRun verdicts, readiness and GO/HOLD are separate; no successor document state is itself release authorization.</w:t>
      </w:r>
      <w:r/>
    </w:p>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Change-control rule</w:t>
            </w:r>
            <w:r/>
          </w:p>
          <w:p>
            <w:pPr>
              <w:pStyle w:val="1092"/>
              <w:pBdr/>
              <w:spacing/>
              <w:ind/>
              <w:rPr/>
            </w:pPr>
            <w:r>
              <w:t xml:space="preserve">Do not change the sc</w:t>
            </w:r>
            <w:r>
              <w:t xml:space="preserve">hema silently to accommodate difficult evidence. First record the field defect, data-quality defect, category challenge or governance issue. Structural revision is reserved for repeated failures to represent evidence faithfully under the current semantics.</w:t>
            </w:r>
            <w:r/>
          </w:p>
        </w:tc>
      </w:tr>
    </w:tbl>
    <w:p>
      <w:pPr>
        <w:pStyle w:val="922"/>
        <w:keepNext w:val="true"/>
        <w:keepLines w:val="true"/>
        <w:pBdr/>
        <w:spacing/>
        <w:ind/>
        <w:rPr/>
      </w:pPr>
      <w:r/>
      <w:bookmarkStart w:id="80" w:name="annex_a"/>
      <w:r>
        <w:t xml:space="preserve">Annex A — Controlled values and D1–D15 master definitions</w:t>
      </w:r>
      <w:bookmarkEnd w:id="80"/>
      <w:r/>
      <w:r/>
    </w:p>
    <w:p>
      <w:pPr>
        <w:pStyle w:val="1086"/>
        <w:keepNext w:val="true"/>
        <w:keepLines w:val="true"/>
        <w:pBdr/>
        <w:spacing/>
        <w:ind/>
        <w:rPr/>
      </w:pPr>
      <w:r/>
      <w:bookmarkStart w:id="81" w:name="Section_front_door_3"/>
      <w:r>
        <w:t xml:space="preserve">Governing — Section front door</w:t>
      </w:r>
      <w:bookmarkEnd w:id="81"/>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1972"/>
        <w:gridCol w:w="8034"/>
      </w:tblGrid>
      <w:tr>
        <w:trPr>
          <w:cantSplit/>
          <w:tblHeader/>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Purpose</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Provide the sole full definitions of shared controlled values, domain questions and qualified machine labels.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Primary users</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Coders, reviewers, data engineers, publication integrators and auditors.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Authority status</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Governing</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Decision or rule</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Body sections explain decisions; this annex owns exact values and definitions.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Required output</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Unambiguous qualified values used consistently in records, validation and generated views.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Go to</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Annex B for field/cardinality placement; Annex C for tests.</w:t>
            </w:r>
            <w:r/>
          </w:p>
        </w:tc>
      </w:tr>
    </w:tbl>
    <w:p>
      <w:pPr>
        <w:pStyle w:val="1097"/>
        <w:pBdr/>
        <w:spacing/>
        <w:ind/>
        <w:rPr/>
      </w:pPr>
      <w:r/>
      <w:r/>
    </w:p>
    <w:p>
      <w:pPr>
        <w:pStyle w:val="923"/>
        <w:keepNext w:val="true"/>
        <w:keepLines w:val="true"/>
        <w:pBdr/>
        <w:spacing/>
        <w:ind/>
        <w:rPr/>
      </w:pPr>
      <w:r/>
      <w:bookmarkStart w:id="82" w:name="annex_a1_domains"/>
      <w:r>
        <w:t xml:space="preserve">A1. D1–D15 master definitions</w:t>
      </w:r>
      <w:bookmarkEnd w:id="82"/>
      <w:r/>
      <w:r/>
    </w:p>
    <w:p>
      <w:pPr>
        <w:pStyle w:val="1086"/>
        <w:keepNext w:val="true"/>
        <w:keepLines w:val="true"/>
        <w:pBdr/>
        <w:spacing/>
        <w:ind/>
        <w:rPr/>
      </w:pPr>
      <w:r/>
      <w:bookmarkStart w:id="83" w:name="tbl_d1_d15_master"/>
      <w:r>
        <w:t xml:space="preserve">Governing — D1–D15 neutral master questions and illustrative subfields</w:t>
      </w:r>
      <w:bookmarkEnd w:id="83"/>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657"/>
        <w:gridCol w:w="2264"/>
        <w:gridCol w:w="3578"/>
        <w:gridCol w:w="3505"/>
      </w:tblGrid>
      <w:tr>
        <w:trPr>
          <w:cantSplit/>
          <w:tblHeader/>
        </w:trPr>
        <w:tc>
          <w:tcPr>
            <w:shd w:val="clear" w:color="auto" w:fill="1f5d7a"/>
            <w:tcBorders/>
            <w:tcMar>
              <w:left w:w="55" w:type="dxa"/>
              <w:top w:w="45" w:type="dxa"/>
              <w:right w:w="55" w:type="dxa"/>
              <w:bottom w:w="45" w:type="dxa"/>
            </w:tcMar>
            <w:tcW w:w="657" w:type="dxa"/>
            <w:vAlign w:val="top"/>
          </w:tcPr>
          <w:p>
            <w:pPr>
              <w:pStyle w:val="1090"/>
              <w:pBdr/>
              <w:spacing/>
              <w:ind/>
              <w:rPr/>
            </w:pPr>
            <w:r>
              <w:t xml:space="preserve">Code</w:t>
            </w:r>
            <w:r/>
          </w:p>
        </w:tc>
        <w:tc>
          <w:tcPr>
            <w:shd w:val="clear" w:color="auto" w:fill="1f5d7a"/>
            <w:tcBorders/>
            <w:tcMar>
              <w:left w:w="55" w:type="dxa"/>
              <w:top w:w="45" w:type="dxa"/>
              <w:right w:w="55" w:type="dxa"/>
              <w:bottom w:w="45" w:type="dxa"/>
            </w:tcMar>
            <w:tcW w:w="2264" w:type="dxa"/>
            <w:vAlign w:val="top"/>
          </w:tcPr>
          <w:p>
            <w:pPr>
              <w:pStyle w:val="1090"/>
              <w:pBdr/>
              <w:spacing/>
              <w:ind/>
              <w:rPr/>
            </w:pPr>
            <w:r>
              <w:t xml:space="preserve">Domain</w:t>
            </w:r>
            <w:r/>
          </w:p>
        </w:tc>
        <w:tc>
          <w:tcPr>
            <w:shd w:val="clear" w:color="auto" w:fill="1f5d7a"/>
            <w:tcBorders/>
            <w:tcMar>
              <w:left w:w="55" w:type="dxa"/>
              <w:top w:w="45" w:type="dxa"/>
              <w:right w:w="55" w:type="dxa"/>
              <w:bottom w:w="45" w:type="dxa"/>
            </w:tcMar>
            <w:tcW w:w="3578" w:type="dxa"/>
            <w:vAlign w:val="top"/>
          </w:tcPr>
          <w:p>
            <w:pPr>
              <w:pStyle w:val="1090"/>
              <w:pBdr/>
              <w:spacing/>
              <w:ind/>
              <w:rPr/>
            </w:pPr>
            <w:r>
              <w:t xml:space="preserve">Neutral master question</w:t>
            </w:r>
            <w:r/>
          </w:p>
        </w:tc>
        <w:tc>
          <w:tcPr>
            <w:shd w:val="clear" w:color="auto" w:fill="1f5d7a"/>
            <w:tcBorders/>
            <w:tcMar>
              <w:left w:w="55" w:type="dxa"/>
              <w:top w:w="45" w:type="dxa"/>
              <w:right w:w="55" w:type="dxa"/>
              <w:bottom w:w="45" w:type="dxa"/>
            </w:tcMar>
            <w:tcW w:w="3505" w:type="dxa"/>
            <w:vAlign w:val="top"/>
          </w:tcPr>
          <w:p>
            <w:pPr>
              <w:pStyle w:val="1090"/>
              <w:pBdr/>
              <w:spacing/>
              <w:ind/>
              <w:rPr/>
            </w:pPr>
            <w:r>
              <w:t xml:space="preserve">Illustrative subfields</w:t>
            </w:r>
            <w:r/>
          </w:p>
        </w:tc>
      </w:tr>
      <w:tr>
        <w:trPr>
          <w:cantSplit/>
        </w:trPr>
        <w:tc>
          <w:tcPr>
            <w:shd w:val="clear" w:color="auto" w:fill="ffffff"/>
            <w:tcBorders/>
            <w:tcMar>
              <w:left w:w="55" w:type="dxa"/>
              <w:top w:w="45" w:type="dxa"/>
              <w:right w:w="55" w:type="dxa"/>
              <w:bottom w:w="45" w:type="dxa"/>
            </w:tcMar>
            <w:tcW w:w="657" w:type="dxa"/>
            <w:vAlign w:val="top"/>
          </w:tcPr>
          <w:p>
            <w:pPr>
              <w:pStyle w:val="1089"/>
              <w:pBdr/>
              <w:spacing/>
              <w:ind/>
              <w:rPr/>
            </w:pPr>
            <w:r>
              <w:t xml:space="preserve">D1</w:t>
            </w:r>
            <w:r/>
          </w:p>
        </w:tc>
        <w:tc>
          <w:tcPr>
            <w:shd w:val="clear" w:color="auto" w:fill="ffffff"/>
            <w:tcBorders/>
            <w:tcMar>
              <w:left w:w="55" w:type="dxa"/>
              <w:top w:w="45" w:type="dxa"/>
              <w:right w:w="55" w:type="dxa"/>
              <w:bottom w:w="45" w:type="dxa"/>
            </w:tcMar>
            <w:tcW w:w="2264" w:type="dxa"/>
            <w:vAlign w:val="top"/>
          </w:tcPr>
          <w:p>
            <w:pPr>
              <w:pStyle w:val="1089"/>
              <w:pBdr/>
              <w:spacing/>
              <w:ind/>
              <w:rPr/>
            </w:pPr>
            <w:r>
              <w:t xml:space="preserve">Ontology &amp; ultimacy</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What, if anything, is fundamentally real or most basic?</w:t>
            </w:r>
            <w:r/>
          </w:p>
        </w:tc>
        <w:tc>
          <w:tcPr>
            <w:shd w:val="clear" w:color="auto" w:fill="ffffff"/>
            <w:tcBorders/>
            <w:tcMar>
              <w:left w:w="55" w:type="dxa"/>
              <w:top w:w="45" w:type="dxa"/>
              <w:right w:w="55" w:type="dxa"/>
              <w:bottom w:w="45" w:type="dxa"/>
            </w:tcMar>
            <w:tcW w:w="3505" w:type="dxa"/>
            <w:vAlign w:val="top"/>
          </w:tcPr>
          <w:p>
            <w:pPr>
              <w:pStyle w:val="1089"/>
              <w:pBdr/>
              <w:spacing/>
              <w:ind/>
              <w:rPr/>
            </w:pPr>
            <w:r>
              <w:t xml:space="preserve">being/nonbeing; one/many; substance/process/event; emptiness; ultimacy; ontological pluralism; anti-foundationalism</w:t>
            </w:r>
            <w:r/>
          </w:p>
        </w:tc>
      </w:tr>
      <w:tr>
        <w:trPr>
          <w:cantSplit/>
        </w:trPr>
        <w:tc>
          <w:tcPr>
            <w:shd w:val="clear" w:color="auto" w:fill="f4f6f7"/>
            <w:tcBorders/>
            <w:tcMar>
              <w:left w:w="55" w:type="dxa"/>
              <w:top w:w="45" w:type="dxa"/>
              <w:right w:w="55" w:type="dxa"/>
              <w:bottom w:w="45" w:type="dxa"/>
            </w:tcMar>
            <w:tcW w:w="657" w:type="dxa"/>
            <w:vAlign w:val="top"/>
          </w:tcPr>
          <w:p>
            <w:pPr>
              <w:pStyle w:val="1089"/>
              <w:pBdr/>
              <w:spacing/>
              <w:ind/>
              <w:rPr/>
            </w:pPr>
            <w:r>
              <w:t xml:space="preserve">D2</w:t>
            </w:r>
            <w:r/>
          </w:p>
        </w:tc>
        <w:tc>
          <w:tcPr>
            <w:shd w:val="clear" w:color="auto" w:fill="f4f6f7"/>
            <w:tcBorders/>
            <w:tcMar>
              <w:left w:w="55" w:type="dxa"/>
              <w:top w:w="45" w:type="dxa"/>
              <w:right w:w="55" w:type="dxa"/>
              <w:bottom w:w="45" w:type="dxa"/>
            </w:tcMar>
            <w:tcW w:w="2264" w:type="dxa"/>
            <w:vAlign w:val="top"/>
          </w:tcPr>
          <w:p>
            <w:pPr>
              <w:pStyle w:val="1089"/>
              <w:pBdr/>
              <w:spacing/>
              <w:ind/>
              <w:rPr/>
            </w:pPr>
            <w:r>
              <w:t xml:space="preserve">Cosmogenesis &amp; world structure</w:t>
            </w:r>
            <w:r/>
          </w:p>
        </w:tc>
        <w:tc>
          <w:tcPr>
            <w:shd w:val="clear" w:color="auto" w:fill="f4f6f7"/>
            <w:tcBorders/>
            <w:tcMar>
              <w:left w:w="55" w:type="dxa"/>
              <w:top w:w="45" w:type="dxa"/>
              <w:right w:w="55" w:type="dxa"/>
              <w:bottom w:w="45" w:type="dxa"/>
            </w:tcMar>
            <w:tcW w:w="3578" w:type="dxa"/>
            <w:vAlign w:val="top"/>
          </w:tcPr>
          <w:p>
            <w:pPr>
              <w:pStyle w:val="1089"/>
              <w:pBdr/>
              <w:spacing/>
              <w:ind/>
              <w:rPr/>
            </w:pPr>
            <w:r>
              <w:t xml:space="preserve">What kind of world is this, and how does it arise, persist or transform?</w:t>
            </w:r>
            <w:r/>
          </w:p>
        </w:tc>
        <w:tc>
          <w:tcPr>
            <w:shd w:val="clear" w:color="auto" w:fill="f4f6f7"/>
            <w:tcBorders/>
            <w:tcMar>
              <w:left w:w="55" w:type="dxa"/>
              <w:top w:w="45" w:type="dxa"/>
              <w:right w:w="55" w:type="dxa"/>
              <w:bottom w:w="45" w:type="dxa"/>
            </w:tcMar>
            <w:tcW w:w="3505" w:type="dxa"/>
            <w:vAlign w:val="top"/>
          </w:tcPr>
          <w:p>
            <w:pPr>
              <w:pStyle w:val="1089"/>
              <w:pBdr/>
              <w:spacing/>
              <w:ind/>
              <w:rPr/>
            </w:pPr>
            <w:r>
              <w:t xml:space="preserve">origin; beginninglessness; creation; emanation; manifestation; dependent arising; cycles; levels/realms; persistence; transformation</w:t>
            </w:r>
            <w:r/>
          </w:p>
        </w:tc>
      </w:tr>
      <w:tr>
        <w:trPr>
          <w:cantSplit/>
        </w:trPr>
        <w:tc>
          <w:tcPr>
            <w:shd w:val="clear" w:color="auto" w:fill="ffffff"/>
            <w:tcBorders/>
            <w:tcMar>
              <w:left w:w="55" w:type="dxa"/>
              <w:top w:w="45" w:type="dxa"/>
              <w:right w:w="55" w:type="dxa"/>
              <w:bottom w:w="45" w:type="dxa"/>
            </w:tcMar>
            <w:tcW w:w="657" w:type="dxa"/>
            <w:vAlign w:val="top"/>
          </w:tcPr>
          <w:p>
            <w:pPr>
              <w:pStyle w:val="1089"/>
              <w:pBdr/>
              <w:spacing/>
              <w:ind/>
              <w:rPr/>
            </w:pPr>
            <w:r>
              <w:t xml:space="preserve">D3</w:t>
            </w:r>
            <w:r/>
          </w:p>
        </w:tc>
        <w:tc>
          <w:tcPr>
            <w:shd w:val="clear" w:color="auto" w:fill="ffffff"/>
            <w:tcBorders/>
            <w:tcMar>
              <w:left w:w="55" w:type="dxa"/>
              <w:top w:w="45" w:type="dxa"/>
              <w:right w:w="55" w:type="dxa"/>
              <w:bottom w:w="45" w:type="dxa"/>
            </w:tcMar>
            <w:tcW w:w="2264" w:type="dxa"/>
            <w:vAlign w:val="top"/>
          </w:tcPr>
          <w:p>
            <w:pPr>
              <w:pStyle w:val="1089"/>
              <w:pBdr/>
              <w:spacing/>
              <w:ind/>
              <w:rPr/>
            </w:pPr>
            <w:r>
              <w:t xml:space="preserve">World-partitioning, materiality &amp; human/nonhuman relations</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How does the position distinguish - or refuse to distinguish - humans, nonhumans, materiality, life, environment, interiority and personhood?</w:t>
            </w:r>
            <w:r/>
          </w:p>
        </w:tc>
        <w:tc>
          <w:tcPr>
            <w:shd w:val="clear" w:color="auto" w:fill="ffffff"/>
            <w:tcBorders/>
            <w:tcMar>
              <w:left w:w="55" w:type="dxa"/>
              <w:top w:w="45" w:type="dxa"/>
              <w:right w:w="55" w:type="dxa"/>
              <w:bottom w:w="45" w:type="dxa"/>
            </w:tcMar>
            <w:tcW w:w="3505" w:type="dxa"/>
            <w:vAlign w:val="top"/>
          </w:tcPr>
          <w:p>
            <w:pPr>
              <w:pStyle w:val="1089"/>
              <w:pBdr/>
              <w:spacing/>
              <w:ind/>
              <w:rPr/>
            </w:pPr>
            <w:r>
              <w:t xml:space="preserve">human/nonhuman partitions; material/immaterial; living/nonliving; interiority/personhood distribution; animacy; relational ontology; nature/culture asserted/rejected/absent</w:t>
            </w:r>
            <w:r/>
          </w:p>
        </w:tc>
      </w:tr>
      <w:tr>
        <w:trPr>
          <w:cantSplit/>
        </w:trPr>
        <w:tc>
          <w:tcPr>
            <w:shd w:val="clear" w:color="auto" w:fill="f4f6f7"/>
            <w:tcBorders/>
            <w:tcMar>
              <w:left w:w="55" w:type="dxa"/>
              <w:top w:w="45" w:type="dxa"/>
              <w:right w:w="55" w:type="dxa"/>
              <w:bottom w:w="45" w:type="dxa"/>
            </w:tcMar>
            <w:tcW w:w="657" w:type="dxa"/>
            <w:vAlign w:val="top"/>
          </w:tcPr>
          <w:p>
            <w:pPr>
              <w:pStyle w:val="1089"/>
              <w:pBdr/>
              <w:spacing/>
              <w:ind/>
              <w:rPr/>
            </w:pPr>
            <w:r>
              <w:t xml:space="preserve">D4</w:t>
            </w:r>
            <w:r/>
          </w:p>
        </w:tc>
        <w:tc>
          <w:tcPr>
            <w:shd w:val="clear" w:color="auto" w:fill="f4f6f7"/>
            <w:tcBorders/>
            <w:tcMar>
              <w:left w:w="55" w:type="dxa"/>
              <w:top w:w="45" w:type="dxa"/>
              <w:right w:w="55" w:type="dxa"/>
              <w:bottom w:w="45" w:type="dxa"/>
            </w:tcMar>
            <w:tcW w:w="2264" w:type="dxa"/>
            <w:vAlign w:val="top"/>
          </w:tcPr>
          <w:p>
            <w:pPr>
              <w:pStyle w:val="1089"/>
              <w:pBdr/>
              <w:spacing/>
              <w:ind/>
              <w:rPr/>
            </w:pPr>
            <w:r>
              <w:t xml:space="preserve">Human constitution &amp; embodiment</w:t>
            </w:r>
            <w:r/>
          </w:p>
        </w:tc>
        <w:tc>
          <w:tcPr>
            <w:shd w:val="clear" w:color="auto" w:fill="f4f6f7"/>
            <w:tcBorders/>
            <w:tcMar>
              <w:left w:w="55" w:type="dxa"/>
              <w:top w:w="45" w:type="dxa"/>
              <w:right w:w="55" w:type="dxa"/>
              <w:bottom w:w="45" w:type="dxa"/>
            </w:tcMar>
            <w:tcW w:w="3578" w:type="dxa"/>
            <w:vAlign w:val="top"/>
          </w:tcPr>
          <w:p>
            <w:pPr>
              <w:pStyle w:val="1089"/>
              <w:pBdr/>
              <w:spacing/>
              <w:ind/>
              <w:rPr/>
            </w:pPr>
            <w:r>
              <w:t xml:space="preserve">What constitutes a human being, and what is embodiment?</w:t>
            </w:r>
            <w:r/>
          </w:p>
        </w:tc>
        <w:tc>
          <w:tcPr>
            <w:shd w:val="clear" w:color="auto" w:fill="f4f6f7"/>
            <w:tcBorders/>
            <w:tcMar>
              <w:left w:w="55" w:type="dxa"/>
              <w:top w:w="45" w:type="dxa"/>
              <w:right w:w="55" w:type="dxa"/>
              <w:bottom w:w="45" w:type="dxa"/>
            </w:tcMar>
            <w:tcW w:w="3505" w:type="dxa"/>
            <w:vAlign w:val="top"/>
          </w:tcPr>
          <w:p>
            <w:pPr>
              <w:pStyle w:val="1089"/>
              <w:pBdr/>
              <w:spacing/>
              <w:ind/>
              <w:rPr/>
            </w:pPr>
            <w:r>
              <w:t xml:space="preserve">body; soul/spirit if emically present; aggregates; organism; subtle bodies; psychosomatic unity; embodiment status</w:t>
            </w:r>
            <w:r/>
          </w:p>
        </w:tc>
      </w:tr>
      <w:tr>
        <w:trPr>
          <w:cantSplit/>
        </w:trPr>
        <w:tc>
          <w:tcPr>
            <w:shd w:val="clear" w:color="auto" w:fill="ffffff"/>
            <w:tcBorders/>
            <w:tcMar>
              <w:left w:w="55" w:type="dxa"/>
              <w:top w:w="45" w:type="dxa"/>
              <w:right w:w="55" w:type="dxa"/>
              <w:bottom w:w="45" w:type="dxa"/>
            </w:tcMar>
            <w:tcW w:w="657" w:type="dxa"/>
            <w:vAlign w:val="top"/>
          </w:tcPr>
          <w:p>
            <w:pPr>
              <w:pStyle w:val="1089"/>
              <w:pBdr/>
              <w:spacing/>
              <w:ind/>
              <w:rPr/>
            </w:pPr>
            <w:r>
              <w:t xml:space="preserve">D5</w:t>
            </w:r>
            <w:r/>
          </w:p>
        </w:tc>
        <w:tc>
          <w:tcPr>
            <w:shd w:val="clear" w:color="auto" w:fill="ffffff"/>
            <w:tcBorders/>
            <w:tcMar>
              <w:left w:w="55" w:type="dxa"/>
              <w:top w:w="45" w:type="dxa"/>
              <w:right w:w="55" w:type="dxa"/>
              <w:bottom w:w="45" w:type="dxa"/>
            </w:tcMar>
            <w:tcW w:w="2264" w:type="dxa"/>
            <w:vAlign w:val="top"/>
          </w:tcPr>
          <w:p>
            <w:pPr>
              <w:pStyle w:val="1089"/>
              <w:pBdr/>
              <w:spacing/>
              <w:ind/>
              <w:rPr/>
            </w:pPr>
            <w:r>
              <w:t xml:space="preserve">Mind &amp; consciousness</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What are mentality, awareness, experience and cognition, if the position has such categories?</w:t>
            </w:r>
            <w:r/>
          </w:p>
        </w:tc>
        <w:tc>
          <w:tcPr>
            <w:shd w:val="clear" w:color="auto" w:fill="ffffff"/>
            <w:tcBorders/>
            <w:tcMar>
              <w:left w:w="55" w:type="dxa"/>
              <w:top w:w="45" w:type="dxa"/>
              <w:right w:w="55" w:type="dxa"/>
              <w:bottom w:w="45" w:type="dxa"/>
            </w:tcMar>
            <w:tcW w:w="3505" w:type="dxa"/>
            <w:vAlign w:val="top"/>
          </w:tcPr>
          <w:p>
            <w:pPr>
              <w:pStyle w:val="1089"/>
              <w:pBdr/>
              <w:spacing/>
              <w:ind/>
              <w:rPr/>
            </w:pPr>
            <w:r>
              <w:t xml:space="preserve">mind; consciousness; awareness; cognition; phenomenal experience; intentionality; mind-body relation; emergence/fundamentality</w:t>
            </w:r>
            <w:r/>
          </w:p>
        </w:tc>
      </w:tr>
      <w:tr>
        <w:trPr>
          <w:cantSplit/>
        </w:trPr>
        <w:tc>
          <w:tcPr>
            <w:shd w:val="clear" w:color="auto" w:fill="f4f6f7"/>
            <w:tcBorders/>
            <w:tcMar>
              <w:left w:w="55" w:type="dxa"/>
              <w:top w:w="45" w:type="dxa"/>
              <w:right w:w="55" w:type="dxa"/>
              <w:bottom w:w="45" w:type="dxa"/>
            </w:tcMar>
            <w:tcW w:w="657" w:type="dxa"/>
            <w:vAlign w:val="top"/>
          </w:tcPr>
          <w:p>
            <w:pPr>
              <w:pStyle w:val="1089"/>
              <w:pBdr/>
              <w:spacing/>
              <w:ind/>
              <w:rPr/>
            </w:pPr>
            <w:r>
              <w:t xml:space="preserve">D6</w:t>
            </w:r>
            <w:r/>
          </w:p>
        </w:tc>
        <w:tc>
          <w:tcPr>
            <w:shd w:val="clear" w:color="auto" w:fill="f4f6f7"/>
            <w:tcBorders/>
            <w:tcMar>
              <w:left w:w="55" w:type="dxa"/>
              <w:top w:w="45" w:type="dxa"/>
              <w:right w:w="55" w:type="dxa"/>
              <w:bottom w:w="45" w:type="dxa"/>
            </w:tcMar>
            <w:tcW w:w="2264" w:type="dxa"/>
            <w:vAlign w:val="top"/>
          </w:tcPr>
          <w:p>
            <w:pPr>
              <w:pStyle w:val="1089"/>
              <w:pBdr/>
              <w:spacing/>
              <w:ind/>
              <w:rPr/>
            </w:pPr>
            <w:r>
              <w:t xml:space="preserve">Self, personhood &amp; identity</w:t>
            </w:r>
            <w:r/>
          </w:p>
        </w:tc>
        <w:tc>
          <w:tcPr>
            <w:shd w:val="clear" w:color="auto" w:fill="f4f6f7"/>
            <w:tcBorders/>
            <w:tcMar>
              <w:left w:w="55" w:type="dxa"/>
              <w:top w:w="45" w:type="dxa"/>
              <w:right w:w="55" w:type="dxa"/>
              <w:bottom w:w="45" w:type="dxa"/>
            </w:tcMar>
            <w:tcW w:w="3578" w:type="dxa"/>
            <w:vAlign w:val="top"/>
          </w:tcPr>
          <w:p>
            <w:pPr>
              <w:pStyle w:val="1089"/>
              <w:pBdr/>
              <w:spacing/>
              <w:ind/>
              <w:rPr/>
            </w:pPr>
            <w:r>
              <w:t xml:space="preserve">What constitutes a self/person/subject, if anything, and what grounds identity or continuity?</w:t>
            </w:r>
            <w:r/>
          </w:p>
        </w:tc>
        <w:tc>
          <w:tcPr>
            <w:shd w:val="clear" w:color="auto" w:fill="f4f6f7"/>
            <w:tcBorders/>
            <w:tcMar>
              <w:left w:w="55" w:type="dxa"/>
              <w:top w:w="45" w:type="dxa"/>
              <w:right w:w="55" w:type="dxa"/>
              <w:bottom w:w="45" w:type="dxa"/>
            </w:tcMar>
            <w:tcW w:w="3505" w:type="dxa"/>
            <w:vAlign w:val="top"/>
          </w:tcPr>
          <w:p>
            <w:pPr>
              <w:pStyle w:val="1089"/>
              <w:pBdr/>
              <w:spacing/>
              <w:ind/>
              <w:rPr/>
            </w:pPr>
            <w:r>
              <w:t xml:space="preserve">self/no-self; subject; personhood criteria; social/relational personhood; memory; identity through change/death; distribution of personhood</w:t>
            </w:r>
            <w:r/>
          </w:p>
        </w:tc>
      </w:tr>
      <w:tr>
        <w:trPr>
          <w:cantSplit/>
        </w:trPr>
        <w:tc>
          <w:tcPr>
            <w:shd w:val="clear" w:color="auto" w:fill="ffffff"/>
            <w:tcBorders/>
            <w:tcMar>
              <w:left w:w="55" w:type="dxa"/>
              <w:top w:w="45" w:type="dxa"/>
              <w:right w:w="55" w:type="dxa"/>
              <w:bottom w:w="45" w:type="dxa"/>
            </w:tcMar>
            <w:tcW w:w="657" w:type="dxa"/>
            <w:vAlign w:val="top"/>
          </w:tcPr>
          <w:p>
            <w:pPr>
              <w:pStyle w:val="1089"/>
              <w:pBdr/>
              <w:spacing/>
              <w:ind/>
              <w:rPr/>
            </w:pPr>
            <w:r>
              <w:t xml:space="preserve">D7</w:t>
            </w:r>
            <w:r/>
          </w:p>
        </w:tc>
        <w:tc>
          <w:tcPr>
            <w:shd w:val="clear" w:color="auto" w:fill="ffffff"/>
            <w:tcBorders/>
            <w:tcMar>
              <w:left w:w="55" w:type="dxa"/>
              <w:top w:w="45" w:type="dxa"/>
              <w:right w:w="55" w:type="dxa"/>
              <w:bottom w:w="45" w:type="dxa"/>
            </w:tcMar>
            <w:tcW w:w="2264" w:type="dxa"/>
            <w:vAlign w:val="top"/>
          </w:tcPr>
          <w:p>
            <w:pPr>
              <w:pStyle w:val="1089"/>
              <w:pBdr/>
              <w:spacing/>
              <w:ind/>
              <w:rPr/>
            </w:pPr>
            <w:r>
              <w:t xml:space="preserve">Epistemology &amp; authority</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What can be known, by what means, and under what authorities?</w:t>
            </w:r>
            <w:r/>
          </w:p>
        </w:tc>
        <w:tc>
          <w:tcPr>
            <w:shd w:val="clear" w:color="auto" w:fill="ffffff"/>
            <w:tcBorders/>
            <w:tcMar>
              <w:left w:w="55" w:type="dxa"/>
              <w:top w:w="45" w:type="dxa"/>
              <w:right w:w="55" w:type="dxa"/>
              <w:bottom w:w="45" w:type="dxa"/>
            </w:tcMar>
            <w:tcW w:w="3505" w:type="dxa"/>
            <w:vAlign w:val="top"/>
          </w:tcPr>
          <w:p>
            <w:pPr>
              <w:pStyle w:val="1089"/>
              <w:pBdr/>
              <w:spacing/>
              <w:ind/>
              <w:rPr/>
            </w:pPr>
            <w:r>
              <w:t xml:space="preserve">perception; inference; revelation; scripture; lineage; testimony; contemplation; divination; ritual efficacy; experiment; historical evidence</w:t>
            </w:r>
            <w:r/>
          </w:p>
        </w:tc>
      </w:tr>
      <w:tr>
        <w:trPr>
          <w:cantSplit/>
        </w:trPr>
        <w:tc>
          <w:tcPr>
            <w:shd w:val="clear" w:color="auto" w:fill="f4f6f7"/>
            <w:tcBorders/>
            <w:tcMar>
              <w:left w:w="55" w:type="dxa"/>
              <w:top w:w="45" w:type="dxa"/>
              <w:right w:w="55" w:type="dxa"/>
              <w:bottom w:w="45" w:type="dxa"/>
            </w:tcMar>
            <w:tcW w:w="657" w:type="dxa"/>
            <w:vAlign w:val="top"/>
          </w:tcPr>
          <w:p>
            <w:pPr>
              <w:pStyle w:val="1089"/>
              <w:pBdr/>
              <w:spacing/>
              <w:ind/>
              <w:rPr/>
            </w:pPr>
            <w:r>
              <w:t xml:space="preserve">D8</w:t>
            </w:r>
            <w:r/>
          </w:p>
        </w:tc>
        <w:tc>
          <w:tcPr>
            <w:shd w:val="clear" w:color="auto" w:fill="f4f6f7"/>
            <w:tcBorders/>
            <w:tcMar>
              <w:left w:w="55" w:type="dxa"/>
              <w:top w:w="45" w:type="dxa"/>
              <w:right w:w="55" w:type="dxa"/>
              <w:bottom w:w="45" w:type="dxa"/>
            </w:tcMar>
            <w:tcW w:w="2264" w:type="dxa"/>
            <w:vAlign w:val="top"/>
          </w:tcPr>
          <w:p>
            <w:pPr>
              <w:pStyle w:val="1089"/>
              <w:pBdr/>
              <w:spacing/>
              <w:ind/>
              <w:rPr/>
            </w:pPr>
            <w:r>
              <w:t xml:space="preserve">Axiology, meaning &amp; value</w:t>
            </w:r>
            <w:r/>
          </w:p>
        </w:tc>
        <w:tc>
          <w:tcPr>
            <w:shd w:val="clear" w:color="auto" w:fill="f4f6f7"/>
            <w:tcBorders/>
            <w:tcMar>
              <w:left w:w="55" w:type="dxa"/>
              <w:top w:w="45" w:type="dxa"/>
              <w:right w:w="55" w:type="dxa"/>
              <w:bottom w:w="45" w:type="dxa"/>
            </w:tcMar>
            <w:tcW w:w="3578" w:type="dxa"/>
            <w:vAlign w:val="top"/>
          </w:tcPr>
          <w:p>
            <w:pPr>
              <w:pStyle w:val="1089"/>
              <w:pBdr/>
              <w:spacing/>
              <w:ind/>
              <w:rPr/>
            </w:pPr>
            <w:r>
              <w:t xml:space="preserve">What matters, and what makes lives, actions or worlds good, meaningful, sacred or valuable?</w:t>
            </w:r>
            <w:r/>
          </w:p>
        </w:tc>
        <w:tc>
          <w:tcPr>
            <w:shd w:val="clear" w:color="auto" w:fill="f4f6f7"/>
            <w:tcBorders/>
            <w:tcMar>
              <w:left w:w="55" w:type="dxa"/>
              <w:top w:w="45" w:type="dxa"/>
              <w:right w:w="55" w:type="dxa"/>
              <w:bottom w:w="45" w:type="dxa"/>
            </w:tcMar>
            <w:tcW w:w="3505" w:type="dxa"/>
            <w:vAlign w:val="top"/>
          </w:tcPr>
          <w:p>
            <w:pPr>
              <w:pStyle w:val="1089"/>
              <w:pBdr/>
              <w:spacing/>
              <w:ind/>
              <w:rPr/>
            </w:pPr>
            <w:r>
              <w:t xml:space="preserve">good; sacred; beauty; duty; flourishing; meaning; value pluralism; nihilism; intrinsic/instrumental value</w:t>
            </w:r>
            <w:r/>
          </w:p>
        </w:tc>
      </w:tr>
      <w:tr>
        <w:trPr>
          <w:cantSplit/>
        </w:trPr>
        <w:tc>
          <w:tcPr>
            <w:shd w:val="clear" w:color="auto" w:fill="ffffff"/>
            <w:tcBorders/>
            <w:tcMar>
              <w:left w:w="55" w:type="dxa"/>
              <w:top w:w="45" w:type="dxa"/>
              <w:right w:w="55" w:type="dxa"/>
              <w:bottom w:w="45" w:type="dxa"/>
            </w:tcMar>
            <w:tcW w:w="657" w:type="dxa"/>
            <w:vAlign w:val="top"/>
          </w:tcPr>
          <w:p>
            <w:pPr>
              <w:pStyle w:val="1089"/>
              <w:pBdr/>
              <w:spacing/>
              <w:ind/>
              <w:rPr/>
            </w:pPr>
            <w:r>
              <w:t xml:space="preserve">D9</w:t>
            </w:r>
            <w:r/>
          </w:p>
        </w:tc>
        <w:tc>
          <w:tcPr>
            <w:shd w:val="clear" w:color="auto" w:fill="ffffff"/>
            <w:tcBorders/>
            <w:tcMar>
              <w:left w:w="55" w:type="dxa"/>
              <w:top w:w="45" w:type="dxa"/>
              <w:right w:w="55" w:type="dxa"/>
              <w:bottom w:w="45" w:type="dxa"/>
            </w:tcMar>
            <w:tcW w:w="2264" w:type="dxa"/>
            <w:vAlign w:val="top"/>
          </w:tcPr>
          <w:p>
            <w:pPr>
              <w:pStyle w:val="1089"/>
              <w:pBdr/>
              <w:spacing/>
              <w:ind/>
              <w:rPr/>
            </w:pPr>
            <w:r>
              <w:t xml:space="preserve">Human condition &amp; diagnosis</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Does the position diagnose a fundamental difficulty, error, condition or predicament?</w:t>
            </w:r>
            <w:r/>
          </w:p>
        </w:tc>
        <w:tc>
          <w:tcPr>
            <w:shd w:val="clear" w:color="auto" w:fill="ffffff"/>
            <w:tcBorders/>
            <w:tcMar>
              <w:left w:w="55" w:type="dxa"/>
              <w:top w:w="45" w:type="dxa"/>
              <w:right w:w="55" w:type="dxa"/>
              <w:bottom w:w="45" w:type="dxa"/>
            </w:tcMar>
            <w:tcW w:w="3505" w:type="dxa"/>
            <w:vAlign w:val="top"/>
          </w:tcPr>
          <w:p>
            <w:pPr>
              <w:pStyle w:val="1089"/>
              <w:pBdr/>
              <w:spacing/>
              <w:ind/>
              <w:rPr/>
            </w:pPr>
            <w:r>
              <w:t xml:space="preserve">sin; ignorance; craving; finitude; alienation; reification; disorder; false judgment; no totalizing predicament</w:t>
            </w:r>
            <w:r/>
          </w:p>
        </w:tc>
      </w:tr>
      <w:tr>
        <w:trPr>
          <w:cantSplit/>
        </w:trPr>
        <w:tc>
          <w:tcPr>
            <w:shd w:val="clear" w:color="auto" w:fill="f4f6f7"/>
            <w:tcBorders/>
            <w:tcMar>
              <w:left w:w="55" w:type="dxa"/>
              <w:top w:w="45" w:type="dxa"/>
              <w:right w:w="55" w:type="dxa"/>
              <w:bottom w:w="45" w:type="dxa"/>
            </w:tcMar>
            <w:tcW w:w="657" w:type="dxa"/>
            <w:vAlign w:val="top"/>
          </w:tcPr>
          <w:p>
            <w:pPr>
              <w:pStyle w:val="1089"/>
              <w:pBdr/>
              <w:spacing/>
              <w:ind/>
              <w:rPr/>
            </w:pPr>
            <w:r>
              <w:t xml:space="preserve">D10</w:t>
            </w:r>
            <w:r/>
          </w:p>
        </w:tc>
        <w:tc>
          <w:tcPr>
            <w:shd w:val="clear" w:color="auto" w:fill="f4f6f7"/>
            <w:tcBorders/>
            <w:tcMar>
              <w:left w:w="55" w:type="dxa"/>
              <w:top w:w="45" w:type="dxa"/>
              <w:right w:w="55" w:type="dxa"/>
              <w:bottom w:w="45" w:type="dxa"/>
            </w:tcMar>
            <w:tcW w:w="2264" w:type="dxa"/>
            <w:vAlign w:val="top"/>
          </w:tcPr>
          <w:p>
            <w:pPr>
              <w:pStyle w:val="1089"/>
              <w:pBdr/>
              <w:spacing/>
              <w:ind/>
              <w:rPr/>
            </w:pPr>
            <w:r>
              <w:t xml:space="preserve">Causal order &amp; dependence</w:t>
            </w:r>
            <w:r/>
          </w:p>
        </w:tc>
        <w:tc>
          <w:tcPr>
            <w:shd w:val="clear" w:color="auto" w:fill="f4f6f7"/>
            <w:tcBorders/>
            <w:tcMar>
              <w:left w:w="55" w:type="dxa"/>
              <w:top w:w="45" w:type="dxa"/>
              <w:right w:w="55" w:type="dxa"/>
              <w:bottom w:w="45" w:type="dxa"/>
            </w:tcMar>
            <w:tcW w:w="3578" w:type="dxa"/>
            <w:vAlign w:val="top"/>
          </w:tcPr>
          <w:p>
            <w:pPr>
              <w:pStyle w:val="1089"/>
              <w:pBdr/>
              <w:spacing/>
              <w:ind/>
              <w:rPr/>
            </w:pPr>
            <w:r>
              <w:t xml:space="preserve">What kinds of causation, dependence, providence, karma, fate, chance or lawful order govern events?</w:t>
            </w:r>
            <w:r/>
          </w:p>
        </w:tc>
        <w:tc>
          <w:tcPr>
            <w:shd w:val="clear" w:color="auto" w:fill="f4f6f7"/>
            <w:tcBorders/>
            <w:tcMar>
              <w:left w:w="55" w:type="dxa"/>
              <w:top w:w="45" w:type="dxa"/>
              <w:right w:w="55" w:type="dxa"/>
              <w:bottom w:w="45" w:type="dxa"/>
            </w:tcMar>
            <w:tcW w:w="3505" w:type="dxa"/>
            <w:vAlign w:val="top"/>
          </w:tcPr>
          <w:p>
            <w:pPr>
              <w:pStyle w:val="1089"/>
              <w:pBdr/>
              <w:spacing/>
              <w:ind/>
              <w:rPr/>
            </w:pPr>
            <w:r>
              <w:t xml:space="preserve">causation; dependence/grounding; providence; karma; fate; chance; law; divine action; causal closure</w:t>
            </w:r>
            <w:r/>
          </w:p>
        </w:tc>
      </w:tr>
      <w:tr>
        <w:trPr>
          <w:cantSplit/>
        </w:trPr>
        <w:tc>
          <w:tcPr>
            <w:shd w:val="clear" w:color="auto" w:fill="ffffff"/>
            <w:tcBorders/>
            <w:tcMar>
              <w:left w:w="55" w:type="dxa"/>
              <w:top w:w="45" w:type="dxa"/>
              <w:right w:w="55" w:type="dxa"/>
              <w:bottom w:w="45" w:type="dxa"/>
            </w:tcMar>
            <w:tcW w:w="657" w:type="dxa"/>
            <w:vAlign w:val="top"/>
          </w:tcPr>
          <w:p>
            <w:pPr>
              <w:pStyle w:val="1089"/>
              <w:pBdr/>
              <w:spacing/>
              <w:ind/>
              <w:rPr/>
            </w:pPr>
            <w:r>
              <w:t xml:space="preserve">D11</w:t>
            </w:r>
            <w:r/>
          </w:p>
        </w:tc>
        <w:tc>
          <w:tcPr>
            <w:shd w:val="clear" w:color="auto" w:fill="ffffff"/>
            <w:tcBorders/>
            <w:tcMar>
              <w:left w:w="55" w:type="dxa"/>
              <w:top w:w="45" w:type="dxa"/>
              <w:right w:w="55" w:type="dxa"/>
              <w:bottom w:w="45" w:type="dxa"/>
            </w:tcMar>
            <w:tcW w:w="2264" w:type="dxa"/>
            <w:vAlign w:val="top"/>
          </w:tcPr>
          <w:p>
            <w:pPr>
              <w:pStyle w:val="1089"/>
              <w:pBdr/>
              <w:spacing/>
              <w:ind/>
              <w:rPr/>
            </w:pPr>
            <w:r>
              <w:t xml:space="preserve">Agency, freedom &amp; constraint</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What kinds of agency are possible, and how are agents enabled or constrained?</w:t>
            </w:r>
            <w:r/>
          </w:p>
        </w:tc>
        <w:tc>
          <w:tcPr>
            <w:shd w:val="clear" w:color="auto" w:fill="ffffff"/>
            <w:tcBorders/>
            <w:tcMar>
              <w:left w:w="55" w:type="dxa"/>
              <w:top w:w="45" w:type="dxa"/>
              <w:right w:w="55" w:type="dxa"/>
              <w:bottom w:w="45" w:type="dxa"/>
            </w:tcMar>
            <w:tcW w:w="3505" w:type="dxa"/>
            <w:vAlign w:val="top"/>
          </w:tcPr>
          <w:p>
            <w:pPr>
              <w:pStyle w:val="1089"/>
              <w:pBdr/>
              <w:spacing/>
              <w:ind/>
              <w:rPr/>
            </w:pPr>
            <w:r>
              <w:t xml:space="preserve">free will; responsibility; spontaneity; distributed/nonhuman agency; choice; moral agency; structural/causal constraints</w:t>
            </w:r>
            <w:r/>
          </w:p>
        </w:tc>
      </w:tr>
      <w:tr>
        <w:trPr>
          <w:cantSplit/>
        </w:trPr>
        <w:tc>
          <w:tcPr>
            <w:shd w:val="clear" w:color="auto" w:fill="f4f6f7"/>
            <w:tcBorders/>
            <w:tcMar>
              <w:left w:w="55" w:type="dxa"/>
              <w:top w:w="45" w:type="dxa"/>
              <w:right w:w="55" w:type="dxa"/>
              <w:bottom w:w="45" w:type="dxa"/>
            </w:tcMar>
            <w:tcW w:w="657" w:type="dxa"/>
            <w:vAlign w:val="top"/>
          </w:tcPr>
          <w:p>
            <w:pPr>
              <w:pStyle w:val="1089"/>
              <w:pBdr/>
              <w:spacing/>
              <w:ind/>
              <w:rPr/>
            </w:pPr>
            <w:r>
              <w:t xml:space="preserve">D12</w:t>
            </w:r>
            <w:r/>
          </w:p>
        </w:tc>
        <w:tc>
          <w:tcPr>
            <w:shd w:val="clear" w:color="auto" w:fill="f4f6f7"/>
            <w:tcBorders/>
            <w:tcMar>
              <w:left w:w="55" w:type="dxa"/>
              <w:top w:w="45" w:type="dxa"/>
              <w:right w:w="55" w:type="dxa"/>
              <w:bottom w:w="45" w:type="dxa"/>
            </w:tcMar>
            <w:tcW w:w="2264" w:type="dxa"/>
            <w:vAlign w:val="top"/>
          </w:tcPr>
          <w:p>
            <w:pPr>
              <w:pStyle w:val="1089"/>
              <w:pBdr/>
              <w:spacing/>
              <w:ind/>
              <w:rPr/>
            </w:pPr>
            <w:r>
              <w:t xml:space="preserve">Praxis &amp; transformation</w:t>
            </w:r>
            <w:r/>
          </w:p>
        </w:tc>
        <w:tc>
          <w:tcPr>
            <w:shd w:val="clear" w:color="auto" w:fill="f4f6f7"/>
            <w:tcBorders/>
            <w:tcMar>
              <w:left w:w="55" w:type="dxa"/>
              <w:top w:w="45" w:type="dxa"/>
              <w:right w:w="55" w:type="dxa"/>
              <w:bottom w:w="45" w:type="dxa"/>
            </w:tcMar>
            <w:tcW w:w="3578" w:type="dxa"/>
            <w:vAlign w:val="top"/>
          </w:tcPr>
          <w:p>
            <w:pPr>
              <w:pStyle w:val="1089"/>
              <w:pBdr/>
              <w:spacing/>
              <w:ind/>
              <w:rPr/>
            </w:pPr>
            <w:r>
              <w:t xml:space="preserve">What practices or processes change understanding, character, status or mode of being?</w:t>
            </w:r>
            <w:r/>
          </w:p>
        </w:tc>
        <w:tc>
          <w:tcPr>
            <w:shd w:val="clear" w:color="auto" w:fill="f4f6f7"/>
            <w:tcBorders/>
            <w:tcMar>
              <w:left w:w="55" w:type="dxa"/>
              <w:top w:w="45" w:type="dxa"/>
              <w:right w:w="55" w:type="dxa"/>
              <w:bottom w:w="45" w:type="dxa"/>
            </w:tcMar>
            <w:tcW w:w="3505" w:type="dxa"/>
            <w:vAlign w:val="top"/>
          </w:tcPr>
          <w:p>
            <w:pPr>
              <w:pStyle w:val="1089"/>
              <w:pBdr/>
              <w:spacing/>
              <w:ind/>
              <w:rPr/>
            </w:pPr>
            <w:r>
              <w:t xml:space="preserve">ritual; meditation; knowledge; grace; devotion; virtue; asceticism; therapy; divination; social/political transformation</w:t>
            </w:r>
            <w:r/>
          </w:p>
        </w:tc>
      </w:tr>
      <w:tr>
        <w:trPr>
          <w:cantSplit/>
        </w:trPr>
        <w:tc>
          <w:tcPr>
            <w:shd w:val="clear" w:color="auto" w:fill="ffffff"/>
            <w:tcBorders/>
            <w:tcMar>
              <w:left w:w="55" w:type="dxa"/>
              <w:top w:w="45" w:type="dxa"/>
              <w:right w:w="55" w:type="dxa"/>
              <w:bottom w:w="45" w:type="dxa"/>
            </w:tcMar>
            <w:tcW w:w="657" w:type="dxa"/>
            <w:vAlign w:val="top"/>
          </w:tcPr>
          <w:p>
            <w:pPr>
              <w:pStyle w:val="1089"/>
              <w:pBdr/>
              <w:spacing/>
              <w:ind/>
              <w:rPr/>
            </w:pPr>
            <w:r>
              <w:t xml:space="preserve">D13</w:t>
            </w:r>
            <w:r/>
          </w:p>
        </w:tc>
        <w:tc>
          <w:tcPr>
            <w:shd w:val="clear" w:color="auto" w:fill="ffffff"/>
            <w:tcBorders/>
            <w:tcMar>
              <w:left w:w="55" w:type="dxa"/>
              <w:top w:w="45" w:type="dxa"/>
              <w:right w:w="55" w:type="dxa"/>
              <w:bottom w:w="45" w:type="dxa"/>
            </w:tcMar>
            <w:tcW w:w="2264" w:type="dxa"/>
            <w:vAlign w:val="top"/>
          </w:tcPr>
          <w:p>
            <w:pPr>
              <w:pStyle w:val="1089"/>
              <w:pBdr/>
              <w:spacing/>
              <w:ind/>
              <w:rPr/>
            </w:pPr>
            <w:r>
              <w:t xml:space="preserve">Death &amp; continuity</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What ends, persists, returns, is restored or dissolves at death?</w:t>
            </w:r>
            <w:r/>
          </w:p>
        </w:tc>
        <w:tc>
          <w:tcPr>
            <w:shd w:val="clear" w:color="auto" w:fill="ffffff"/>
            <w:tcBorders/>
            <w:tcMar>
              <w:left w:w="55" w:type="dxa"/>
              <w:top w:w="45" w:type="dxa"/>
              <w:right w:w="55" w:type="dxa"/>
              <w:bottom w:w="45" w:type="dxa"/>
            </w:tcMar>
            <w:tcW w:w="3505" w:type="dxa"/>
            <w:vAlign w:val="top"/>
          </w:tcPr>
          <w:p>
            <w:pPr>
              <w:pStyle w:val="1089"/>
              <w:pBdr/>
              <w:spacing/>
              <w:ind/>
              <w:rPr/>
            </w:pPr>
            <w:r>
              <w:t xml:space="preserve">survival; rebirth; resurrection; ancestorhood; judgment; dissolution; continuity criteria; postmortem states</w:t>
            </w:r>
            <w:r/>
          </w:p>
        </w:tc>
      </w:tr>
      <w:tr>
        <w:trPr>
          <w:cantSplit/>
        </w:trPr>
        <w:tc>
          <w:tcPr>
            <w:shd w:val="clear" w:color="auto" w:fill="f4f6f7"/>
            <w:tcBorders/>
            <w:tcMar>
              <w:left w:w="55" w:type="dxa"/>
              <w:top w:w="45" w:type="dxa"/>
              <w:right w:w="55" w:type="dxa"/>
              <w:bottom w:w="45" w:type="dxa"/>
            </w:tcMar>
            <w:tcW w:w="657" w:type="dxa"/>
            <w:vAlign w:val="top"/>
          </w:tcPr>
          <w:p>
            <w:pPr>
              <w:pStyle w:val="1089"/>
              <w:pBdr/>
              <w:spacing/>
              <w:ind/>
              <w:rPr/>
            </w:pPr>
            <w:r>
              <w:t xml:space="preserve">D14</w:t>
            </w:r>
            <w:r/>
          </w:p>
        </w:tc>
        <w:tc>
          <w:tcPr>
            <w:shd w:val="clear" w:color="auto" w:fill="f4f6f7"/>
            <w:tcBorders/>
            <w:tcMar>
              <w:left w:w="55" w:type="dxa"/>
              <w:top w:w="45" w:type="dxa"/>
              <w:right w:w="55" w:type="dxa"/>
              <w:bottom w:w="45" w:type="dxa"/>
            </w:tcMar>
            <w:tcW w:w="2264" w:type="dxa"/>
            <w:vAlign w:val="top"/>
          </w:tcPr>
          <w:p>
            <w:pPr>
              <w:pStyle w:val="1089"/>
              <w:pBdr/>
              <w:spacing/>
              <w:ind/>
              <w:rPr/>
            </w:pPr>
            <w:r>
              <w:t xml:space="preserve">Telos / desired condition</w:t>
            </w:r>
            <w:r/>
          </w:p>
        </w:tc>
        <w:tc>
          <w:tcPr>
            <w:shd w:val="clear" w:color="auto" w:fill="f4f6f7"/>
            <w:tcBorders/>
            <w:tcMar>
              <w:left w:w="55" w:type="dxa"/>
              <w:top w:w="45" w:type="dxa"/>
              <w:right w:w="55" w:type="dxa"/>
              <w:bottom w:w="45" w:type="dxa"/>
            </w:tcMar>
            <w:tcW w:w="3578" w:type="dxa"/>
            <w:vAlign w:val="top"/>
          </w:tcPr>
          <w:p>
            <w:pPr>
              <w:pStyle w:val="1089"/>
              <w:pBdr/>
              <w:spacing/>
              <w:ind/>
              <w:rPr/>
            </w:pPr>
            <w:r>
              <w:t xml:space="preserve">What counts as fulfilment, liberation, salvation, awakening, harmony, virtue, authenticity - or no cosmic end?</w:t>
            </w:r>
            <w:r/>
          </w:p>
        </w:tc>
        <w:tc>
          <w:tcPr>
            <w:shd w:val="clear" w:color="auto" w:fill="f4f6f7"/>
            <w:tcBorders/>
            <w:tcMar>
              <w:left w:w="55" w:type="dxa"/>
              <w:top w:w="45" w:type="dxa"/>
              <w:right w:w="55" w:type="dxa"/>
              <w:bottom w:w="45" w:type="dxa"/>
            </w:tcMar>
            <w:tcW w:w="3505" w:type="dxa"/>
            <w:vAlign w:val="top"/>
          </w:tcPr>
          <w:p>
            <w:pPr>
              <w:pStyle w:val="1089"/>
              <w:pBdr/>
              <w:spacing/>
              <w:ind/>
              <w:rPr/>
            </w:pPr>
            <w:r>
              <w:t xml:space="preserve">moksha; nirvana; theosis; sagehood; flourishing; resurrection; harmony; authenticity; no transcendent telos</w:t>
            </w:r>
            <w:r/>
          </w:p>
        </w:tc>
      </w:tr>
      <w:tr>
        <w:trPr>
          <w:cantSplit/>
        </w:trPr>
        <w:tc>
          <w:tcPr>
            <w:shd w:val="clear" w:color="auto" w:fill="ffffff"/>
            <w:tcBorders/>
            <w:tcMar>
              <w:left w:w="55" w:type="dxa"/>
              <w:top w:w="45" w:type="dxa"/>
              <w:right w:w="55" w:type="dxa"/>
              <w:bottom w:w="45" w:type="dxa"/>
            </w:tcMar>
            <w:tcW w:w="657" w:type="dxa"/>
            <w:vAlign w:val="top"/>
          </w:tcPr>
          <w:p>
            <w:pPr>
              <w:pStyle w:val="1089"/>
              <w:pBdr/>
              <w:spacing/>
              <w:ind/>
              <w:rPr/>
            </w:pPr>
            <w:r>
              <w:t xml:space="preserve">D15</w:t>
            </w:r>
            <w:r/>
          </w:p>
        </w:tc>
        <w:tc>
          <w:tcPr>
            <w:shd w:val="clear" w:color="auto" w:fill="ffffff"/>
            <w:tcBorders/>
            <w:tcMar>
              <w:left w:w="55" w:type="dxa"/>
              <w:top w:w="45" w:type="dxa"/>
              <w:right w:w="55" w:type="dxa"/>
              <w:bottom w:w="45" w:type="dxa"/>
            </w:tcMar>
            <w:tcW w:w="2264" w:type="dxa"/>
            <w:vAlign w:val="top"/>
          </w:tcPr>
          <w:p>
            <w:pPr>
              <w:pStyle w:val="1089"/>
              <w:pBdr/>
              <w:spacing/>
              <w:ind/>
              <w:rPr/>
            </w:pPr>
            <w:r>
              <w:t xml:space="preserve">World relation &amp; normative orientation</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How should beings relate to the world, others, community and the order of reality?</w:t>
            </w:r>
            <w:r/>
          </w:p>
        </w:tc>
        <w:tc>
          <w:tcPr>
            <w:shd w:val="clear" w:color="auto" w:fill="ffffff"/>
            <w:tcBorders/>
            <w:tcMar>
              <w:left w:w="55" w:type="dxa"/>
              <w:top w:w="45" w:type="dxa"/>
              <w:right w:w="55" w:type="dxa"/>
              <w:bottom w:w="45" w:type="dxa"/>
            </w:tcMar>
            <w:tcW w:w="3505" w:type="dxa"/>
            <w:vAlign w:val="top"/>
          </w:tcPr>
          <w:p>
            <w:pPr>
              <w:pStyle w:val="1089"/>
              <w:pBdr/>
              <w:spacing/>
              <w:ind/>
              <w:rPr/>
            </w:pPr>
            <w:r>
              <w:t xml:space="preserve">participation; exit/renunciation; transformation; stewardship only where emic; harmony; compassion; covenant; nonattachment; social/ecological relation</w:t>
            </w:r>
            <w:r/>
          </w:p>
        </w:tc>
      </w:tr>
    </w:tbl>
    <w:p>
      <w:pPr>
        <w:pStyle w:val="1097"/>
        <w:pBdr/>
        <w:spacing/>
        <w:ind/>
        <w:rPr/>
      </w:pPr>
      <w:r/>
      <w:r/>
    </w:p>
    <w:p>
      <w:pPr>
        <w:pStyle w:val="923"/>
        <w:keepNext w:val="true"/>
        <w:keepLines w:val="true"/>
        <w:pBdr/>
        <w:spacing/>
        <w:ind/>
        <w:rPr/>
      </w:pPr>
      <w:r/>
      <w:bookmarkStart w:id="84" w:name="annex_a2_response_claim"/>
      <w:r>
        <w:t xml:space="preserve">A2. QuestionResponse and claim values</w:t>
      </w:r>
      <w:bookmarkEnd w:id="84"/>
      <w:r/>
      <w:r/>
    </w:p>
    <w:p>
      <w:pPr>
        <w:pStyle w:val="1086"/>
        <w:keepNext w:val="true"/>
        <w:keepLines w:val="true"/>
        <w:pBdr/>
        <w:spacing/>
        <w:ind/>
        <w:rPr/>
      </w:pPr>
      <w:r/>
      <w:bookmarkStart w:id="85" w:name="tbl_response_values"/>
      <w:r>
        <w:t xml:space="preserve">Governing — Primary response states and CAT modifier</w:t>
      </w:r>
      <w:bookmarkEnd w:id="85"/>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410"/>
        <w:gridCol w:w="2118"/>
        <w:gridCol w:w="5477"/>
      </w:tblGrid>
      <w:tr>
        <w:trPr>
          <w:cantSplit/>
          <w:tblHeader/>
        </w:trPr>
        <w:tc>
          <w:tcPr>
            <w:shd w:val="clear" w:color="auto" w:fill="1f5d7a"/>
            <w:tcBorders/>
            <w:tcMar>
              <w:left w:w="55" w:type="dxa"/>
              <w:top w:w="45" w:type="dxa"/>
              <w:right w:w="55" w:type="dxa"/>
              <w:bottom w:w="45" w:type="dxa"/>
            </w:tcMar>
            <w:tcW w:w="2410" w:type="dxa"/>
            <w:vAlign w:val="top"/>
          </w:tcPr>
          <w:p>
            <w:pPr>
              <w:pStyle w:val="1090"/>
              <w:pBdr/>
              <w:spacing/>
              <w:ind/>
              <w:rPr/>
            </w:pPr>
            <w:r>
              <w:t xml:space="preserve">Qualified value</w:t>
            </w:r>
            <w:r/>
          </w:p>
        </w:tc>
        <w:tc>
          <w:tcPr>
            <w:shd w:val="clear" w:color="auto" w:fill="1f5d7a"/>
            <w:tcBorders/>
            <w:tcMar>
              <w:left w:w="55" w:type="dxa"/>
              <w:top w:w="45" w:type="dxa"/>
              <w:right w:w="55" w:type="dxa"/>
              <w:bottom w:w="45" w:type="dxa"/>
            </w:tcMar>
            <w:tcW w:w="2118" w:type="dxa"/>
            <w:vAlign w:val="top"/>
          </w:tcPr>
          <w:p>
            <w:pPr>
              <w:pStyle w:val="1090"/>
              <w:pBdr/>
              <w:spacing/>
              <w:ind/>
              <w:rPr/>
            </w:pPr>
            <w:r>
              <w:t xml:space="preserve">Meaning</w:t>
            </w:r>
            <w:r/>
          </w:p>
        </w:tc>
        <w:tc>
          <w:tcPr>
            <w:shd w:val="clear" w:color="auto" w:fill="1f5d7a"/>
            <w:tcBorders/>
            <w:tcMar>
              <w:left w:w="55" w:type="dxa"/>
              <w:top w:w="45" w:type="dxa"/>
              <w:right w:w="55" w:type="dxa"/>
              <w:bottom w:w="45" w:type="dxa"/>
            </w:tcMar>
            <w:tcW w:w="5477" w:type="dxa"/>
            <w:vAlign w:val="top"/>
          </w:tcPr>
          <w:p>
            <w:pPr>
              <w:pStyle w:val="1090"/>
              <w:pBdr/>
              <w:spacing/>
              <w:ind/>
              <w:rPr/>
            </w:pPr>
            <w:r>
              <w:t xml:space="preserve">Decision test</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response_state:ANS</w:t>
            </w:r>
            <w:r/>
          </w:p>
        </w:tc>
        <w:tc>
          <w:tcPr>
            <w:shd w:val="clear" w:color="auto" w:fill="ffffff"/>
            <w:tcBorders/>
            <w:tcMar>
              <w:left w:w="55" w:type="dxa"/>
              <w:top w:w="45" w:type="dxa"/>
              <w:right w:w="55" w:type="dxa"/>
              <w:bottom w:w="45" w:type="dxa"/>
            </w:tcMar>
            <w:tcW w:w="2118" w:type="dxa"/>
            <w:vAlign w:val="top"/>
          </w:tcPr>
          <w:p>
            <w:pPr>
              <w:pStyle w:val="1089"/>
              <w:pBdr/>
              <w:spacing/>
              <w:ind/>
              <w:rPr/>
            </w:pPr>
            <w:r>
              <w:t xml:space="preserve">Answered / asserted</w:t>
            </w:r>
            <w:r/>
          </w:p>
        </w:tc>
        <w:tc>
          <w:tcPr>
            <w:shd w:val="clear" w:color="auto" w:fill="ffffff"/>
            <w:tcBorders/>
            <w:tcMar>
              <w:left w:w="55" w:type="dxa"/>
              <w:top w:w="45" w:type="dxa"/>
              <w:right w:w="55" w:type="dxa"/>
              <w:bottom w:w="45" w:type="dxa"/>
            </w:tcMar>
            <w:tcW w:w="5477" w:type="dxa"/>
            <w:vAlign w:val="top"/>
          </w:tcPr>
          <w:p>
            <w:pPr>
              <w:pStyle w:val="1089"/>
              <w:pBdr/>
              <w:spacing/>
              <w:ind/>
              <w:rPr/>
            </w:pPr>
            <w:r>
              <w:t xml:space="preserve">The bounded Position gives a substantive source-grounded answer.</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response_state:DEN</w:t>
            </w:r>
            <w:r/>
          </w:p>
        </w:tc>
        <w:tc>
          <w:tcPr>
            <w:shd w:val="clear" w:color="auto" w:fill="f4f6f7"/>
            <w:tcBorders/>
            <w:tcMar>
              <w:left w:w="55" w:type="dxa"/>
              <w:top w:w="45" w:type="dxa"/>
              <w:right w:w="55" w:type="dxa"/>
              <w:bottom w:w="45" w:type="dxa"/>
            </w:tcMar>
            <w:tcW w:w="2118" w:type="dxa"/>
            <w:vAlign w:val="top"/>
          </w:tcPr>
          <w:p>
            <w:pPr>
              <w:pStyle w:val="1089"/>
              <w:pBdr/>
              <w:spacing/>
              <w:ind/>
              <w:rPr/>
            </w:pPr>
            <w:r>
              <w:t xml:space="preserve">Denied</w:t>
            </w:r>
            <w:r/>
          </w:p>
        </w:tc>
        <w:tc>
          <w:tcPr>
            <w:shd w:val="clear" w:color="auto" w:fill="f4f6f7"/>
            <w:tcBorders/>
            <w:tcMar>
              <w:left w:w="55" w:type="dxa"/>
              <w:top w:w="45" w:type="dxa"/>
              <w:right w:w="55" w:type="dxa"/>
              <w:bottom w:w="45" w:type="dxa"/>
            </w:tcMar>
            <w:tcW w:w="5477" w:type="dxa"/>
            <w:vAlign w:val="top"/>
          </w:tcPr>
          <w:p>
            <w:pPr>
              <w:pStyle w:val="1089"/>
              <w:pBdr/>
              <w:spacing/>
              <w:ind/>
              <w:rPr/>
            </w:pPr>
            <w:r>
              <w:t xml:space="preserve">The Position explicitly rejects the presupposition or answer class.</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response_state:REF</w:t>
            </w:r>
            <w:r/>
          </w:p>
        </w:tc>
        <w:tc>
          <w:tcPr>
            <w:shd w:val="clear" w:color="auto" w:fill="ffffff"/>
            <w:tcBorders/>
            <w:tcMar>
              <w:left w:w="55" w:type="dxa"/>
              <w:top w:w="45" w:type="dxa"/>
              <w:right w:w="55" w:type="dxa"/>
              <w:bottom w:w="45" w:type="dxa"/>
            </w:tcMar>
            <w:tcW w:w="2118" w:type="dxa"/>
            <w:vAlign w:val="top"/>
          </w:tcPr>
          <w:p>
            <w:pPr>
              <w:pStyle w:val="1089"/>
              <w:pBdr/>
              <w:spacing/>
              <w:ind/>
              <w:rPr/>
            </w:pPr>
            <w:r>
              <w:t xml:space="preserve">Reframed</w:t>
            </w:r>
            <w:r/>
          </w:p>
        </w:tc>
        <w:tc>
          <w:tcPr>
            <w:shd w:val="clear" w:color="auto" w:fill="ffffff"/>
            <w:tcBorders/>
            <w:tcMar>
              <w:left w:w="55" w:type="dxa"/>
              <w:top w:w="45" w:type="dxa"/>
              <w:right w:w="55" w:type="dxa"/>
              <w:bottom w:w="45" w:type="dxa"/>
            </w:tcMar>
            <w:tcW w:w="5477" w:type="dxa"/>
            <w:vAlign w:val="top"/>
          </w:tcPr>
          <w:p>
            <w:pPr>
              <w:pStyle w:val="1089"/>
              <w:pBdr/>
              <w:spacing/>
              <w:ind/>
              <w:rPr/>
            </w:pPr>
            <w:r>
              <w:t xml:space="preserve">The Position transforms the question into a materially different problem-space.</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response_state:NSA</w:t>
            </w:r>
            <w:r/>
          </w:p>
        </w:tc>
        <w:tc>
          <w:tcPr>
            <w:shd w:val="clear" w:color="auto" w:fill="f4f6f7"/>
            <w:tcBorders/>
            <w:tcMar>
              <w:left w:w="55" w:type="dxa"/>
              <w:top w:w="45" w:type="dxa"/>
              <w:right w:w="55" w:type="dxa"/>
              <w:bottom w:w="45" w:type="dxa"/>
            </w:tcMar>
            <w:tcW w:w="2118" w:type="dxa"/>
            <w:vAlign w:val="top"/>
          </w:tcPr>
          <w:p>
            <w:pPr>
              <w:pStyle w:val="1089"/>
              <w:pBdr/>
              <w:spacing/>
              <w:ind/>
              <w:rPr/>
            </w:pPr>
            <w:r>
              <w:t xml:space="preserve">Not structurally salient</w:t>
            </w:r>
            <w:r/>
          </w:p>
        </w:tc>
        <w:tc>
          <w:tcPr>
            <w:shd w:val="clear" w:color="auto" w:fill="f4f6f7"/>
            <w:tcBorders/>
            <w:tcMar>
              <w:left w:w="55" w:type="dxa"/>
              <w:top w:w="45" w:type="dxa"/>
              <w:right w:w="55" w:type="dxa"/>
              <w:bottom w:w="45" w:type="dxa"/>
            </w:tcMar>
            <w:tcW w:w="5477" w:type="dxa"/>
            <w:vAlign w:val="top"/>
          </w:tcPr>
          <w:p>
            <w:pPr>
              <w:pStyle w:val="1089"/>
              <w:pBdr/>
              <w:spacing/>
              <w:ind/>
              <w:rPr/>
            </w:pPr>
            <w:r>
              <w:t xml:space="preserve">The question is not an important organizing problem in the bounded Position.</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response_state:VAR</w:t>
            </w:r>
            <w:r/>
          </w:p>
        </w:tc>
        <w:tc>
          <w:tcPr>
            <w:shd w:val="clear" w:color="auto" w:fill="ffffff"/>
            <w:tcBorders/>
            <w:tcMar>
              <w:left w:w="55" w:type="dxa"/>
              <w:top w:w="45" w:type="dxa"/>
              <w:right w:w="55" w:type="dxa"/>
              <w:bottom w:w="45" w:type="dxa"/>
            </w:tcMar>
            <w:tcW w:w="2118" w:type="dxa"/>
            <w:vAlign w:val="top"/>
          </w:tcPr>
          <w:p>
            <w:pPr>
              <w:pStyle w:val="1089"/>
              <w:pBdr/>
              <w:spacing/>
              <w:ind/>
              <w:rPr/>
            </w:pPr>
            <w:r>
              <w:t xml:space="preserve">Internally variable</w:t>
            </w:r>
            <w:r/>
          </w:p>
        </w:tc>
        <w:tc>
          <w:tcPr>
            <w:shd w:val="clear" w:color="auto" w:fill="ffffff"/>
            <w:tcBorders/>
            <w:tcMar>
              <w:left w:w="55" w:type="dxa"/>
              <w:top w:w="45" w:type="dxa"/>
              <w:right w:w="55" w:type="dxa"/>
              <w:bottom w:w="45" w:type="dxa"/>
            </w:tcMar>
            <w:tcW w:w="5477" w:type="dxa"/>
            <w:vAlign w:val="top"/>
          </w:tcPr>
          <w:p>
            <w:pPr>
              <w:pStyle w:val="1089"/>
              <w:pBdr/>
              <w:spacing/>
              <w:ind/>
              <w:rPr/>
            </w:pPr>
            <w:r>
              <w:t xml:space="preserve">Multiple materially different answers constitutively coexist within the adequately bounded unit.</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response_state:UND</w:t>
            </w:r>
            <w:r/>
          </w:p>
        </w:tc>
        <w:tc>
          <w:tcPr>
            <w:shd w:val="clear" w:color="auto" w:fill="f4f6f7"/>
            <w:tcBorders/>
            <w:tcMar>
              <w:left w:w="55" w:type="dxa"/>
              <w:top w:w="45" w:type="dxa"/>
              <w:right w:w="55" w:type="dxa"/>
              <w:bottom w:w="45" w:type="dxa"/>
            </w:tcMar>
            <w:tcW w:w="2118" w:type="dxa"/>
            <w:vAlign w:val="top"/>
          </w:tcPr>
          <w:p>
            <w:pPr>
              <w:pStyle w:val="1089"/>
              <w:pBdr/>
              <w:spacing/>
              <w:ind/>
              <w:rPr/>
            </w:pPr>
            <w:r>
              <w:t xml:space="preserve">Underdetermined by Position</w:t>
            </w:r>
            <w:r/>
          </w:p>
        </w:tc>
        <w:tc>
          <w:tcPr>
            <w:shd w:val="clear" w:color="auto" w:fill="f4f6f7"/>
            <w:tcBorders/>
            <w:tcMar>
              <w:left w:w="55" w:type="dxa"/>
              <w:top w:w="45" w:type="dxa"/>
              <w:right w:w="55" w:type="dxa"/>
              <w:bottom w:w="45" w:type="dxa"/>
            </w:tcMar>
            <w:tcW w:w="5477" w:type="dxa"/>
            <w:vAlign w:val="top"/>
          </w:tcPr>
          <w:p>
            <w:pPr>
              <w:pStyle w:val="1089"/>
              <w:pBdr/>
              <w:spacing/>
              <w:ind/>
              <w:rPr/>
            </w:pPr>
            <w:r>
              <w:t xml:space="preserve">Even with adequate evidence, the bounded Position itself leaves the issue open.</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response_state:IND</w:t>
            </w:r>
            <w:r/>
          </w:p>
        </w:tc>
        <w:tc>
          <w:tcPr>
            <w:shd w:val="clear" w:color="auto" w:fill="ffffff"/>
            <w:tcBorders/>
            <w:tcMar>
              <w:left w:w="55" w:type="dxa"/>
              <w:top w:w="45" w:type="dxa"/>
              <w:right w:w="55" w:type="dxa"/>
              <w:bottom w:w="45" w:type="dxa"/>
            </w:tcMar>
            <w:tcW w:w="2118" w:type="dxa"/>
            <w:vAlign w:val="top"/>
          </w:tcPr>
          <w:p>
            <w:pPr>
              <w:pStyle w:val="1089"/>
              <w:pBdr/>
              <w:spacing/>
              <w:ind/>
              <w:rPr/>
            </w:pPr>
            <w:r>
              <w:t xml:space="preserve">Indeterminate</w:t>
            </w:r>
            <w:r/>
          </w:p>
        </w:tc>
        <w:tc>
          <w:tcPr>
            <w:shd w:val="clear" w:color="auto" w:fill="ffffff"/>
            <w:tcBorders/>
            <w:tcMar>
              <w:left w:w="55" w:type="dxa"/>
              <w:top w:w="45" w:type="dxa"/>
              <w:right w:w="55" w:type="dxa"/>
              <w:bottom w:w="45" w:type="dxa"/>
            </w:tcMar>
            <w:tcW w:w="5477" w:type="dxa"/>
            <w:vAlign w:val="top"/>
          </w:tcPr>
          <w:p>
            <w:pPr>
              <w:pStyle w:val="1089"/>
              <w:pBdr/>
              <w:spacing/>
              <w:ind/>
              <w:rPr/>
            </w:pPr>
            <w:r>
              <w:t xml:space="preserve">Relevant evidence exists, but a stable interpretation cannot presently be established.</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response_state:INS</w:t>
            </w:r>
            <w:r/>
          </w:p>
        </w:tc>
        <w:tc>
          <w:tcPr>
            <w:shd w:val="clear" w:color="auto" w:fill="f4f6f7"/>
            <w:tcBorders/>
            <w:tcMar>
              <w:left w:w="55" w:type="dxa"/>
              <w:top w:w="45" w:type="dxa"/>
              <w:right w:w="55" w:type="dxa"/>
              <w:bottom w:w="45" w:type="dxa"/>
            </w:tcMar>
            <w:tcW w:w="2118" w:type="dxa"/>
            <w:vAlign w:val="top"/>
          </w:tcPr>
          <w:p>
            <w:pPr>
              <w:pStyle w:val="1089"/>
              <w:pBdr/>
              <w:spacing/>
              <w:ind/>
              <w:rPr/>
            </w:pPr>
            <w:r>
              <w:t xml:space="preserve">Source-insufficient</w:t>
            </w:r>
            <w:r/>
          </w:p>
        </w:tc>
        <w:tc>
          <w:tcPr>
            <w:shd w:val="clear" w:color="auto" w:fill="f4f6f7"/>
            <w:tcBorders/>
            <w:tcMar>
              <w:left w:w="55" w:type="dxa"/>
              <w:top w:w="45" w:type="dxa"/>
              <w:right w:w="55" w:type="dxa"/>
              <w:bottom w:w="45" w:type="dxa"/>
            </w:tcMar>
            <w:tcW w:w="5477" w:type="dxa"/>
            <w:vAlign w:val="top"/>
          </w:tcPr>
          <w:p>
            <w:pPr>
              <w:pStyle w:val="1089"/>
              <w:pBdr/>
              <w:spacing/>
              <w:ind/>
              <w:rPr/>
            </w:pPr>
            <w:r>
              <w:t xml:space="preserve">More or better evidence could plausibly settle the record; the present source package is inadequate.</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response_modifier:CAT</w:t>
            </w:r>
            <w:r/>
          </w:p>
        </w:tc>
        <w:tc>
          <w:tcPr>
            <w:shd w:val="clear" w:color="auto" w:fill="ffffff"/>
            <w:tcBorders/>
            <w:tcMar>
              <w:left w:w="55" w:type="dxa"/>
              <w:top w:w="45" w:type="dxa"/>
              <w:right w:w="55" w:type="dxa"/>
              <w:bottom w:w="45" w:type="dxa"/>
            </w:tcMar>
            <w:tcW w:w="2118" w:type="dxa"/>
            <w:vAlign w:val="top"/>
          </w:tcPr>
          <w:p>
            <w:pPr>
              <w:pStyle w:val="1089"/>
              <w:pBdr/>
              <w:spacing/>
              <w:ind/>
              <w:rPr/>
            </w:pPr>
            <w:r>
              <w:t xml:space="preserve">Category warning - modifier</w:t>
            </w:r>
            <w:r/>
          </w:p>
        </w:tc>
        <w:tc>
          <w:tcPr>
            <w:shd w:val="clear" w:color="auto" w:fill="ffffff"/>
            <w:tcBorders/>
            <w:tcMar>
              <w:left w:w="55" w:type="dxa"/>
              <w:top w:w="45" w:type="dxa"/>
              <w:right w:w="55" w:type="dxa"/>
              <w:bottom w:w="45" w:type="dxa"/>
            </w:tcMar>
            <w:tcW w:w="5477" w:type="dxa"/>
            <w:vAlign w:val="top"/>
          </w:tcPr>
          <w:p>
            <w:pPr>
              <w:pStyle w:val="1089"/>
              <w:pBdr/>
              <w:spacing/>
              <w:ind/>
              <w:rPr/>
            </w:pPr>
            <w:r>
              <w:t xml:space="preserve">The Atlas question, translation or partition risks importing an alien distinction; never a claim of total incommensurability.</w:t>
            </w:r>
            <w:r/>
          </w:p>
        </w:tc>
      </w:tr>
    </w:tbl>
    <w:p>
      <w:pPr>
        <w:pStyle w:val="1097"/>
        <w:pBdr/>
        <w:spacing/>
        <w:ind/>
        <w:rPr/>
      </w:pPr>
      <w:r/>
      <w:r/>
    </w:p>
    <w:p>
      <w:pPr>
        <w:pStyle w:val="1086"/>
        <w:keepNext w:val="true"/>
        <w:keepLines w:val="true"/>
        <w:pBdr/>
        <w:spacing/>
        <w:ind/>
        <w:rPr/>
      </w:pPr>
      <w:r/>
      <w:bookmarkStart w:id="86" w:name="tbl_claim_attachment"/>
      <w:r>
        <w:t xml:space="preserve">Governing — Claim attachment values</w:t>
      </w:r>
      <w:bookmarkEnd w:id="86"/>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629"/>
        <w:gridCol w:w="2264"/>
        <w:gridCol w:w="5112"/>
      </w:tblGrid>
      <w:tr>
        <w:trPr>
          <w:cantSplit/>
          <w:tblHeader/>
        </w:trPr>
        <w:tc>
          <w:tcPr>
            <w:shd w:val="clear" w:color="auto" w:fill="1f5d7a"/>
            <w:tcBorders/>
            <w:tcMar>
              <w:left w:w="55" w:type="dxa"/>
              <w:top w:w="45" w:type="dxa"/>
              <w:right w:w="55" w:type="dxa"/>
              <w:bottom w:w="45" w:type="dxa"/>
            </w:tcMar>
            <w:tcW w:w="2629" w:type="dxa"/>
            <w:vAlign w:val="top"/>
          </w:tcPr>
          <w:p>
            <w:pPr>
              <w:pStyle w:val="1090"/>
              <w:pBdr/>
              <w:spacing/>
              <w:ind/>
              <w:rPr/>
            </w:pPr>
            <w:r>
              <w:t xml:space="preserve">Qualified value</w:t>
            </w:r>
            <w:r/>
          </w:p>
        </w:tc>
        <w:tc>
          <w:tcPr>
            <w:shd w:val="clear" w:color="auto" w:fill="1f5d7a"/>
            <w:tcBorders/>
            <w:tcMar>
              <w:left w:w="55" w:type="dxa"/>
              <w:top w:w="45" w:type="dxa"/>
              <w:right w:w="55" w:type="dxa"/>
              <w:bottom w:w="45" w:type="dxa"/>
            </w:tcMar>
            <w:tcW w:w="2264" w:type="dxa"/>
            <w:vAlign w:val="top"/>
          </w:tcPr>
          <w:p>
            <w:pPr>
              <w:pStyle w:val="1090"/>
              <w:pBdr/>
              <w:spacing/>
              <w:ind/>
              <w:rPr/>
            </w:pPr>
            <w:r>
              <w:t xml:space="preserve">Attachment</w:t>
            </w:r>
            <w:r/>
          </w:p>
        </w:tc>
        <w:tc>
          <w:tcPr>
            <w:shd w:val="clear" w:color="auto" w:fill="1f5d7a"/>
            <w:tcBorders/>
            <w:tcMar>
              <w:left w:w="55" w:type="dxa"/>
              <w:top w:w="45" w:type="dxa"/>
              <w:right w:w="55" w:type="dxa"/>
              <w:bottom w:w="45" w:type="dxa"/>
            </w:tcMar>
            <w:tcW w:w="5112" w:type="dxa"/>
            <w:vAlign w:val="top"/>
          </w:tcPr>
          <w:p>
            <w:pPr>
              <w:pStyle w:val="1090"/>
              <w:pBdr/>
              <w:spacing/>
              <w:ind/>
              <w:rPr/>
            </w:pPr>
            <w:r>
              <w:t xml:space="preserve">Rule</w:t>
            </w:r>
            <w:r/>
          </w:p>
        </w:tc>
      </w:tr>
      <w:tr>
        <w:trPr>
          <w:cantSplit/>
        </w:trPr>
        <w:tc>
          <w:tcPr>
            <w:shd w:val="clear" w:color="auto" w:fill="ffffff"/>
            <w:tcBorders/>
            <w:tcMar>
              <w:left w:w="55" w:type="dxa"/>
              <w:top w:w="45" w:type="dxa"/>
              <w:right w:w="55" w:type="dxa"/>
              <w:bottom w:w="45" w:type="dxa"/>
            </w:tcMar>
            <w:tcW w:w="2629" w:type="dxa"/>
            <w:vAlign w:val="top"/>
          </w:tcPr>
          <w:p>
            <w:pPr>
              <w:pStyle w:val="1089"/>
              <w:pBdr/>
              <w:spacing/>
              <w:ind/>
              <w:rPr/>
            </w:pPr>
            <w:r>
              <w:t xml:space="preserve">claim_attachment:DEF</w:t>
            </w:r>
            <w:r/>
          </w:p>
        </w:tc>
        <w:tc>
          <w:tcPr>
            <w:shd w:val="clear" w:color="auto" w:fill="ffffff"/>
            <w:tcBorders/>
            <w:tcMar>
              <w:left w:w="55" w:type="dxa"/>
              <w:top w:w="45" w:type="dxa"/>
              <w:right w:w="55" w:type="dxa"/>
              <w:bottom w:w="45" w:type="dxa"/>
            </w:tcMar>
            <w:tcW w:w="2264" w:type="dxa"/>
            <w:vAlign w:val="top"/>
          </w:tcPr>
          <w:p>
            <w:pPr>
              <w:pStyle w:val="1089"/>
              <w:pBdr/>
              <w:spacing/>
              <w:ind/>
              <w:rPr/>
            </w:pPr>
            <w:r>
              <w:t xml:space="preserve">Definitional / constitutive</w:t>
            </w:r>
            <w:r/>
          </w:p>
        </w:tc>
        <w:tc>
          <w:tcPr>
            <w:shd w:val="clear" w:color="auto" w:fill="ffffff"/>
            <w:tcBorders/>
            <w:tcMar>
              <w:left w:w="55" w:type="dxa"/>
              <w:top w:w="45" w:type="dxa"/>
              <w:right w:w="55" w:type="dxa"/>
              <w:bottom w:w="45" w:type="dxa"/>
            </w:tcMar>
            <w:tcW w:w="5112" w:type="dxa"/>
            <w:vAlign w:val="top"/>
          </w:tcPr>
          <w:p>
            <w:pPr>
              <w:pStyle w:val="1089"/>
              <w:pBdr/>
              <w:spacing/>
              <w:ind/>
              <w:rPr/>
            </w:pPr>
            <w:r>
              <w:t xml:space="preserve">Required for what makes the bounded Position the Position under study.</w:t>
            </w:r>
            <w:r/>
          </w:p>
        </w:tc>
      </w:tr>
      <w:tr>
        <w:trPr>
          <w:cantSplit/>
        </w:trPr>
        <w:tc>
          <w:tcPr>
            <w:shd w:val="clear" w:color="auto" w:fill="f4f6f7"/>
            <w:tcBorders/>
            <w:tcMar>
              <w:left w:w="55" w:type="dxa"/>
              <w:top w:w="45" w:type="dxa"/>
              <w:right w:w="55" w:type="dxa"/>
              <w:bottom w:w="45" w:type="dxa"/>
            </w:tcMar>
            <w:tcW w:w="2629" w:type="dxa"/>
            <w:vAlign w:val="top"/>
          </w:tcPr>
          <w:p>
            <w:pPr>
              <w:pStyle w:val="1089"/>
              <w:pBdr/>
              <w:spacing/>
              <w:ind/>
              <w:rPr/>
            </w:pPr>
            <w:r>
              <w:t xml:space="preserve">claim_attachment:EXP</w:t>
            </w:r>
            <w:r/>
          </w:p>
        </w:tc>
        <w:tc>
          <w:tcPr>
            <w:shd w:val="clear" w:color="auto" w:fill="f4f6f7"/>
            <w:tcBorders/>
            <w:tcMar>
              <w:left w:w="55" w:type="dxa"/>
              <w:top w:w="45" w:type="dxa"/>
              <w:right w:w="55" w:type="dxa"/>
              <w:bottom w:w="45" w:type="dxa"/>
            </w:tcMar>
            <w:tcW w:w="2264" w:type="dxa"/>
            <w:vAlign w:val="top"/>
          </w:tcPr>
          <w:p>
            <w:pPr>
              <w:pStyle w:val="1089"/>
              <w:pBdr/>
              <w:spacing/>
              <w:ind/>
              <w:rPr/>
            </w:pPr>
            <w:r>
              <w:t xml:space="preserve">Explicitly asserted</w:t>
            </w:r>
            <w:r/>
          </w:p>
        </w:tc>
        <w:tc>
          <w:tcPr>
            <w:shd w:val="clear" w:color="auto" w:fill="f4f6f7"/>
            <w:tcBorders/>
            <w:tcMar>
              <w:left w:w="55" w:type="dxa"/>
              <w:top w:w="45" w:type="dxa"/>
              <w:right w:w="55" w:type="dxa"/>
              <w:bottom w:w="45" w:type="dxa"/>
            </w:tcMar>
            <w:tcW w:w="5112" w:type="dxa"/>
            <w:vAlign w:val="top"/>
          </w:tcPr>
          <w:p>
            <w:pPr>
              <w:pStyle w:val="1089"/>
              <w:pBdr/>
              <w:spacing/>
              <w:ind/>
              <w:rPr/>
            </w:pPr>
            <w:r>
              <w:t xml:space="preserve">Directly stated in principal source(s) but not necessarily constitutive.</w:t>
            </w:r>
            <w:r/>
          </w:p>
        </w:tc>
      </w:tr>
      <w:tr>
        <w:trPr>
          <w:cantSplit/>
        </w:trPr>
        <w:tc>
          <w:tcPr>
            <w:shd w:val="clear" w:color="auto" w:fill="ffffff"/>
            <w:tcBorders/>
            <w:tcMar>
              <w:left w:w="55" w:type="dxa"/>
              <w:top w:w="45" w:type="dxa"/>
              <w:right w:w="55" w:type="dxa"/>
              <w:bottom w:w="45" w:type="dxa"/>
            </w:tcMar>
            <w:tcW w:w="2629" w:type="dxa"/>
            <w:vAlign w:val="top"/>
          </w:tcPr>
          <w:p>
            <w:pPr>
              <w:pStyle w:val="1089"/>
              <w:pBdr/>
              <w:spacing/>
              <w:ind/>
              <w:rPr/>
            </w:pPr>
            <w:r>
              <w:t xml:space="preserve">claim_attachment:DER</w:t>
            </w:r>
            <w:r/>
          </w:p>
        </w:tc>
        <w:tc>
          <w:tcPr>
            <w:shd w:val="clear" w:color="auto" w:fill="ffffff"/>
            <w:tcBorders/>
            <w:tcMar>
              <w:left w:w="55" w:type="dxa"/>
              <w:top w:w="45" w:type="dxa"/>
              <w:right w:w="55" w:type="dxa"/>
              <w:bottom w:w="45" w:type="dxa"/>
            </w:tcMar>
            <w:tcW w:w="2264" w:type="dxa"/>
            <w:vAlign w:val="top"/>
          </w:tcPr>
          <w:p>
            <w:pPr>
              <w:pStyle w:val="1089"/>
              <w:pBdr/>
              <w:spacing/>
              <w:ind/>
              <w:rPr/>
            </w:pPr>
            <w:r>
              <w:t xml:space="preserve">Derived / strongly implied</w:t>
            </w:r>
            <w:r/>
          </w:p>
        </w:tc>
        <w:tc>
          <w:tcPr>
            <w:shd w:val="clear" w:color="auto" w:fill="ffffff"/>
            <w:tcBorders/>
            <w:tcMar>
              <w:left w:w="55" w:type="dxa"/>
              <w:top w:w="45" w:type="dxa"/>
              <w:right w:w="55" w:type="dxa"/>
              <w:bottom w:w="45" w:type="dxa"/>
            </w:tcMar>
            <w:tcW w:w="5112" w:type="dxa"/>
            <w:vAlign w:val="top"/>
          </w:tcPr>
          <w:p>
            <w:pPr>
              <w:pStyle w:val="1089"/>
              <w:pBdr/>
              <w:spacing/>
              <w:ind/>
              <w:rPr/>
            </w:pPr>
            <w:r>
              <w:t xml:space="preserve">Follows by a documented inference from source-grounded claims; derivation MUST be explicit.</w:t>
            </w:r>
            <w:r/>
          </w:p>
        </w:tc>
      </w:tr>
      <w:tr>
        <w:trPr>
          <w:cantSplit/>
        </w:trPr>
        <w:tc>
          <w:tcPr>
            <w:shd w:val="clear" w:color="auto" w:fill="f4f6f7"/>
            <w:tcBorders/>
            <w:tcMar>
              <w:left w:w="55" w:type="dxa"/>
              <w:top w:w="45" w:type="dxa"/>
              <w:right w:w="55" w:type="dxa"/>
              <w:bottom w:w="45" w:type="dxa"/>
            </w:tcMar>
            <w:tcW w:w="2629" w:type="dxa"/>
            <w:vAlign w:val="top"/>
          </w:tcPr>
          <w:p>
            <w:pPr>
              <w:pStyle w:val="1089"/>
              <w:pBdr/>
              <w:spacing/>
              <w:ind/>
              <w:rPr/>
            </w:pPr>
            <w:r>
              <w:t xml:space="preserve">claim_attachment:CTX</w:t>
            </w:r>
            <w:r/>
          </w:p>
        </w:tc>
        <w:tc>
          <w:tcPr>
            <w:shd w:val="clear" w:color="auto" w:fill="f4f6f7"/>
            <w:tcBorders/>
            <w:tcMar>
              <w:left w:w="55" w:type="dxa"/>
              <w:top w:w="45" w:type="dxa"/>
              <w:right w:w="55" w:type="dxa"/>
              <w:bottom w:w="45" w:type="dxa"/>
            </w:tcMar>
            <w:tcW w:w="2264" w:type="dxa"/>
            <w:vAlign w:val="top"/>
          </w:tcPr>
          <w:p>
            <w:pPr>
              <w:pStyle w:val="1089"/>
              <w:pBdr/>
              <w:spacing/>
              <w:ind/>
              <w:rPr/>
            </w:pPr>
            <w:r>
              <w:t xml:space="preserve">Contextual</w:t>
            </w:r>
            <w:r/>
          </w:p>
        </w:tc>
        <w:tc>
          <w:tcPr>
            <w:shd w:val="clear" w:color="auto" w:fill="f4f6f7"/>
            <w:tcBorders/>
            <w:tcMar>
              <w:left w:w="55" w:type="dxa"/>
              <w:top w:w="45" w:type="dxa"/>
              <w:right w:w="55" w:type="dxa"/>
              <w:bottom w:w="45" w:type="dxa"/>
            </w:tcMar>
            <w:tcW w:w="5112" w:type="dxa"/>
            <w:vAlign w:val="top"/>
          </w:tcPr>
          <w:p>
            <w:pPr>
              <w:pStyle w:val="1089"/>
              <w:pBdr/>
              <w:spacing/>
              <w:ind/>
              <w:rPr/>
            </w:pPr>
            <w:r>
              <w:t xml:space="preserve">Needed to understand the Position but belongs to wider tradition, discourse or background rather than the bounded Position's commitments.</w:t>
            </w:r>
            <w:r/>
          </w:p>
        </w:tc>
      </w:tr>
    </w:tbl>
    <w:p>
      <w:pPr>
        <w:pStyle w:val="1097"/>
        <w:pBdr/>
        <w:spacing/>
        <w:ind/>
        <w:rPr/>
      </w:pPr>
      <w:r/>
      <w:r/>
    </w:p>
    <w:p>
      <w:pPr>
        <w:pStyle w:val="1086"/>
        <w:keepNext w:val="true"/>
        <w:keepLines w:val="true"/>
        <w:pBdr/>
        <w:spacing/>
        <w:ind/>
        <w:rPr/>
      </w:pPr>
      <w:r/>
      <w:bookmarkStart w:id="87" w:name="tbl_claim_origin"/>
      <w:r>
        <w:t xml:space="preserve">Governing — Claim origin values</w:t>
      </w:r>
      <w:bookmarkEnd w:id="87"/>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921"/>
        <w:gridCol w:w="7085"/>
      </w:tblGrid>
      <w:tr>
        <w:trPr>
          <w:cantSplit/>
          <w:tblHeader/>
        </w:trPr>
        <w:tc>
          <w:tcPr>
            <w:shd w:val="clear" w:color="auto" w:fill="1f5d7a"/>
            <w:tcBorders/>
            <w:tcMar>
              <w:left w:w="70" w:type="dxa"/>
              <w:top w:w="55" w:type="dxa"/>
              <w:right w:w="70" w:type="dxa"/>
              <w:bottom w:w="55" w:type="dxa"/>
            </w:tcMar>
            <w:tcW w:w="2921" w:type="dxa"/>
            <w:vAlign w:val="top"/>
          </w:tcPr>
          <w:p>
            <w:pPr>
              <w:pStyle w:val="1087"/>
              <w:pBdr/>
              <w:spacing/>
              <w:ind/>
              <w:rPr/>
            </w:pPr>
            <w:r>
              <w:t xml:space="preserve">Qualified value</w:t>
            </w:r>
            <w:r/>
          </w:p>
        </w:tc>
        <w:tc>
          <w:tcPr>
            <w:shd w:val="clear" w:color="auto" w:fill="1f5d7a"/>
            <w:tcBorders/>
            <w:tcMar>
              <w:left w:w="70" w:type="dxa"/>
              <w:top w:w="55" w:type="dxa"/>
              <w:right w:w="70" w:type="dxa"/>
              <w:bottom w:w="55" w:type="dxa"/>
            </w:tcMar>
            <w:tcW w:w="7085" w:type="dxa"/>
            <w:vAlign w:val="top"/>
          </w:tcPr>
          <w:p>
            <w:pPr>
              <w:pStyle w:val="1087"/>
              <w:pBdr/>
              <w:spacing/>
              <w:ind/>
              <w:rPr/>
            </w:pPr>
            <w:r>
              <w:t xml:space="preserve">Meaning</w:t>
            </w:r>
            <w:r/>
          </w:p>
        </w:tc>
      </w:tr>
      <w:tr>
        <w:trPr>
          <w:cantSplit/>
        </w:trPr>
        <w:tc>
          <w:tcPr>
            <w:shd w:val="clear" w:color="auto" w:fill="ffffff"/>
            <w:tcBorders/>
            <w:tcMar>
              <w:left w:w="70" w:type="dxa"/>
              <w:top w:w="55" w:type="dxa"/>
              <w:right w:w="70" w:type="dxa"/>
              <w:bottom w:w="55" w:type="dxa"/>
            </w:tcMar>
            <w:tcW w:w="2921" w:type="dxa"/>
            <w:vAlign w:val="top"/>
          </w:tcPr>
          <w:p>
            <w:pPr>
              <w:pStyle w:val="1088"/>
              <w:pBdr/>
              <w:spacing/>
              <w:ind/>
              <w:rPr/>
            </w:pPr>
            <w:r>
              <w:t xml:space="preserve">claim_origin:SOURCE_GROUNDED</w:t>
            </w:r>
            <w:r/>
          </w:p>
        </w:tc>
        <w:tc>
          <w:tcPr>
            <w:shd w:val="clear" w:color="auto" w:fill="ffffff"/>
            <w:tcBorders/>
            <w:tcMar>
              <w:left w:w="70" w:type="dxa"/>
              <w:top w:w="55" w:type="dxa"/>
              <w:right w:w="70" w:type="dxa"/>
              <w:bottom w:w="55" w:type="dxa"/>
            </w:tcMar>
            <w:tcW w:w="7085" w:type="dxa"/>
            <w:vAlign w:val="top"/>
          </w:tcPr>
          <w:p>
            <w:pPr>
              <w:pStyle w:val="1088"/>
              <w:pBdr/>
              <w:spacing/>
              <w:ind/>
              <w:rPr/>
            </w:pPr>
            <w:r>
              <w:t xml:space="preserve">Attribution is grounded in human-verifiable external evidence; release requires fit-for-purpose EvidenceLink(s) with exact locator(s).</w:t>
            </w:r>
            <w:r/>
          </w:p>
        </w:tc>
      </w:tr>
      <w:tr>
        <w:trPr>
          <w:cantSplit/>
        </w:trPr>
        <w:tc>
          <w:tcPr>
            <w:shd w:val="clear" w:color="auto" w:fill="f4f6f7"/>
            <w:tcBorders/>
            <w:tcMar>
              <w:left w:w="70" w:type="dxa"/>
              <w:top w:w="55" w:type="dxa"/>
              <w:right w:w="70" w:type="dxa"/>
              <w:bottom w:w="55" w:type="dxa"/>
            </w:tcMar>
            <w:tcW w:w="2921" w:type="dxa"/>
            <w:vAlign w:val="top"/>
          </w:tcPr>
          <w:p>
            <w:pPr>
              <w:pStyle w:val="1088"/>
              <w:pBdr/>
              <w:spacing/>
              <w:ind/>
              <w:rPr/>
            </w:pPr>
            <w:r>
              <w:t xml:space="preserve">claim_origin:ATLAS_INFERENCE</w:t>
            </w:r>
            <w:r/>
          </w:p>
        </w:tc>
        <w:tc>
          <w:tcPr>
            <w:shd w:val="clear" w:color="auto" w:fill="f4f6f7"/>
            <w:tcBorders/>
            <w:tcMar>
              <w:left w:w="70" w:type="dxa"/>
              <w:top w:w="55" w:type="dxa"/>
              <w:right w:w="70" w:type="dxa"/>
              <w:bottom w:w="55" w:type="dxa"/>
            </w:tcMar>
            <w:tcW w:w="7085" w:type="dxa"/>
            <w:vAlign w:val="top"/>
          </w:tcPr>
          <w:p>
            <w:pPr>
              <w:pStyle w:val="1088"/>
              <w:pBdr/>
              <w:spacing/>
              <w:ind/>
              <w:rPr/>
            </w:pPr>
            <w:r>
              <w:t xml:space="preserve">Atlas-generated derivation, comparison, abstraction, classification or synthesis; requires source-grounded input claims and an inference rationale and is never represented as a SourceRecord.</w:t>
            </w:r>
            <w:r/>
          </w:p>
        </w:tc>
      </w:tr>
    </w:tbl>
    <w:p>
      <w:pPr>
        <w:pStyle w:val="1097"/>
        <w:pBdr/>
        <w:spacing/>
        <w:ind/>
        <w:rPr/>
      </w:pPr>
      <w:r/>
      <w:r/>
    </w:p>
    <w:p>
      <w:pPr>
        <w:pStyle w:val="923"/>
        <w:keepNext w:val="true"/>
        <w:keepLines w:val="true"/>
        <w:pBdr/>
        <w:spacing/>
        <w:ind/>
        <w:rPr/>
      </w:pPr>
      <w:r/>
      <w:bookmarkStart w:id="88" w:name="annex_a3_relations"/>
      <w:r>
        <w:t xml:space="preserve">A3. Comparative relation values</w:t>
      </w:r>
      <w:bookmarkEnd w:id="88"/>
      <w:r/>
      <w:r/>
    </w:p>
    <w:p>
      <w:pPr>
        <w:pStyle w:val="1086"/>
        <w:keepNext w:val="true"/>
        <w:keepLines w:val="true"/>
        <w:pBdr/>
        <w:spacing/>
        <w:ind/>
        <w:rPr/>
      </w:pPr>
      <w:r/>
      <w:bookmarkStart w:id="89" w:name="tbl_relation_values"/>
      <w:r>
        <w:t xml:space="preserve">Governing — Eleven comparative relation types and minimum burden</w:t>
      </w:r>
      <w:bookmarkEnd w:id="89"/>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1826"/>
        <w:gridCol w:w="2410"/>
        <w:gridCol w:w="5769"/>
      </w:tblGrid>
      <w:tr>
        <w:trPr>
          <w:cantSplit/>
          <w:tblHeader/>
        </w:trPr>
        <w:tc>
          <w:tcPr>
            <w:shd w:val="clear" w:color="auto" w:fill="1f5d7a"/>
            <w:tcBorders/>
            <w:tcMar>
              <w:left w:w="55" w:type="dxa"/>
              <w:top w:w="45" w:type="dxa"/>
              <w:right w:w="55" w:type="dxa"/>
              <w:bottom w:w="45" w:type="dxa"/>
            </w:tcMar>
            <w:tcW w:w="1826" w:type="dxa"/>
            <w:vAlign w:val="top"/>
          </w:tcPr>
          <w:p>
            <w:pPr>
              <w:pStyle w:val="1090"/>
              <w:pBdr/>
              <w:spacing/>
              <w:ind/>
              <w:rPr/>
            </w:pPr>
            <w:r>
              <w:t xml:space="preserve">Qualified value</w:t>
            </w:r>
            <w:r/>
          </w:p>
        </w:tc>
        <w:tc>
          <w:tcPr>
            <w:shd w:val="clear" w:color="auto" w:fill="1f5d7a"/>
            <w:tcBorders/>
            <w:tcMar>
              <w:left w:w="55" w:type="dxa"/>
              <w:top w:w="45" w:type="dxa"/>
              <w:right w:w="55" w:type="dxa"/>
              <w:bottom w:w="45" w:type="dxa"/>
            </w:tcMar>
            <w:tcW w:w="2410" w:type="dxa"/>
            <w:vAlign w:val="top"/>
          </w:tcPr>
          <w:p>
            <w:pPr>
              <w:pStyle w:val="1090"/>
              <w:pBdr/>
              <w:spacing/>
              <w:ind/>
              <w:rPr/>
            </w:pPr>
            <w:r>
              <w:t xml:space="preserve">Relation</w:t>
            </w:r>
            <w:r/>
          </w:p>
        </w:tc>
        <w:tc>
          <w:tcPr>
            <w:shd w:val="clear" w:color="auto" w:fill="1f5d7a"/>
            <w:tcBorders/>
            <w:tcMar>
              <w:left w:w="55" w:type="dxa"/>
              <w:top w:w="45" w:type="dxa"/>
              <w:right w:w="55" w:type="dxa"/>
              <w:bottom w:w="45" w:type="dxa"/>
            </w:tcMar>
            <w:tcW w:w="5769" w:type="dxa"/>
            <w:vAlign w:val="top"/>
          </w:tcPr>
          <w:p>
            <w:pPr>
              <w:pStyle w:val="1090"/>
              <w:pBdr/>
              <w:spacing/>
              <w:ind/>
              <w:rPr/>
            </w:pPr>
            <w:r>
              <w:t xml:space="preserve">Minimum requirement</w:t>
            </w:r>
            <w:r/>
          </w:p>
        </w:tc>
      </w:tr>
      <w:tr>
        <w:trPr>
          <w:cantSplit/>
        </w:trPr>
        <w:tc>
          <w:tcPr>
            <w:shd w:val="clear" w:color="auto" w:fill="ffffff"/>
            <w:tcBorders/>
            <w:tcMar>
              <w:left w:w="55" w:type="dxa"/>
              <w:top w:w="45" w:type="dxa"/>
              <w:right w:w="55" w:type="dxa"/>
              <w:bottom w:w="45" w:type="dxa"/>
            </w:tcMar>
            <w:tcW w:w="1826" w:type="dxa"/>
            <w:vAlign w:val="top"/>
          </w:tcPr>
          <w:p>
            <w:pPr>
              <w:pStyle w:val="1089"/>
              <w:pBdr/>
              <w:spacing/>
              <w:ind/>
              <w:rPr/>
            </w:pPr>
            <w:r>
              <w:t xml:space="preserve">relation:LEX</w:t>
            </w:r>
            <w:r/>
          </w:p>
        </w:tc>
        <w:tc>
          <w:tcPr>
            <w:shd w:val="clear" w:color="auto" w:fill="ffffff"/>
            <w:tcBorders/>
            <w:tcMar>
              <w:left w:w="55" w:type="dxa"/>
              <w:top w:w="45" w:type="dxa"/>
              <w:right w:w="55" w:type="dxa"/>
              <w:bottom w:w="45" w:type="dxa"/>
            </w:tcMar>
            <w:tcW w:w="2410" w:type="dxa"/>
            <w:vAlign w:val="top"/>
          </w:tcPr>
          <w:p>
            <w:pPr>
              <w:pStyle w:val="1089"/>
              <w:pBdr/>
              <w:spacing/>
              <w:ind/>
              <w:rPr/>
            </w:pPr>
            <w:r>
              <w:t xml:space="preserve">Lexical resemblance</w:t>
            </w:r>
            <w:r/>
          </w:p>
        </w:tc>
        <w:tc>
          <w:tcPr>
            <w:shd w:val="clear" w:color="auto" w:fill="ffffff"/>
            <w:tcBorders/>
            <w:tcMar>
              <w:left w:w="55" w:type="dxa"/>
              <w:top w:w="45" w:type="dxa"/>
              <w:right w:w="55" w:type="dxa"/>
              <w:bottom w:w="45" w:type="dxa"/>
            </w:tcMar>
            <w:tcW w:w="5769" w:type="dxa"/>
            <w:vAlign w:val="top"/>
          </w:tcPr>
          <w:p>
            <w:pPr>
              <w:pStyle w:val="1089"/>
              <w:pBdr/>
              <w:spacing/>
              <w:ind/>
              <w:rPr/>
            </w:pPr>
            <w:r>
              <w:t xml:space="preserve">Terms or glosses resemble. No conceptual conclusion follows.</w:t>
            </w:r>
            <w:r/>
          </w:p>
        </w:tc>
      </w:tr>
      <w:tr>
        <w:trPr>
          <w:cantSplit/>
        </w:trPr>
        <w:tc>
          <w:tcPr>
            <w:shd w:val="clear" w:color="auto" w:fill="f4f6f7"/>
            <w:tcBorders/>
            <w:tcMar>
              <w:left w:w="55" w:type="dxa"/>
              <w:top w:w="45" w:type="dxa"/>
              <w:right w:w="55" w:type="dxa"/>
              <w:bottom w:w="45" w:type="dxa"/>
            </w:tcMar>
            <w:tcW w:w="1826" w:type="dxa"/>
            <w:vAlign w:val="top"/>
          </w:tcPr>
          <w:p>
            <w:pPr>
              <w:pStyle w:val="1089"/>
              <w:pBdr/>
              <w:spacing/>
              <w:ind/>
              <w:rPr/>
            </w:pPr>
            <w:r>
              <w:t xml:space="preserve">relation:SEM</w:t>
            </w:r>
            <w:r/>
          </w:p>
        </w:tc>
        <w:tc>
          <w:tcPr>
            <w:shd w:val="clear" w:color="auto" w:fill="f4f6f7"/>
            <w:tcBorders/>
            <w:tcMar>
              <w:left w:w="55" w:type="dxa"/>
              <w:top w:w="45" w:type="dxa"/>
              <w:right w:w="55" w:type="dxa"/>
              <w:bottom w:w="45" w:type="dxa"/>
            </w:tcMar>
            <w:tcW w:w="2410" w:type="dxa"/>
            <w:vAlign w:val="top"/>
          </w:tcPr>
          <w:p>
            <w:pPr>
              <w:pStyle w:val="1089"/>
              <w:pBdr/>
              <w:spacing/>
              <w:ind/>
              <w:rPr/>
            </w:pPr>
            <w:r>
              <w:t xml:space="preserve">Semantic overlap</w:t>
            </w:r>
            <w:r/>
          </w:p>
        </w:tc>
        <w:tc>
          <w:tcPr>
            <w:shd w:val="clear" w:color="auto" w:fill="f4f6f7"/>
            <w:tcBorders/>
            <w:tcMar>
              <w:left w:w="55" w:type="dxa"/>
              <w:top w:w="45" w:type="dxa"/>
              <w:right w:w="55" w:type="dxa"/>
              <w:bottom w:w="45" w:type="dxa"/>
            </w:tcMar>
            <w:tcW w:w="5769" w:type="dxa"/>
            <w:vAlign w:val="top"/>
          </w:tcPr>
          <w:p>
            <w:pPr>
              <w:pStyle w:val="1089"/>
              <w:pBdr/>
              <w:spacing/>
              <w:ind/>
              <w:rPr/>
            </w:pPr>
            <w:r>
              <w:t xml:space="preserve">Shared semantic range is specified together with non-overlap.</w:t>
            </w:r>
            <w:r/>
          </w:p>
        </w:tc>
      </w:tr>
      <w:tr>
        <w:trPr>
          <w:cantSplit/>
        </w:trPr>
        <w:tc>
          <w:tcPr>
            <w:shd w:val="clear" w:color="auto" w:fill="ffffff"/>
            <w:tcBorders/>
            <w:tcMar>
              <w:left w:w="55" w:type="dxa"/>
              <w:top w:w="45" w:type="dxa"/>
              <w:right w:w="55" w:type="dxa"/>
              <w:bottom w:w="45" w:type="dxa"/>
            </w:tcMar>
            <w:tcW w:w="1826" w:type="dxa"/>
            <w:vAlign w:val="top"/>
          </w:tcPr>
          <w:p>
            <w:pPr>
              <w:pStyle w:val="1089"/>
              <w:pBdr/>
              <w:spacing/>
              <w:ind/>
              <w:rPr/>
            </w:pPr>
            <w:r>
              <w:t xml:space="preserve">relation:FUN</w:t>
            </w:r>
            <w:r/>
          </w:p>
        </w:tc>
        <w:tc>
          <w:tcPr>
            <w:shd w:val="clear" w:color="auto" w:fill="ffffff"/>
            <w:tcBorders/>
            <w:tcMar>
              <w:left w:w="55" w:type="dxa"/>
              <w:top w:w="45" w:type="dxa"/>
              <w:right w:w="55" w:type="dxa"/>
              <w:bottom w:w="45" w:type="dxa"/>
            </w:tcMar>
            <w:tcW w:w="2410" w:type="dxa"/>
            <w:vAlign w:val="top"/>
          </w:tcPr>
          <w:p>
            <w:pPr>
              <w:pStyle w:val="1089"/>
              <w:pBdr/>
              <w:spacing/>
              <w:ind/>
              <w:rPr/>
            </w:pPr>
            <w:r>
              <w:t xml:space="preserve">Functional analogy</w:t>
            </w:r>
            <w:r/>
          </w:p>
        </w:tc>
        <w:tc>
          <w:tcPr>
            <w:shd w:val="clear" w:color="auto" w:fill="ffffff"/>
            <w:tcBorders/>
            <w:tcMar>
              <w:left w:w="55" w:type="dxa"/>
              <w:top w:w="45" w:type="dxa"/>
              <w:right w:w="55" w:type="dxa"/>
              <w:bottom w:w="45" w:type="dxa"/>
            </w:tcMar>
            <w:tcW w:w="5769" w:type="dxa"/>
            <w:vAlign w:val="top"/>
          </w:tcPr>
          <w:p>
            <w:pPr>
              <w:pStyle w:val="1089"/>
              <w:pBdr/>
              <w:spacing/>
              <w:ind/>
              <w:rPr/>
            </w:pPr>
            <w:r>
              <w:t xml:space="preserve">Items solve a comparable problem or play a comparable system role.</w:t>
            </w:r>
            <w:r/>
          </w:p>
        </w:tc>
      </w:tr>
      <w:tr>
        <w:trPr>
          <w:cantSplit/>
        </w:trPr>
        <w:tc>
          <w:tcPr>
            <w:shd w:val="clear" w:color="auto" w:fill="f4f6f7"/>
            <w:tcBorders/>
            <w:tcMar>
              <w:left w:w="55" w:type="dxa"/>
              <w:top w:w="45" w:type="dxa"/>
              <w:right w:w="55" w:type="dxa"/>
              <w:bottom w:w="45" w:type="dxa"/>
            </w:tcMar>
            <w:tcW w:w="1826" w:type="dxa"/>
            <w:vAlign w:val="top"/>
          </w:tcPr>
          <w:p>
            <w:pPr>
              <w:pStyle w:val="1089"/>
              <w:pBdr/>
              <w:spacing/>
              <w:ind/>
              <w:rPr/>
            </w:pPr>
            <w:r>
              <w:t xml:space="preserve">relation:STR</w:t>
            </w:r>
            <w:r/>
          </w:p>
        </w:tc>
        <w:tc>
          <w:tcPr>
            <w:shd w:val="clear" w:color="auto" w:fill="f4f6f7"/>
            <w:tcBorders/>
            <w:tcMar>
              <w:left w:w="55" w:type="dxa"/>
              <w:top w:w="45" w:type="dxa"/>
              <w:right w:w="55" w:type="dxa"/>
              <w:bottom w:w="45" w:type="dxa"/>
            </w:tcMar>
            <w:tcW w:w="2410" w:type="dxa"/>
            <w:vAlign w:val="top"/>
          </w:tcPr>
          <w:p>
            <w:pPr>
              <w:pStyle w:val="1089"/>
              <w:pBdr/>
              <w:spacing/>
              <w:ind/>
              <w:rPr/>
            </w:pPr>
            <w:r>
              <w:t xml:space="preserve">Structural homology</w:t>
            </w:r>
            <w:r/>
          </w:p>
        </w:tc>
        <w:tc>
          <w:tcPr>
            <w:shd w:val="clear" w:color="auto" w:fill="f4f6f7"/>
            <w:tcBorders/>
            <w:tcMar>
              <w:left w:w="55" w:type="dxa"/>
              <w:top w:w="45" w:type="dxa"/>
              <w:right w:w="55" w:type="dxa"/>
              <w:bottom w:w="45" w:type="dxa"/>
            </w:tcMar>
            <w:tcW w:w="5769" w:type="dxa"/>
            <w:vAlign w:val="top"/>
          </w:tcPr>
          <w:p>
            <w:pPr>
              <w:pStyle w:val="1089"/>
              <w:pBdr/>
              <w:spacing/>
              <w:ind/>
              <w:rPr/>
            </w:pPr>
            <w:r>
              <w:t xml:space="preserve">A relational architecture is shared; at least one material disanalogy required.</w:t>
            </w:r>
            <w:r/>
          </w:p>
        </w:tc>
      </w:tr>
      <w:tr>
        <w:trPr>
          <w:cantSplit/>
        </w:trPr>
        <w:tc>
          <w:tcPr>
            <w:shd w:val="clear" w:color="auto" w:fill="ffffff"/>
            <w:tcBorders/>
            <w:tcMar>
              <w:left w:w="55" w:type="dxa"/>
              <w:top w:w="45" w:type="dxa"/>
              <w:right w:w="55" w:type="dxa"/>
              <w:bottom w:w="45" w:type="dxa"/>
            </w:tcMar>
            <w:tcW w:w="1826" w:type="dxa"/>
            <w:vAlign w:val="top"/>
          </w:tcPr>
          <w:p>
            <w:pPr>
              <w:pStyle w:val="1089"/>
              <w:pBdr/>
              <w:spacing/>
              <w:ind/>
              <w:rPr/>
            </w:pPr>
            <w:r>
              <w:t xml:space="preserve">relation:PHE</w:t>
            </w:r>
            <w:r/>
          </w:p>
        </w:tc>
        <w:tc>
          <w:tcPr>
            <w:shd w:val="clear" w:color="auto" w:fill="ffffff"/>
            <w:tcBorders/>
            <w:tcMar>
              <w:left w:w="55" w:type="dxa"/>
              <w:top w:w="45" w:type="dxa"/>
              <w:right w:w="55" w:type="dxa"/>
              <w:bottom w:w="45" w:type="dxa"/>
            </w:tcMar>
            <w:tcW w:w="2410" w:type="dxa"/>
            <w:vAlign w:val="top"/>
          </w:tcPr>
          <w:p>
            <w:pPr>
              <w:pStyle w:val="1089"/>
              <w:pBdr/>
              <w:spacing/>
              <w:ind/>
              <w:rPr/>
            </w:pPr>
            <w:r>
              <w:t xml:space="preserve">Phenomenological resemblance</w:t>
            </w:r>
            <w:r/>
          </w:p>
        </w:tc>
        <w:tc>
          <w:tcPr>
            <w:shd w:val="clear" w:color="auto" w:fill="ffffff"/>
            <w:tcBorders/>
            <w:tcMar>
              <w:left w:w="55" w:type="dxa"/>
              <w:top w:w="45" w:type="dxa"/>
              <w:right w:w="55" w:type="dxa"/>
              <w:bottom w:w="45" w:type="dxa"/>
            </w:tcMar>
            <w:tcW w:w="5769" w:type="dxa"/>
            <w:vAlign w:val="top"/>
          </w:tcPr>
          <w:p>
            <w:pPr>
              <w:pStyle w:val="1089"/>
              <w:pBdr/>
              <w:spacing/>
              <w:ind/>
              <w:rPr/>
            </w:pPr>
            <w:r>
              <w:t xml:space="preserve">Reported experiential features overlap; cause and metaphysical interpretation remain separate.</w:t>
            </w:r>
            <w:r/>
          </w:p>
        </w:tc>
      </w:tr>
      <w:tr>
        <w:trPr>
          <w:cantSplit/>
        </w:trPr>
        <w:tc>
          <w:tcPr>
            <w:shd w:val="clear" w:color="auto" w:fill="f4f6f7"/>
            <w:tcBorders/>
            <w:tcMar>
              <w:left w:w="55" w:type="dxa"/>
              <w:top w:w="45" w:type="dxa"/>
              <w:right w:w="55" w:type="dxa"/>
              <w:bottom w:w="45" w:type="dxa"/>
            </w:tcMar>
            <w:tcW w:w="1826" w:type="dxa"/>
            <w:vAlign w:val="top"/>
          </w:tcPr>
          <w:p>
            <w:pPr>
              <w:pStyle w:val="1089"/>
              <w:pBdr/>
              <w:spacing/>
              <w:ind/>
              <w:rPr/>
            </w:pPr>
            <w:r>
              <w:t xml:space="preserve">relation:EPI</w:t>
            </w:r>
            <w:r/>
          </w:p>
        </w:tc>
        <w:tc>
          <w:tcPr>
            <w:shd w:val="clear" w:color="auto" w:fill="f4f6f7"/>
            <w:tcBorders/>
            <w:tcMar>
              <w:left w:w="55" w:type="dxa"/>
              <w:top w:w="45" w:type="dxa"/>
              <w:right w:w="55" w:type="dxa"/>
              <w:bottom w:w="45" w:type="dxa"/>
            </w:tcMar>
            <w:tcW w:w="2410" w:type="dxa"/>
            <w:vAlign w:val="top"/>
          </w:tcPr>
          <w:p>
            <w:pPr>
              <w:pStyle w:val="1089"/>
              <w:pBdr/>
              <w:spacing/>
              <w:ind/>
              <w:rPr/>
            </w:pPr>
            <w:r>
              <w:t xml:space="preserve">Epistemic-methodological analogy</w:t>
            </w:r>
            <w:r/>
          </w:p>
        </w:tc>
        <w:tc>
          <w:tcPr>
            <w:shd w:val="clear" w:color="auto" w:fill="f4f6f7"/>
            <w:tcBorders/>
            <w:tcMar>
              <w:left w:w="55" w:type="dxa"/>
              <w:top w:w="45" w:type="dxa"/>
              <w:right w:w="55" w:type="dxa"/>
              <w:bottom w:w="45" w:type="dxa"/>
            </w:tcMar>
            <w:tcW w:w="5769" w:type="dxa"/>
            <w:vAlign w:val="top"/>
          </w:tcPr>
          <w:p>
            <w:pPr>
              <w:pStyle w:val="1089"/>
              <w:pBdr/>
              <w:spacing/>
              <w:ind/>
              <w:rPr/>
            </w:pPr>
            <w:r>
              <w:t xml:space="preserve">Comparable modes of authority, justification, verification or reason-giving.</w:t>
            </w:r>
            <w:r/>
          </w:p>
        </w:tc>
      </w:tr>
      <w:tr>
        <w:trPr>
          <w:cantSplit/>
        </w:trPr>
        <w:tc>
          <w:tcPr>
            <w:shd w:val="clear" w:color="auto" w:fill="ffffff"/>
            <w:tcBorders/>
            <w:tcMar>
              <w:left w:w="55" w:type="dxa"/>
              <w:top w:w="45" w:type="dxa"/>
              <w:right w:w="55" w:type="dxa"/>
              <w:bottom w:w="45" w:type="dxa"/>
            </w:tcMar>
            <w:tcW w:w="1826" w:type="dxa"/>
            <w:vAlign w:val="top"/>
          </w:tcPr>
          <w:p>
            <w:pPr>
              <w:pStyle w:val="1089"/>
              <w:pBdr/>
              <w:spacing/>
              <w:ind/>
              <w:rPr/>
            </w:pPr>
            <w:r>
              <w:t xml:space="preserve">relation:GEN</w:t>
            </w:r>
            <w:r/>
          </w:p>
        </w:tc>
        <w:tc>
          <w:tcPr>
            <w:shd w:val="clear" w:color="auto" w:fill="ffffff"/>
            <w:tcBorders/>
            <w:tcMar>
              <w:left w:w="55" w:type="dxa"/>
              <w:top w:w="45" w:type="dxa"/>
              <w:right w:w="55" w:type="dxa"/>
              <w:bottom w:w="45" w:type="dxa"/>
            </w:tcMar>
            <w:tcW w:w="2410" w:type="dxa"/>
            <w:vAlign w:val="top"/>
          </w:tcPr>
          <w:p>
            <w:pPr>
              <w:pStyle w:val="1089"/>
              <w:pBdr/>
              <w:spacing/>
              <w:ind/>
              <w:rPr/>
            </w:pPr>
            <w:r>
              <w:t xml:space="preserve">Genealogical relation</w:t>
            </w:r>
            <w:r/>
          </w:p>
        </w:tc>
        <w:tc>
          <w:tcPr>
            <w:shd w:val="clear" w:color="auto" w:fill="ffffff"/>
            <w:tcBorders/>
            <w:tcMar>
              <w:left w:w="55" w:type="dxa"/>
              <w:top w:w="45" w:type="dxa"/>
              <w:right w:w="55" w:type="dxa"/>
              <w:bottom w:w="45" w:type="dxa"/>
            </w:tcMar>
            <w:tcW w:w="5769" w:type="dxa"/>
            <w:vAlign w:val="top"/>
          </w:tcPr>
          <w:p>
            <w:pPr>
              <w:pStyle w:val="1089"/>
              <w:pBdr/>
              <w:spacing/>
              <w:ind/>
              <w:rPr/>
            </w:pPr>
            <w:r>
              <w:t xml:space="preserve">Historical relation supported by evidence and subtype; similarity alone is insufficient.</w:t>
            </w:r>
            <w:r/>
          </w:p>
        </w:tc>
      </w:tr>
      <w:tr>
        <w:trPr>
          <w:cantSplit/>
        </w:trPr>
        <w:tc>
          <w:tcPr>
            <w:shd w:val="clear" w:color="auto" w:fill="f4f6f7"/>
            <w:tcBorders/>
            <w:tcMar>
              <w:left w:w="55" w:type="dxa"/>
              <w:top w:w="45" w:type="dxa"/>
              <w:right w:w="55" w:type="dxa"/>
              <w:bottom w:w="45" w:type="dxa"/>
            </w:tcMar>
            <w:tcW w:w="1826" w:type="dxa"/>
            <w:vAlign w:val="top"/>
          </w:tcPr>
          <w:p>
            <w:pPr>
              <w:pStyle w:val="1089"/>
              <w:pBdr/>
              <w:spacing/>
              <w:ind/>
              <w:rPr/>
            </w:pPr>
            <w:r>
              <w:t xml:space="preserve">relation:OCO</w:t>
            </w:r>
            <w:r/>
          </w:p>
        </w:tc>
        <w:tc>
          <w:tcPr>
            <w:shd w:val="clear" w:color="auto" w:fill="f4f6f7"/>
            <w:tcBorders/>
            <w:tcMar>
              <w:left w:w="55" w:type="dxa"/>
              <w:top w:w="45" w:type="dxa"/>
              <w:right w:w="55" w:type="dxa"/>
              <w:bottom w:w="45" w:type="dxa"/>
            </w:tcMar>
            <w:tcW w:w="2410" w:type="dxa"/>
            <w:vAlign w:val="top"/>
          </w:tcPr>
          <w:p>
            <w:pPr>
              <w:pStyle w:val="1089"/>
              <w:pBdr/>
              <w:spacing/>
              <w:ind/>
              <w:rPr/>
            </w:pPr>
            <w:r>
              <w:t xml:space="preserve">Ontological compatibility</w:t>
            </w:r>
            <w:r/>
          </w:p>
        </w:tc>
        <w:tc>
          <w:tcPr>
            <w:shd w:val="clear" w:color="auto" w:fill="f4f6f7"/>
            <w:tcBorders/>
            <w:tcMar>
              <w:left w:w="55" w:type="dxa"/>
              <w:top w:w="45" w:type="dxa"/>
              <w:right w:w="55" w:type="dxa"/>
              <w:bottom w:w="45" w:type="dxa"/>
            </w:tcMar>
            <w:tcW w:w="5769" w:type="dxa"/>
            <w:vAlign w:val="top"/>
          </w:tcPr>
          <w:p>
            <w:pPr>
              <w:pStyle w:val="1089"/>
              <w:pBdr/>
              <w:spacing/>
              <w:ind/>
              <w:rPr/>
            </w:pPr>
            <w:r>
              <w:t xml:space="preserve">Relevant propositions can jointly hold in the declared scope; this is not sameness.</w:t>
            </w:r>
            <w:r/>
          </w:p>
        </w:tc>
      </w:tr>
      <w:tr>
        <w:trPr>
          <w:cantSplit/>
        </w:trPr>
        <w:tc>
          <w:tcPr>
            <w:shd w:val="clear" w:color="auto" w:fill="ffffff"/>
            <w:tcBorders/>
            <w:tcMar>
              <w:left w:w="55" w:type="dxa"/>
              <w:top w:w="45" w:type="dxa"/>
              <w:right w:w="55" w:type="dxa"/>
              <w:bottom w:w="45" w:type="dxa"/>
            </w:tcMar>
            <w:tcW w:w="1826" w:type="dxa"/>
            <w:vAlign w:val="top"/>
          </w:tcPr>
          <w:p>
            <w:pPr>
              <w:pStyle w:val="1089"/>
              <w:pBdr/>
              <w:spacing/>
              <w:ind/>
              <w:rPr/>
            </w:pPr>
            <w:r>
              <w:t xml:space="preserve">relation:OEQ</w:t>
            </w:r>
            <w:r/>
          </w:p>
        </w:tc>
        <w:tc>
          <w:tcPr>
            <w:shd w:val="clear" w:color="auto" w:fill="ffffff"/>
            <w:tcBorders/>
            <w:tcMar>
              <w:left w:w="55" w:type="dxa"/>
              <w:top w:w="45" w:type="dxa"/>
              <w:right w:w="55" w:type="dxa"/>
              <w:bottom w:w="45" w:type="dxa"/>
            </w:tcMar>
            <w:tcW w:w="2410" w:type="dxa"/>
            <w:vAlign w:val="top"/>
          </w:tcPr>
          <w:p>
            <w:pPr>
              <w:pStyle w:val="1089"/>
              <w:pBdr/>
              <w:spacing/>
              <w:ind/>
              <w:rPr/>
            </w:pPr>
            <w:r>
              <w:t xml:space="preserve">Scoped ontological equivalence</w:t>
            </w:r>
            <w:r/>
          </w:p>
        </w:tc>
        <w:tc>
          <w:tcPr>
            <w:shd w:val="clear" w:color="auto" w:fill="ffffff"/>
            <w:tcBorders/>
            <w:tcMar>
              <w:left w:w="55" w:type="dxa"/>
              <w:top w:w="45" w:type="dxa"/>
              <w:right w:w="55" w:type="dxa"/>
              <w:bottom w:w="45" w:type="dxa"/>
            </w:tcMar>
            <w:tcW w:w="5769" w:type="dxa"/>
            <w:vAlign w:val="top"/>
          </w:tcPr>
          <w:p>
            <w:pPr>
              <w:pStyle w:val="1089"/>
              <w:pBdr/>
              <w:spacing/>
              <w:ind/>
              <w:rPr/>
            </w:pPr>
            <w:r>
              <w:t xml:space="preserve">Strong claim: approximately the same kind of entity or reality in a narrowly declared respect, with explicit dimensions and failure conditions.</w:t>
            </w:r>
            <w:r/>
          </w:p>
        </w:tc>
      </w:tr>
      <w:tr>
        <w:trPr>
          <w:cantSplit/>
        </w:trPr>
        <w:tc>
          <w:tcPr>
            <w:shd w:val="clear" w:color="auto" w:fill="f4f6f7"/>
            <w:tcBorders/>
            <w:tcMar>
              <w:left w:w="55" w:type="dxa"/>
              <w:top w:w="45" w:type="dxa"/>
              <w:right w:w="55" w:type="dxa"/>
              <w:bottom w:w="45" w:type="dxa"/>
            </w:tcMar>
            <w:tcW w:w="1826" w:type="dxa"/>
            <w:vAlign w:val="top"/>
          </w:tcPr>
          <w:p>
            <w:pPr>
              <w:pStyle w:val="1089"/>
              <w:pBdr/>
              <w:spacing/>
              <w:ind/>
              <w:rPr/>
            </w:pPr>
            <w:r>
              <w:t xml:space="preserve">relation:INC</w:t>
            </w:r>
            <w:r/>
          </w:p>
        </w:tc>
        <w:tc>
          <w:tcPr>
            <w:shd w:val="clear" w:color="auto" w:fill="f4f6f7"/>
            <w:tcBorders/>
            <w:tcMar>
              <w:left w:w="55" w:type="dxa"/>
              <w:top w:w="45" w:type="dxa"/>
              <w:right w:w="55" w:type="dxa"/>
              <w:bottom w:w="45" w:type="dxa"/>
            </w:tcMar>
            <w:tcW w:w="2410" w:type="dxa"/>
            <w:vAlign w:val="top"/>
          </w:tcPr>
          <w:p>
            <w:pPr>
              <w:pStyle w:val="1089"/>
              <w:pBdr/>
              <w:spacing/>
              <w:ind/>
              <w:rPr/>
            </w:pPr>
            <w:r>
              <w:t xml:space="preserve">Incompatibility</w:t>
            </w:r>
            <w:r/>
          </w:p>
        </w:tc>
        <w:tc>
          <w:tcPr>
            <w:shd w:val="clear" w:color="auto" w:fill="f4f6f7"/>
            <w:tcBorders/>
            <w:tcMar>
              <w:left w:w="55" w:type="dxa"/>
              <w:top w:w="45" w:type="dxa"/>
              <w:right w:w="55" w:type="dxa"/>
              <w:bottom w:w="45" w:type="dxa"/>
            </w:tcMar>
            <w:tcW w:w="5769" w:type="dxa"/>
            <w:vAlign w:val="top"/>
          </w:tcPr>
          <w:p>
            <w:pPr>
              <w:pStyle w:val="1089"/>
              <w:pBdr/>
              <w:spacing/>
              <w:ind/>
              <w:rPr/>
            </w:pPr>
            <w:r>
              <w:t xml:space="preserve">Exact propositions cannot jointly hold at the same declared coherence key.</w:t>
            </w:r>
            <w:r/>
          </w:p>
        </w:tc>
      </w:tr>
      <w:tr>
        <w:trPr>
          <w:cantSplit/>
        </w:trPr>
        <w:tc>
          <w:tcPr>
            <w:shd w:val="clear" w:color="auto" w:fill="ffffff"/>
            <w:tcBorders/>
            <w:tcMar>
              <w:left w:w="55" w:type="dxa"/>
              <w:top w:w="45" w:type="dxa"/>
              <w:right w:w="55" w:type="dxa"/>
              <w:bottom w:w="45" w:type="dxa"/>
            </w:tcMar>
            <w:tcW w:w="1826" w:type="dxa"/>
            <w:vAlign w:val="top"/>
          </w:tcPr>
          <w:p>
            <w:pPr>
              <w:pStyle w:val="1089"/>
              <w:pBdr/>
              <w:spacing/>
              <w:ind/>
              <w:rPr/>
            </w:pPr>
            <w:r>
              <w:t xml:space="preserve">relation:MIS</w:t>
            </w:r>
            <w:r/>
          </w:p>
        </w:tc>
        <w:tc>
          <w:tcPr>
            <w:shd w:val="clear" w:color="auto" w:fill="ffffff"/>
            <w:tcBorders/>
            <w:tcMar>
              <w:left w:w="55" w:type="dxa"/>
              <w:top w:w="45" w:type="dxa"/>
              <w:right w:w="55" w:type="dxa"/>
              <w:bottom w:w="45" w:type="dxa"/>
            </w:tcMar>
            <w:tcW w:w="2410" w:type="dxa"/>
            <w:vAlign w:val="top"/>
          </w:tcPr>
          <w:p>
            <w:pPr>
              <w:pStyle w:val="1089"/>
              <w:pBdr/>
              <w:spacing/>
              <w:ind/>
              <w:rPr/>
            </w:pPr>
            <w:r>
              <w:t xml:space="preserve">Category mismatch</w:t>
            </w:r>
            <w:r/>
          </w:p>
        </w:tc>
        <w:tc>
          <w:tcPr>
            <w:shd w:val="clear" w:color="auto" w:fill="ffffff"/>
            <w:tcBorders/>
            <w:tcMar>
              <w:left w:w="55" w:type="dxa"/>
              <w:top w:w="45" w:type="dxa"/>
              <w:right w:w="55" w:type="dxa"/>
              <w:bottom w:w="45" w:type="dxa"/>
            </w:tcMar>
            <w:tcW w:w="5769" w:type="dxa"/>
            <w:vAlign w:val="top"/>
          </w:tcPr>
          <w:p>
            <w:pPr>
              <w:pStyle w:val="1089"/>
              <w:pBdr/>
              <w:spacing/>
              <w:ind/>
              <w:rPr/>
            </w:pPr>
            <w:r>
              <w:t xml:space="preserve">The declared tertium or Atlas category distorts one or both comparands; no automatic claim of total incommensurability.</w:t>
            </w:r>
            <w:r/>
          </w:p>
        </w:tc>
      </w:tr>
    </w:tbl>
    <w:p>
      <w:pPr>
        <w:pStyle w:val="1097"/>
        <w:pBdr/>
        <w:spacing/>
        <w:ind/>
        <w:rPr/>
      </w:pPr>
      <w:r/>
      <w:r/>
    </w:p>
    <w:p>
      <w:pPr>
        <w:pStyle w:val="923"/>
        <w:keepNext w:val="true"/>
        <w:keepLines w:val="true"/>
        <w:pBdr/>
        <w:spacing/>
        <w:ind/>
        <w:rPr/>
      </w:pPr>
      <w:r/>
      <w:bookmarkStart w:id="90" w:name="annex_a4_source_values"/>
      <w:r>
        <w:t xml:space="preserve">A4. Source, claim and readiness values</w:t>
      </w:r>
      <w:bookmarkEnd w:id="90"/>
      <w:r/>
      <w:r/>
    </w:p>
    <w:p>
      <w:pPr>
        <w:pStyle w:val="1086"/>
        <w:keepNext w:val="true"/>
        <w:keepLines w:val="true"/>
        <w:pBdr/>
        <w:spacing/>
        <w:ind/>
        <w:rPr/>
      </w:pPr>
      <w:r/>
      <w:bookmarkStart w:id="91" w:name="tbl_source_values"/>
      <w:r>
        <w:t xml:space="preserve">Governing — Orthogonal source fields</w:t>
      </w:r>
      <w:bookmarkEnd w:id="91"/>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118"/>
        <w:gridCol w:w="5769"/>
        <w:gridCol w:w="2118"/>
      </w:tblGrid>
      <w:tr>
        <w:trPr>
          <w:cantSplit/>
          <w:tblHeader/>
        </w:trPr>
        <w:tc>
          <w:tcPr>
            <w:shd w:val="clear" w:color="auto" w:fill="1f5d7a"/>
            <w:tcBorders/>
            <w:tcMar>
              <w:left w:w="55" w:type="dxa"/>
              <w:top w:w="45" w:type="dxa"/>
              <w:right w:w="55" w:type="dxa"/>
              <w:bottom w:w="45" w:type="dxa"/>
            </w:tcMar>
            <w:tcW w:w="2118"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5769" w:type="dxa"/>
            <w:vAlign w:val="top"/>
          </w:tcPr>
          <w:p>
            <w:pPr>
              <w:pStyle w:val="1090"/>
              <w:pBdr/>
              <w:spacing/>
              <w:ind/>
              <w:rPr/>
            </w:pPr>
            <w:r>
              <w:t xml:space="preserve">Qualified values</w:t>
            </w:r>
            <w:r/>
          </w:p>
        </w:tc>
        <w:tc>
          <w:tcPr>
            <w:shd w:val="clear" w:color="auto" w:fill="1f5d7a"/>
            <w:tcBorders/>
            <w:tcMar>
              <w:left w:w="55" w:type="dxa"/>
              <w:top w:w="45" w:type="dxa"/>
              <w:right w:w="55" w:type="dxa"/>
              <w:bottom w:w="45" w:type="dxa"/>
            </w:tcMar>
            <w:tcW w:w="2118" w:type="dxa"/>
            <w:vAlign w:val="top"/>
          </w:tcPr>
          <w:p>
            <w:pPr>
              <w:pStyle w:val="1090"/>
              <w:pBdr/>
              <w:spacing/>
              <w:ind/>
              <w:rPr/>
            </w:pPr>
            <w:r>
              <w:t xml:space="preserve">Cardinality / note</w:t>
            </w:r>
            <w:r/>
          </w:p>
        </w:tc>
      </w:tr>
      <w:tr>
        <w:trPr>
          <w:cantSplit/>
        </w:trPr>
        <w:tc>
          <w:tcPr>
            <w:shd w:val="clear" w:color="auto" w:fill="ffffff"/>
            <w:tcBorders/>
            <w:tcMar>
              <w:left w:w="55" w:type="dxa"/>
              <w:top w:w="45" w:type="dxa"/>
              <w:right w:w="55" w:type="dxa"/>
              <w:bottom w:w="45" w:type="dxa"/>
            </w:tcMar>
            <w:tcW w:w="2118" w:type="dxa"/>
            <w:vAlign w:val="top"/>
          </w:tcPr>
          <w:p>
            <w:pPr>
              <w:pStyle w:val="1089"/>
              <w:pBdr/>
              <w:spacing/>
              <w:ind/>
              <w:rPr/>
            </w:pPr>
            <w:r>
              <w:t xml:space="preserve">source_proximity</w:t>
            </w:r>
            <w:r/>
          </w:p>
        </w:tc>
        <w:tc>
          <w:tcPr>
            <w:shd w:val="clear" w:color="auto" w:fill="ffffff"/>
            <w:tcBorders/>
            <w:tcMar>
              <w:left w:w="55" w:type="dxa"/>
              <w:top w:w="45" w:type="dxa"/>
              <w:right w:w="55" w:type="dxa"/>
              <w:bottom w:w="45" w:type="dxa"/>
            </w:tcMar>
            <w:tcW w:w="5769" w:type="dxa"/>
            <w:vAlign w:val="top"/>
          </w:tcPr>
          <w:p>
            <w:pPr>
              <w:pStyle w:val="1089"/>
              <w:pBdr/>
              <w:spacing/>
              <w:ind/>
              <w:rPr/>
            </w:pPr>
            <w:r>
              <w:t xml:space="preserve">source_proximity:PRIMARY / SECONDARY / TERTIARY / MIXED</w:t>
            </w:r>
            <w:r/>
          </w:p>
        </w:tc>
        <w:tc>
          <w:tcPr>
            <w:shd w:val="clear" w:color="auto" w:fill="ffffff"/>
            <w:tcBorders/>
            <w:tcMar>
              <w:left w:w="55" w:type="dxa"/>
              <w:top w:w="45" w:type="dxa"/>
              <w:right w:w="55" w:type="dxa"/>
              <w:bottom w:w="45" w:type="dxa"/>
            </w:tcMar>
            <w:tcW w:w="2118" w:type="dxa"/>
            <w:vAlign w:val="top"/>
          </w:tcPr>
          <w:p>
            <w:pPr>
              <w:pStyle w:val="1089"/>
              <w:pBdr/>
              <w:spacing/>
              <w:ind/>
              <w:rPr/>
            </w:pPr>
            <w:r>
              <w:t xml:space="preserve">Exactly one.</w:t>
            </w:r>
            <w:r/>
          </w:p>
        </w:tc>
      </w:tr>
      <w:tr>
        <w:trPr>
          <w:cantSplit/>
        </w:trPr>
        <w:tc>
          <w:tcPr>
            <w:shd w:val="clear" w:color="auto" w:fill="f4f6f7"/>
            <w:tcBorders/>
            <w:tcMar>
              <w:left w:w="55" w:type="dxa"/>
              <w:top w:w="45" w:type="dxa"/>
              <w:right w:w="55" w:type="dxa"/>
              <w:bottom w:w="45" w:type="dxa"/>
            </w:tcMar>
            <w:tcW w:w="2118" w:type="dxa"/>
            <w:vAlign w:val="top"/>
          </w:tcPr>
          <w:p>
            <w:pPr>
              <w:pStyle w:val="1089"/>
              <w:pBdr/>
              <w:spacing/>
              <w:ind/>
              <w:rPr/>
            </w:pPr>
            <w:r>
              <w:t xml:space="preserve">source_form</w:t>
            </w:r>
            <w:r/>
          </w:p>
        </w:tc>
        <w:tc>
          <w:tcPr>
            <w:shd w:val="clear" w:color="auto" w:fill="f4f6f7"/>
            <w:tcBorders/>
            <w:tcMar>
              <w:left w:w="55" w:type="dxa"/>
              <w:top w:w="45" w:type="dxa"/>
              <w:right w:w="55" w:type="dxa"/>
              <w:bottom w:w="45" w:type="dxa"/>
            </w:tcMar>
            <w:tcW w:w="5769" w:type="dxa"/>
            <w:vAlign w:val="top"/>
          </w:tcPr>
          <w:p>
            <w:pPr>
              <w:pStyle w:val="1089"/>
              <w:pBdr/>
              <w:spacing/>
              <w:ind/>
              <w:rPr/>
            </w:pPr>
            <w:r>
              <w:t xml:space="preserve">source_form:TEXTUAL / ORAL_PERFORMED / INTERVIEW / ETHNOGRAPHIC_OBSERVATIONAL / ARCHIVAL_MANUSCRIPT / AUDIOVISUAL / DATASET_EMPIRICAL / MATERIAL_VISUAL / OTHER</w:t>
            </w:r>
            <w:r/>
          </w:p>
        </w:tc>
        <w:tc>
          <w:tcPr>
            <w:shd w:val="clear" w:color="auto" w:fill="f4f6f7"/>
            <w:tcBorders/>
            <w:tcMar>
              <w:left w:w="55" w:type="dxa"/>
              <w:top w:w="45" w:type="dxa"/>
              <w:right w:w="55" w:type="dxa"/>
              <w:bottom w:w="45" w:type="dxa"/>
            </w:tcMar>
            <w:tcW w:w="2118" w:type="dxa"/>
            <w:vAlign w:val="top"/>
          </w:tcPr>
          <w:p>
            <w:pPr>
              <w:pStyle w:val="1089"/>
              <w:pBdr/>
              <w:spacing/>
              <w:ind/>
              <w:rPr/>
            </w:pPr>
            <w:r>
              <w:t xml:space="preserve">One or more.</w:t>
            </w:r>
            <w:r/>
          </w:p>
        </w:tc>
      </w:tr>
      <w:tr>
        <w:trPr>
          <w:cantSplit/>
        </w:trPr>
        <w:tc>
          <w:tcPr>
            <w:shd w:val="clear" w:color="auto" w:fill="ffffff"/>
            <w:tcBorders/>
            <w:tcMar>
              <w:left w:w="55" w:type="dxa"/>
              <w:top w:w="45" w:type="dxa"/>
              <w:right w:w="55" w:type="dxa"/>
              <w:bottom w:w="45" w:type="dxa"/>
            </w:tcMar>
            <w:tcW w:w="2118" w:type="dxa"/>
            <w:vAlign w:val="top"/>
          </w:tcPr>
          <w:p>
            <w:pPr>
              <w:pStyle w:val="1089"/>
              <w:pBdr/>
              <w:spacing/>
              <w:ind/>
              <w:rPr/>
            </w:pPr>
            <w:r>
              <w:t xml:space="preserve">authority_relation</w:t>
            </w:r>
            <w:r/>
          </w:p>
        </w:tc>
        <w:tc>
          <w:tcPr>
            <w:shd w:val="clear" w:color="auto" w:fill="ffffff"/>
            <w:tcBorders/>
            <w:tcMar>
              <w:left w:w="55" w:type="dxa"/>
              <w:top w:w="45" w:type="dxa"/>
              <w:right w:w="55" w:type="dxa"/>
              <w:bottom w:w="45" w:type="dxa"/>
            </w:tcMar>
            <w:tcW w:w="5769" w:type="dxa"/>
            <w:vAlign w:val="top"/>
          </w:tcPr>
          <w:p>
            <w:pPr>
              <w:pStyle w:val="1089"/>
              <w:pBdr/>
              <w:spacing/>
              <w:ind/>
              <w:rPr/>
            </w:pPr>
            <w:r>
              <w:t xml:space="preserve">authority_relation:SOURCE_COMMUNITY / PARTICIPANT_WITNESS / CRITICAL_EDITORIAL / SPECIALIST_SCHOLARSHIP / INSTITUTIONAL / EXTERNAL_RESEARCHER / MULTIPLE / NOT_APPLICABLE</w:t>
            </w:r>
            <w:r/>
          </w:p>
        </w:tc>
        <w:tc>
          <w:tcPr>
            <w:shd w:val="clear" w:color="auto" w:fill="ffffff"/>
            <w:tcBorders/>
            <w:tcMar>
              <w:left w:w="55" w:type="dxa"/>
              <w:top w:w="45" w:type="dxa"/>
              <w:right w:w="55" w:type="dxa"/>
              <w:bottom w:w="45" w:type="dxa"/>
            </w:tcMar>
            <w:tcW w:w="2118" w:type="dxa"/>
            <w:vAlign w:val="top"/>
          </w:tcPr>
          <w:p>
            <w:pPr>
              <w:pStyle w:val="1089"/>
              <w:pBdr/>
              <w:spacing/>
              <w:ind/>
              <w:rPr/>
            </w:pPr>
            <w:r>
              <w:t xml:space="preserve">Exactly one.</w:t>
            </w:r>
            <w:r/>
          </w:p>
        </w:tc>
      </w:tr>
      <w:tr>
        <w:trPr>
          <w:cantSplit/>
        </w:trPr>
        <w:tc>
          <w:tcPr>
            <w:shd w:val="clear" w:color="auto" w:fill="f4f6f7"/>
            <w:tcBorders/>
            <w:tcMar>
              <w:left w:w="55" w:type="dxa"/>
              <w:top w:w="45" w:type="dxa"/>
              <w:right w:w="55" w:type="dxa"/>
              <w:bottom w:w="45" w:type="dxa"/>
            </w:tcMar>
            <w:tcW w:w="2118" w:type="dxa"/>
            <w:vAlign w:val="top"/>
          </w:tcPr>
          <w:p>
            <w:pPr>
              <w:pStyle w:val="1089"/>
              <w:pBdr/>
              <w:spacing/>
              <w:ind/>
              <w:rPr/>
            </w:pPr>
            <w:r>
              <w:t xml:space="preserve">evidence_role</w:t>
            </w:r>
            <w:r/>
          </w:p>
        </w:tc>
        <w:tc>
          <w:tcPr>
            <w:shd w:val="clear" w:color="auto" w:fill="f4f6f7"/>
            <w:tcBorders/>
            <w:tcMar>
              <w:left w:w="55" w:type="dxa"/>
              <w:top w:w="45" w:type="dxa"/>
              <w:right w:w="55" w:type="dxa"/>
              <w:bottom w:w="45" w:type="dxa"/>
            </w:tcMar>
            <w:tcW w:w="5769" w:type="dxa"/>
            <w:vAlign w:val="top"/>
          </w:tcPr>
          <w:p>
            <w:pPr>
              <w:pStyle w:val="1089"/>
              <w:pBdr/>
              <w:spacing/>
              <w:ind/>
              <w:rPr/>
            </w:pPr>
            <w:r>
              <w:t xml:space="preserve">evidence_role:SUPPORTS / COUNTERS / CONTEXTUALIZES / EXEMPLIFIES / DISPUTES / TRANSMISSION_EVIDENCE / OTHER</w:t>
            </w:r>
            <w:r/>
          </w:p>
        </w:tc>
        <w:tc>
          <w:tcPr>
            <w:shd w:val="clear" w:color="auto" w:fill="f4f6f7"/>
            <w:tcBorders/>
            <w:tcMar>
              <w:left w:w="55" w:type="dxa"/>
              <w:top w:w="45" w:type="dxa"/>
              <w:right w:w="55" w:type="dxa"/>
              <w:bottom w:w="45" w:type="dxa"/>
            </w:tcMar>
            <w:tcW w:w="2118" w:type="dxa"/>
            <w:vAlign w:val="top"/>
          </w:tcPr>
          <w:p>
            <w:pPr>
              <w:pStyle w:val="1089"/>
              <w:pBdr/>
              <w:spacing/>
              <w:ind/>
              <w:rPr/>
            </w:pPr>
            <w:r>
              <w:t xml:space="preserve">Stored on each EvidenceLink.</w:t>
            </w:r>
            <w:r/>
          </w:p>
        </w:tc>
      </w:tr>
    </w:tbl>
    <w:p>
      <w:pPr>
        <w:pStyle w:val="1097"/>
        <w:pBdr/>
        <w:spacing/>
        <w:ind/>
        <w:rPr/>
      </w:pPr>
      <w:r/>
      <w:r/>
    </w:p>
    <w:p>
      <w:pPr>
        <w:pStyle w:val="1086"/>
        <w:keepNext w:val="true"/>
        <w:keepLines w:val="true"/>
        <w:pBdr/>
        <w:spacing/>
        <w:ind/>
        <w:rPr/>
      </w:pPr>
      <w:r/>
      <w:bookmarkStart w:id="92" w:name="tbl_epistemic_values"/>
      <w:r>
        <w:t xml:space="preserve">Governing — Claim-level epistemic and interpretive fields</w:t>
      </w:r>
      <w:bookmarkEnd w:id="92"/>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921"/>
        <w:gridCol w:w="7085"/>
      </w:tblGrid>
      <w:tr>
        <w:trPr>
          <w:cantSplit/>
          <w:tblHeader/>
        </w:trPr>
        <w:tc>
          <w:tcPr>
            <w:shd w:val="clear" w:color="auto" w:fill="1f5d7a"/>
            <w:tcBorders/>
            <w:tcMar>
              <w:left w:w="55" w:type="dxa"/>
              <w:top w:w="45" w:type="dxa"/>
              <w:right w:w="55" w:type="dxa"/>
              <w:bottom w:w="45" w:type="dxa"/>
            </w:tcMar>
            <w:tcW w:w="2921"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7085" w:type="dxa"/>
            <w:vAlign w:val="top"/>
          </w:tcPr>
          <w:p>
            <w:pPr>
              <w:pStyle w:val="1090"/>
              <w:pBdr/>
              <w:spacing/>
              <w:ind/>
              <w:rPr/>
            </w:pPr>
            <w:r>
              <w:t xml:space="preserve">Controlled values / rule</w:t>
            </w:r>
            <w:r/>
          </w:p>
        </w:tc>
      </w:tr>
      <w:tr>
        <w:trPr>
          <w:cantSplit/>
        </w:trPr>
        <w:tc>
          <w:tcPr>
            <w:shd w:val="clear" w:color="auto" w:fill="ffffff"/>
            <w:tcBorders/>
            <w:tcMar>
              <w:left w:w="55" w:type="dxa"/>
              <w:top w:w="45" w:type="dxa"/>
              <w:right w:w="55" w:type="dxa"/>
              <w:bottom w:w="45" w:type="dxa"/>
            </w:tcMar>
            <w:tcW w:w="2921" w:type="dxa"/>
            <w:vAlign w:val="top"/>
          </w:tcPr>
          <w:p>
            <w:pPr>
              <w:pStyle w:val="1089"/>
              <w:pBdr/>
              <w:spacing/>
              <w:ind/>
              <w:rPr/>
            </w:pPr>
            <w:r>
              <w:t xml:space="preserve">claim_function</w:t>
            </w:r>
            <w:r/>
          </w:p>
        </w:tc>
        <w:tc>
          <w:tcPr>
            <w:shd w:val="clear" w:color="auto" w:fill="ffffff"/>
            <w:tcBorders/>
            <w:tcMar>
              <w:left w:w="55" w:type="dxa"/>
              <w:top w:w="45" w:type="dxa"/>
              <w:right w:w="55" w:type="dxa"/>
              <w:bottom w:w="45" w:type="dxa"/>
            </w:tcMar>
            <w:tcW w:w="7085" w:type="dxa"/>
            <w:vAlign w:val="top"/>
          </w:tcPr>
          <w:p>
            <w:pPr>
              <w:pStyle w:val="1089"/>
              <w:pBdr/>
              <w:spacing/>
              <w:ind/>
              <w:rPr/>
            </w:pPr>
            <w:r>
              <w:t xml:space="preserve">claim_function:DES / HIS / INT / MET / EPI / NOR / PHE / EMP / CAU / COM / SPE</w:t>
            </w:r>
            <w:r/>
          </w:p>
        </w:tc>
      </w:tr>
      <w:tr>
        <w:trPr>
          <w:cantSplit/>
        </w:trPr>
        <w:tc>
          <w:tcPr>
            <w:shd w:val="clear" w:color="auto" w:fill="f4f6f7"/>
            <w:tcBorders/>
            <w:tcMar>
              <w:left w:w="55" w:type="dxa"/>
              <w:top w:w="45" w:type="dxa"/>
              <w:right w:w="55" w:type="dxa"/>
              <w:bottom w:w="45" w:type="dxa"/>
            </w:tcMar>
            <w:tcW w:w="2921" w:type="dxa"/>
            <w:vAlign w:val="top"/>
          </w:tcPr>
          <w:p>
            <w:pPr>
              <w:pStyle w:val="1089"/>
              <w:pBdr/>
              <w:spacing/>
              <w:ind/>
              <w:rPr/>
            </w:pPr>
            <w:r>
              <w:t xml:space="preserve">attribution_confidence</w:t>
            </w:r>
            <w:r/>
          </w:p>
        </w:tc>
        <w:tc>
          <w:tcPr>
            <w:shd w:val="clear" w:color="auto" w:fill="f4f6f7"/>
            <w:tcBorders/>
            <w:tcMar>
              <w:left w:w="55" w:type="dxa"/>
              <w:top w:w="45" w:type="dxa"/>
              <w:right w:w="55" w:type="dxa"/>
              <w:bottom w:w="45" w:type="dxa"/>
            </w:tcMar>
            <w:tcW w:w="7085" w:type="dxa"/>
            <w:vAlign w:val="top"/>
          </w:tcPr>
          <w:p>
            <w:pPr>
              <w:pStyle w:val="1089"/>
              <w:pBdr/>
              <w:spacing/>
              <w:ind/>
              <w:rPr/>
            </w:pPr>
            <w:r>
              <w:t xml:space="preserve">confidence:HIGH / MODERATE / LOW</w:t>
            </w:r>
            <w:r/>
          </w:p>
        </w:tc>
      </w:tr>
      <w:tr>
        <w:trPr>
          <w:cantSplit/>
        </w:trPr>
        <w:tc>
          <w:tcPr>
            <w:shd w:val="clear" w:color="auto" w:fill="ffffff"/>
            <w:tcBorders/>
            <w:tcMar>
              <w:left w:w="55" w:type="dxa"/>
              <w:top w:w="45" w:type="dxa"/>
              <w:right w:w="55" w:type="dxa"/>
              <w:bottom w:w="45" w:type="dxa"/>
            </w:tcMar>
            <w:tcW w:w="2921" w:type="dxa"/>
            <w:vAlign w:val="top"/>
          </w:tcPr>
          <w:p>
            <w:pPr>
              <w:pStyle w:val="1089"/>
              <w:pBdr/>
              <w:spacing/>
              <w:ind/>
              <w:rPr/>
            </w:pPr>
            <w:r>
              <w:t xml:space="preserve">scholarly_status</w:t>
            </w:r>
            <w:r/>
          </w:p>
        </w:tc>
        <w:tc>
          <w:tcPr>
            <w:shd w:val="clear" w:color="auto" w:fill="ffffff"/>
            <w:tcBorders/>
            <w:tcMar>
              <w:left w:w="55" w:type="dxa"/>
              <w:top w:w="45" w:type="dxa"/>
              <w:right w:w="55" w:type="dxa"/>
              <w:bottom w:w="45" w:type="dxa"/>
            </w:tcMar>
            <w:tcW w:w="7085" w:type="dxa"/>
            <w:vAlign w:val="top"/>
          </w:tcPr>
          <w:p>
            <w:pPr>
              <w:pStyle w:val="1089"/>
              <w:pBdr/>
              <w:spacing/>
              <w:ind/>
              <w:rPr/>
            </w:pPr>
            <w:r>
              <w:t xml:space="preserve">scholarly_status:BROAD_CONSENSUS / MAJORITY_TENDENCY / SUBSTANTIALLY_CONTESTED / MINORITY_INTERPRETATION / UNMAPPED</w:t>
            </w:r>
            <w:r/>
          </w:p>
        </w:tc>
      </w:tr>
      <w:tr>
        <w:trPr>
          <w:cantSplit/>
        </w:trPr>
        <w:tc>
          <w:tcPr>
            <w:shd w:val="clear" w:color="auto" w:fill="f4f6f7"/>
            <w:tcBorders/>
            <w:tcMar>
              <w:left w:w="55" w:type="dxa"/>
              <w:top w:w="45" w:type="dxa"/>
              <w:right w:w="55" w:type="dxa"/>
              <w:bottom w:w="45" w:type="dxa"/>
            </w:tcMar>
            <w:tcW w:w="2921" w:type="dxa"/>
            <w:vAlign w:val="top"/>
          </w:tcPr>
          <w:p>
            <w:pPr>
              <w:pStyle w:val="1089"/>
              <w:pBdr/>
              <w:spacing/>
              <w:ind/>
              <w:rPr/>
            </w:pPr>
            <w:r>
              <w:t xml:space="preserve">evidence_completeness</w:t>
            </w:r>
            <w:r/>
          </w:p>
        </w:tc>
        <w:tc>
          <w:tcPr>
            <w:shd w:val="clear" w:color="auto" w:fill="f4f6f7"/>
            <w:tcBorders/>
            <w:tcMar>
              <w:left w:w="55" w:type="dxa"/>
              <w:top w:w="45" w:type="dxa"/>
              <w:right w:w="55" w:type="dxa"/>
              <w:bottom w:w="45" w:type="dxa"/>
            </w:tcMar>
            <w:tcW w:w="7085" w:type="dxa"/>
            <w:vAlign w:val="top"/>
          </w:tcPr>
          <w:p>
            <w:pPr>
              <w:pStyle w:val="1089"/>
              <w:pBdr/>
              <w:spacing/>
              <w:ind/>
              <w:rPr/>
            </w:pPr>
            <w:r>
              <w:t xml:space="preserve">evidence_completeness:ADEQUATE / PARTIAL / SPARSE / INACCESSIBLE</w:t>
            </w:r>
            <w:r/>
          </w:p>
        </w:tc>
      </w:tr>
      <w:tr>
        <w:trPr>
          <w:cantSplit/>
        </w:trPr>
        <w:tc>
          <w:tcPr>
            <w:shd w:val="clear" w:color="auto" w:fill="ffffff"/>
            <w:tcBorders/>
            <w:tcMar>
              <w:left w:w="55" w:type="dxa"/>
              <w:top w:w="45" w:type="dxa"/>
              <w:right w:w="55" w:type="dxa"/>
              <w:bottom w:w="45" w:type="dxa"/>
            </w:tcMar>
            <w:tcW w:w="2921" w:type="dxa"/>
            <w:vAlign w:val="top"/>
          </w:tcPr>
          <w:p>
            <w:pPr>
              <w:pStyle w:val="1089"/>
              <w:pBdr/>
              <w:spacing/>
              <w:ind/>
              <w:rPr/>
            </w:pPr>
            <w:r>
              <w:t xml:space="preserve">interpretive_dependence</w:t>
            </w:r>
            <w:r/>
          </w:p>
        </w:tc>
        <w:tc>
          <w:tcPr>
            <w:shd w:val="clear" w:color="auto" w:fill="ffffff"/>
            <w:tcBorders/>
            <w:tcMar>
              <w:left w:w="55" w:type="dxa"/>
              <w:top w:w="45" w:type="dxa"/>
              <w:right w:w="55" w:type="dxa"/>
              <w:bottom w:w="45" w:type="dxa"/>
            </w:tcMar>
            <w:tcW w:w="7085" w:type="dxa"/>
            <w:vAlign w:val="top"/>
          </w:tcPr>
          <w:p>
            <w:pPr>
              <w:pStyle w:val="1089"/>
              <w:pBdr/>
              <w:spacing/>
              <w:ind/>
              <w:rPr/>
            </w:pPr>
            <w:r>
              <w:t xml:space="preserve">interpretive_dependence:DIRECT / LOW_INFERENCE / MODERATE_INFERENCE / HIGH_RECONSTRUCTION</w:t>
            </w:r>
            <w:r/>
          </w:p>
        </w:tc>
      </w:tr>
      <w:tr>
        <w:trPr>
          <w:cantSplit/>
        </w:trPr>
        <w:tc>
          <w:tcPr>
            <w:shd w:val="clear" w:color="auto" w:fill="f4f6f7"/>
            <w:tcBorders/>
            <w:tcMar>
              <w:left w:w="55" w:type="dxa"/>
              <w:top w:w="45" w:type="dxa"/>
              <w:right w:w="55" w:type="dxa"/>
              <w:bottom w:w="45" w:type="dxa"/>
            </w:tcMar>
            <w:tcW w:w="2921" w:type="dxa"/>
            <w:vAlign w:val="top"/>
          </w:tcPr>
          <w:p>
            <w:pPr>
              <w:pStyle w:val="1089"/>
              <w:pBdr/>
              <w:spacing/>
              <w:ind/>
              <w:rPr/>
            </w:pPr>
            <w:r>
              <w:t xml:space="preserve">claim_attachment</w:t>
            </w:r>
            <w:r/>
          </w:p>
        </w:tc>
        <w:tc>
          <w:tcPr>
            <w:shd w:val="clear" w:color="auto" w:fill="f4f6f7"/>
            <w:tcBorders/>
            <w:tcMar>
              <w:left w:w="55" w:type="dxa"/>
              <w:top w:w="45" w:type="dxa"/>
              <w:right w:w="55" w:type="dxa"/>
              <w:bottom w:w="45" w:type="dxa"/>
            </w:tcMar>
            <w:tcW w:w="7085" w:type="dxa"/>
            <w:vAlign w:val="top"/>
          </w:tcPr>
          <w:p>
            <w:pPr>
              <w:pStyle w:val="1089"/>
              <w:pBdr/>
              <w:spacing/>
              <w:ind/>
              <w:rPr/>
            </w:pPr>
            <w:r>
              <w:t xml:space="preserve">claim_attachment:DEF / EXP / DER / CTX</w:t>
            </w:r>
            <w:r/>
          </w:p>
        </w:tc>
      </w:tr>
      <w:tr>
        <w:trPr>
          <w:cantSplit/>
        </w:trPr>
        <w:tc>
          <w:tcPr>
            <w:shd w:val="clear" w:color="auto" w:fill="ffffff"/>
            <w:tcBorders/>
            <w:tcMar>
              <w:left w:w="55" w:type="dxa"/>
              <w:top w:w="45" w:type="dxa"/>
              <w:right w:w="55" w:type="dxa"/>
              <w:bottom w:w="45" w:type="dxa"/>
            </w:tcMar>
            <w:tcW w:w="2921" w:type="dxa"/>
            <w:vAlign w:val="top"/>
          </w:tcPr>
          <w:p>
            <w:pPr>
              <w:pStyle w:val="1089"/>
              <w:pBdr/>
              <w:spacing/>
              <w:ind/>
              <w:rPr/>
            </w:pPr>
            <w:r>
              <w:t xml:space="preserve">claim_origin</w:t>
            </w:r>
            <w:r/>
          </w:p>
        </w:tc>
        <w:tc>
          <w:tcPr>
            <w:shd w:val="clear" w:color="auto" w:fill="ffffff"/>
            <w:tcBorders/>
            <w:tcMar>
              <w:left w:w="55" w:type="dxa"/>
              <w:top w:w="45" w:type="dxa"/>
              <w:right w:w="55" w:type="dxa"/>
              <w:bottom w:w="45" w:type="dxa"/>
            </w:tcMar>
            <w:tcW w:w="7085" w:type="dxa"/>
            <w:vAlign w:val="top"/>
          </w:tcPr>
          <w:p>
            <w:pPr>
              <w:pStyle w:val="1089"/>
              <w:pBdr/>
              <w:spacing/>
              <w:ind/>
              <w:rPr/>
            </w:pPr>
            <w:r>
              <w:t xml:space="preserve">claim_origin:SOURCE_GROUNDED / ATLAS_INFERENCE; independent of claim_function and every source field</w:t>
            </w:r>
            <w:r/>
          </w:p>
        </w:tc>
      </w:tr>
      <w:tr>
        <w:trPr>
          <w:cantSplit/>
        </w:trPr>
        <w:tc>
          <w:tcPr>
            <w:shd w:val="clear" w:color="auto" w:fill="f4f6f7"/>
            <w:tcBorders/>
            <w:tcMar>
              <w:left w:w="55" w:type="dxa"/>
              <w:top w:w="45" w:type="dxa"/>
              <w:right w:w="55" w:type="dxa"/>
              <w:bottom w:w="45" w:type="dxa"/>
            </w:tcMar>
            <w:tcW w:w="2921" w:type="dxa"/>
            <w:vAlign w:val="top"/>
          </w:tcPr>
          <w:p>
            <w:pPr>
              <w:pStyle w:val="1089"/>
              <w:pBdr/>
              <w:spacing/>
              <w:ind/>
              <w:rPr/>
            </w:pPr>
            <w:r>
              <w:t xml:space="preserve">representation_readiness</w:t>
            </w:r>
            <w:r/>
          </w:p>
        </w:tc>
        <w:tc>
          <w:tcPr>
            <w:shd w:val="clear" w:color="auto" w:fill="f4f6f7"/>
            <w:tcBorders/>
            <w:tcMar>
              <w:left w:w="55" w:type="dxa"/>
              <w:top w:w="45" w:type="dxa"/>
              <w:right w:w="55" w:type="dxa"/>
              <w:bottom w:w="45" w:type="dxa"/>
            </w:tcMar>
            <w:tcW w:w="7085" w:type="dxa"/>
            <w:vAlign w:val="top"/>
          </w:tcPr>
          <w:p>
            <w:pPr>
              <w:pStyle w:val="1089"/>
              <w:pBdr/>
              <w:spacing/>
              <w:ind/>
              <w:rPr/>
            </w:pPr>
            <w:r>
              <w:t xml:space="preserve">Independent readiness fields under §7 and Annex B; no scalar source-of-truth status</w:t>
            </w:r>
            <w:r/>
          </w:p>
        </w:tc>
      </w:tr>
    </w:tbl>
    <w:p>
      <w:pPr>
        <w:pStyle w:val="1097"/>
        <w:pBdr/>
        <w:spacing/>
        <w:ind/>
        <w:rPr/>
      </w:pPr>
      <w:r/>
      <w:r/>
    </w:p>
    <w:p>
      <w:pPr>
        <w:pStyle w:val="1086"/>
        <w:keepNext w:val="true"/>
        <w:keepLines w:val="true"/>
        <w:pBdr/>
        <w:spacing/>
        <w:ind/>
        <w:rPr/>
      </w:pPr>
      <w:r/>
      <w:bookmarkStart w:id="93" w:name="tbl_claim_functions"/>
      <w:r>
        <w:t xml:space="preserve">Governing — Claim functions</w:t>
      </w:r>
      <w:bookmarkEnd w:id="93"/>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994"/>
        <w:gridCol w:w="7012"/>
      </w:tblGrid>
      <w:tr>
        <w:trPr>
          <w:cantSplit/>
          <w:tblHeader/>
        </w:trPr>
        <w:tc>
          <w:tcPr>
            <w:shd w:val="clear" w:color="auto" w:fill="1f5d7a"/>
            <w:tcBorders/>
            <w:tcMar>
              <w:left w:w="70" w:type="dxa"/>
              <w:top w:w="55" w:type="dxa"/>
              <w:right w:w="70" w:type="dxa"/>
              <w:bottom w:w="55" w:type="dxa"/>
            </w:tcMar>
            <w:tcW w:w="2994" w:type="dxa"/>
            <w:vAlign w:val="top"/>
          </w:tcPr>
          <w:p>
            <w:pPr>
              <w:pStyle w:val="1087"/>
              <w:pBdr/>
              <w:spacing/>
              <w:ind/>
              <w:rPr/>
            </w:pPr>
            <w:r>
              <w:t xml:space="preserve">Qualified value</w:t>
            </w:r>
            <w:r/>
          </w:p>
        </w:tc>
        <w:tc>
          <w:tcPr>
            <w:shd w:val="clear" w:color="auto" w:fill="1f5d7a"/>
            <w:tcBorders/>
            <w:tcMar>
              <w:left w:w="70" w:type="dxa"/>
              <w:top w:w="55" w:type="dxa"/>
              <w:right w:w="70" w:type="dxa"/>
              <w:bottom w:w="55" w:type="dxa"/>
            </w:tcMar>
            <w:tcW w:w="7012" w:type="dxa"/>
            <w:vAlign w:val="top"/>
          </w:tcPr>
          <w:p>
            <w:pPr>
              <w:pStyle w:val="1087"/>
              <w:pBdr/>
              <w:spacing/>
              <w:ind/>
              <w:rPr/>
            </w:pPr>
            <w:r>
              <w:t xml:space="preserve">Function</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claim_function:DES</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Descriptive</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claim_function:HIS</w:t>
            </w:r>
            <w:r/>
          </w:p>
        </w:tc>
        <w:tc>
          <w:tcPr>
            <w:shd w:val="clear" w:color="auto" w:fill="f4f6f7"/>
            <w:tcBorders/>
            <w:tcMar>
              <w:left w:w="70" w:type="dxa"/>
              <w:top w:w="55" w:type="dxa"/>
              <w:right w:w="70" w:type="dxa"/>
              <w:bottom w:w="55" w:type="dxa"/>
            </w:tcMar>
            <w:tcW w:w="7012" w:type="dxa"/>
            <w:vAlign w:val="top"/>
          </w:tcPr>
          <w:p>
            <w:pPr>
              <w:pStyle w:val="1088"/>
              <w:pBdr/>
              <w:spacing/>
              <w:ind/>
              <w:rPr/>
            </w:pPr>
            <w:r>
              <w:t xml:space="preserve">Historical</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claim_function:INT</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Interpretive</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claim_function:MET</w:t>
            </w:r>
            <w:r/>
          </w:p>
        </w:tc>
        <w:tc>
          <w:tcPr>
            <w:shd w:val="clear" w:color="auto" w:fill="f4f6f7"/>
            <w:tcBorders/>
            <w:tcMar>
              <w:left w:w="70" w:type="dxa"/>
              <w:top w:w="55" w:type="dxa"/>
              <w:right w:w="70" w:type="dxa"/>
              <w:bottom w:w="55" w:type="dxa"/>
            </w:tcMar>
            <w:tcW w:w="7012" w:type="dxa"/>
            <w:vAlign w:val="top"/>
          </w:tcPr>
          <w:p>
            <w:pPr>
              <w:pStyle w:val="1088"/>
              <w:pBdr/>
              <w:spacing/>
              <w:ind/>
              <w:rPr/>
            </w:pPr>
            <w:r>
              <w:t xml:space="preserve">Metaphysical/ontological</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claim_function:EPI</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Epistemic</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claim_function:NOR</w:t>
            </w:r>
            <w:r/>
          </w:p>
        </w:tc>
        <w:tc>
          <w:tcPr>
            <w:shd w:val="clear" w:color="auto" w:fill="f4f6f7"/>
            <w:tcBorders/>
            <w:tcMar>
              <w:left w:w="70" w:type="dxa"/>
              <w:top w:w="55" w:type="dxa"/>
              <w:right w:w="70" w:type="dxa"/>
              <w:bottom w:w="55" w:type="dxa"/>
            </w:tcMar>
            <w:tcW w:w="7012" w:type="dxa"/>
            <w:vAlign w:val="top"/>
          </w:tcPr>
          <w:p>
            <w:pPr>
              <w:pStyle w:val="1088"/>
              <w:pBdr/>
              <w:spacing/>
              <w:ind/>
              <w:rPr/>
            </w:pPr>
            <w:r>
              <w:t xml:space="preserve">Normative/value</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claim_function:PHE</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Phenomenological</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claim_function:EMP</w:t>
            </w:r>
            <w:r/>
          </w:p>
        </w:tc>
        <w:tc>
          <w:tcPr>
            <w:shd w:val="clear" w:color="auto" w:fill="f4f6f7"/>
            <w:tcBorders/>
            <w:tcMar>
              <w:left w:w="70" w:type="dxa"/>
              <w:top w:w="55" w:type="dxa"/>
              <w:right w:w="70" w:type="dxa"/>
              <w:bottom w:w="55" w:type="dxa"/>
            </w:tcMar>
            <w:tcW w:w="7012" w:type="dxa"/>
            <w:vAlign w:val="top"/>
          </w:tcPr>
          <w:p>
            <w:pPr>
              <w:pStyle w:val="1088"/>
              <w:pBdr/>
              <w:spacing/>
              <w:ind/>
              <w:rPr/>
            </w:pPr>
            <w:r>
              <w:t xml:space="preserve">Empirical/scientific</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claim_function:CAU</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Causal/explanatory</w:t>
            </w:r>
            <w:r/>
          </w:p>
        </w:tc>
      </w:tr>
      <w:tr>
        <w:trPr>
          <w:cantSplit/>
        </w:trPr>
        <w:tc>
          <w:tcPr>
            <w:shd w:val="clear" w:color="auto" w:fill="f4f6f7"/>
            <w:tcBorders/>
            <w:tcMar>
              <w:left w:w="70" w:type="dxa"/>
              <w:top w:w="55" w:type="dxa"/>
              <w:right w:w="70" w:type="dxa"/>
              <w:bottom w:w="55" w:type="dxa"/>
            </w:tcMar>
            <w:tcW w:w="2994" w:type="dxa"/>
            <w:vAlign w:val="top"/>
          </w:tcPr>
          <w:p>
            <w:pPr>
              <w:pStyle w:val="1088"/>
              <w:pBdr/>
              <w:spacing/>
              <w:ind/>
              <w:rPr/>
            </w:pPr>
            <w:r>
              <w:t xml:space="preserve">claim_function:COM</w:t>
            </w:r>
            <w:r/>
          </w:p>
        </w:tc>
        <w:tc>
          <w:tcPr>
            <w:shd w:val="clear" w:color="auto" w:fill="f4f6f7"/>
            <w:tcBorders/>
            <w:tcMar>
              <w:left w:w="70" w:type="dxa"/>
              <w:top w:w="55" w:type="dxa"/>
              <w:right w:w="70" w:type="dxa"/>
              <w:bottom w:w="55" w:type="dxa"/>
            </w:tcMar>
            <w:tcW w:w="7012" w:type="dxa"/>
            <w:vAlign w:val="top"/>
          </w:tcPr>
          <w:p>
            <w:pPr>
              <w:pStyle w:val="1088"/>
              <w:pBdr/>
              <w:spacing/>
              <w:ind/>
              <w:rPr/>
            </w:pPr>
            <w:r>
              <w:t xml:space="preserve">Comparative inference</w:t>
            </w:r>
            <w:r/>
          </w:p>
        </w:tc>
      </w:tr>
      <w:tr>
        <w:trPr>
          <w:cantSplit/>
        </w:trPr>
        <w:tc>
          <w:tcPr>
            <w:shd w:val="clear" w:color="auto" w:fill="ffffff"/>
            <w:tcBorders/>
            <w:tcMar>
              <w:left w:w="70" w:type="dxa"/>
              <w:top w:w="55" w:type="dxa"/>
              <w:right w:w="70" w:type="dxa"/>
              <w:bottom w:w="55" w:type="dxa"/>
            </w:tcMar>
            <w:tcW w:w="2994" w:type="dxa"/>
            <w:vAlign w:val="top"/>
          </w:tcPr>
          <w:p>
            <w:pPr>
              <w:pStyle w:val="1088"/>
              <w:pBdr/>
              <w:spacing/>
              <w:ind/>
              <w:rPr/>
            </w:pPr>
            <w:r>
              <w:t xml:space="preserve">claim_function:SPE</w:t>
            </w:r>
            <w:r/>
          </w:p>
        </w:tc>
        <w:tc>
          <w:tcPr>
            <w:shd w:val="clear" w:color="auto" w:fill="ffffff"/>
            <w:tcBorders/>
            <w:tcMar>
              <w:left w:w="70" w:type="dxa"/>
              <w:top w:w="55" w:type="dxa"/>
              <w:right w:w="70" w:type="dxa"/>
              <w:bottom w:w="55" w:type="dxa"/>
            </w:tcMar>
            <w:tcW w:w="7012" w:type="dxa"/>
            <w:vAlign w:val="top"/>
          </w:tcPr>
          <w:p>
            <w:pPr>
              <w:pStyle w:val="1088"/>
              <w:pBdr/>
              <w:spacing/>
              <w:ind/>
              <w:rPr/>
            </w:pPr>
            <w:r>
              <w:t xml:space="preserve">Speculative hypothesis</w:t>
            </w:r>
            <w:r/>
          </w:p>
        </w:tc>
      </w:tr>
    </w:tbl>
    <w:p>
      <w:pPr>
        <w:pStyle w:val="1097"/>
        <w:pBdr/>
        <w:spacing/>
        <w:ind/>
        <w:rPr/>
      </w:pPr>
      <w:r/>
      <w:r/>
    </w:p>
    <w:p>
      <w:pPr>
        <w:pStyle w:val="1086"/>
        <w:keepNext w:val="true"/>
        <w:keepLines w:val="true"/>
        <w:pBdr/>
        <w:spacing/>
        <w:ind/>
        <w:rPr/>
      </w:pPr>
      <w:r/>
      <w:bookmarkStart w:id="94" w:name="tbl_readiness_values"/>
      <w:r>
        <w:t xml:space="preserve">Governing — RepresentationReadiness values and use</w:t>
      </w:r>
      <w:bookmarkEnd w:id="94"/>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501"/>
        <w:gridCol w:w="3502"/>
        <w:gridCol w:w="4002"/>
      </w:tblGrid>
      <w:tr>
        <w:trPr>
          <w:cantSplit/>
          <w:tblHeader/>
        </w:trPr>
        <w:tc>
          <w:tcPr>
            <w:shd w:val="clear" w:color="auto" w:fill="1f5d7a"/>
            <w:tcBorders/>
            <w:tcMar>
              <w:left w:w="55" w:type="dxa"/>
              <w:top w:w="45" w:type="dxa"/>
              <w:right w:w="55" w:type="dxa"/>
              <w:bottom w:w="45" w:type="dxa"/>
            </w:tcMar>
            <w:tcW w:w="2501" w:type="dxa"/>
            <w:vAlign w:val="top"/>
          </w:tcPr>
          <w:p>
            <w:pPr>
              <w:pStyle w:val="1090"/>
              <w:pBdr/>
              <w:spacing/>
              <w:ind/>
              <w:rPr/>
            </w:pPr>
            <w:r>
              <w:t xml:space="preserve">Readiness field</w:t>
            </w:r>
            <w:r/>
          </w:p>
        </w:tc>
        <w:tc>
          <w:tcPr>
            <w:shd w:val="clear" w:color="auto" w:fill="1f5d7a"/>
            <w:tcBorders/>
            <w:tcMar>
              <w:left w:w="55" w:type="dxa"/>
              <w:top w:w="45" w:type="dxa"/>
              <w:right w:w="55" w:type="dxa"/>
              <w:bottom w:w="45" w:type="dxa"/>
            </w:tcMar>
            <w:tcW w:w="3502" w:type="dxa"/>
            <w:vAlign w:val="top"/>
          </w:tcPr>
          <w:p>
            <w:pPr>
              <w:pStyle w:val="1090"/>
              <w:pBdr/>
              <w:spacing/>
              <w:ind/>
              <w:rPr/>
            </w:pPr>
            <w:r>
              <w:t xml:space="preserve">Controlled state</w:t>
            </w:r>
            <w:r/>
          </w:p>
        </w:tc>
        <w:tc>
          <w:tcPr>
            <w:shd w:val="clear" w:color="auto" w:fill="1f5d7a"/>
            <w:tcBorders/>
            <w:tcMar>
              <w:left w:w="55" w:type="dxa"/>
              <w:top w:w="45" w:type="dxa"/>
              <w:right w:w="55" w:type="dxa"/>
              <w:bottom w:w="45" w:type="dxa"/>
            </w:tcMar>
            <w:tcW w:w="4002" w:type="dxa"/>
            <w:vAlign w:val="top"/>
          </w:tcPr>
          <w:p>
            <w:pPr>
              <w:pStyle w:val="1090"/>
              <w:pBdr/>
              <w:spacing/>
              <w:ind/>
              <w:rPr/>
            </w:pPr>
            <w:r>
              <w:t xml:space="preserve">Use</w:t>
            </w:r>
            <w:r/>
          </w:p>
        </w:tc>
      </w:tr>
      <w:tr>
        <w:trPr>
          <w:cantSplit/>
        </w:trPr>
        <w:tc>
          <w:tcPr>
            <w:shd w:val="clear" w:color="auto" w:fill="ffffff"/>
            <w:tcBorders/>
            <w:tcMar>
              <w:left w:w="55" w:type="dxa"/>
              <w:top w:w="45" w:type="dxa"/>
              <w:right w:w="55" w:type="dxa"/>
              <w:bottom w:w="45" w:type="dxa"/>
            </w:tcMar>
            <w:tcW w:w="2501" w:type="dxa"/>
            <w:vAlign w:val="top"/>
          </w:tcPr>
          <w:p>
            <w:pPr>
              <w:pStyle w:val="1089"/>
              <w:pBdr/>
              <w:spacing/>
              <w:ind/>
              <w:rPr/>
            </w:pPr>
            <w:r>
              <w:t xml:space="preserve">source_grounding</w:t>
            </w:r>
            <w:r/>
          </w:p>
        </w:tc>
        <w:tc>
          <w:tcPr>
            <w:shd w:val="clear" w:color="auto" w:fill="ffffff"/>
            <w:tcBorders/>
            <w:tcMar>
              <w:left w:w="55" w:type="dxa"/>
              <w:top w:w="45" w:type="dxa"/>
              <w:right w:w="55" w:type="dxa"/>
              <w:bottom w:w="45" w:type="dxa"/>
            </w:tcMar>
            <w:tcW w:w="3502" w:type="dxa"/>
            <w:vAlign w:val="top"/>
          </w:tcPr>
          <w:p>
            <w:pPr>
              <w:pStyle w:val="1089"/>
              <w:pBdr/>
              <w:spacing/>
              <w:ind/>
              <w:rPr/>
            </w:pPr>
            <w:r>
              <w:t xml:space="preserve">readiness:SATISFIED / PENDING / FAILED / NOT_APPLICABLE</w:t>
            </w:r>
            <w:r/>
          </w:p>
        </w:tc>
        <w:tc>
          <w:tcPr>
            <w:shd w:val="clear" w:color="auto" w:fill="ffffff"/>
            <w:tcBorders/>
            <w:tcMar>
              <w:left w:w="55" w:type="dxa"/>
              <w:top w:w="45" w:type="dxa"/>
              <w:right w:w="55" w:type="dxa"/>
              <w:bottom w:w="45" w:type="dxa"/>
            </w:tcMar>
            <w:tcW w:w="4002" w:type="dxa"/>
            <w:vAlign w:val="top"/>
          </w:tcPr>
          <w:p>
            <w:pPr>
              <w:pStyle w:val="1089"/>
              <w:pBdr/>
              <w:spacing/>
              <w:ind/>
              <w:rPr/>
            </w:pPr>
            <w:r>
              <w:t xml:space="preserve">Whether the source-fit evidence package is adequate for the represented scope.</w:t>
            </w:r>
            <w:r/>
          </w:p>
        </w:tc>
      </w:tr>
      <w:tr>
        <w:trPr>
          <w:cantSplit/>
        </w:trPr>
        <w:tc>
          <w:tcPr>
            <w:shd w:val="clear" w:color="auto" w:fill="f4f6f7"/>
            <w:tcBorders/>
            <w:tcMar>
              <w:left w:w="55" w:type="dxa"/>
              <w:top w:w="45" w:type="dxa"/>
              <w:right w:w="55" w:type="dxa"/>
              <w:bottom w:w="45" w:type="dxa"/>
            </w:tcMar>
            <w:tcW w:w="2501" w:type="dxa"/>
            <w:vAlign w:val="top"/>
          </w:tcPr>
          <w:p>
            <w:pPr>
              <w:pStyle w:val="1089"/>
              <w:pBdr/>
              <w:spacing/>
              <w:ind/>
              <w:rPr/>
            </w:pPr>
            <w:r>
              <w:t xml:space="preserve">specialist_review</w:t>
            </w:r>
            <w:r/>
          </w:p>
        </w:tc>
        <w:tc>
          <w:tcPr>
            <w:shd w:val="clear" w:color="auto" w:fill="f4f6f7"/>
            <w:tcBorders/>
            <w:tcMar>
              <w:left w:w="55" w:type="dxa"/>
              <w:top w:w="45" w:type="dxa"/>
              <w:right w:w="55" w:type="dxa"/>
              <w:bottom w:w="45" w:type="dxa"/>
            </w:tcMar>
            <w:tcW w:w="3502" w:type="dxa"/>
            <w:vAlign w:val="top"/>
          </w:tcPr>
          <w:p>
            <w:pPr>
              <w:pStyle w:val="1089"/>
              <w:pBdr/>
              <w:spacing/>
              <w:ind/>
              <w:rPr/>
            </w:pPr>
            <w:r>
              <w:t xml:space="preserve">readiness:SATISFIED / PENDING / FAILED / NOT_APPLICABLE</w:t>
            </w:r>
            <w:r/>
          </w:p>
        </w:tc>
        <w:tc>
          <w:tcPr>
            <w:shd w:val="clear" w:color="auto" w:fill="f4f6f7"/>
            <w:tcBorders/>
            <w:tcMar>
              <w:left w:w="55" w:type="dxa"/>
              <w:top w:w="45" w:type="dxa"/>
              <w:right w:w="55" w:type="dxa"/>
              <w:bottom w:w="45" w:type="dxa"/>
            </w:tcMar>
            <w:tcW w:w="4002" w:type="dxa"/>
            <w:vAlign w:val="top"/>
          </w:tcPr>
          <w:p>
            <w:pPr>
              <w:pStyle w:val="1089"/>
              <w:pBdr/>
              <w:spacing/>
              <w:ind/>
              <w:rPr/>
            </w:pPr>
            <w:r>
              <w:t xml:space="preserve">Whether required subject, historical, philological or translation review is complete.</w:t>
            </w:r>
            <w:r/>
          </w:p>
        </w:tc>
      </w:tr>
      <w:tr>
        <w:trPr>
          <w:cantSplit/>
        </w:trPr>
        <w:tc>
          <w:tcPr>
            <w:shd w:val="clear" w:color="auto" w:fill="ffffff"/>
            <w:tcBorders/>
            <w:tcMar>
              <w:left w:w="55" w:type="dxa"/>
              <w:top w:w="45" w:type="dxa"/>
              <w:right w:w="55" w:type="dxa"/>
              <w:bottom w:w="45" w:type="dxa"/>
            </w:tcMar>
            <w:tcW w:w="2501" w:type="dxa"/>
            <w:vAlign w:val="top"/>
          </w:tcPr>
          <w:p>
            <w:pPr>
              <w:pStyle w:val="1089"/>
              <w:pBdr/>
              <w:spacing/>
              <w:ind/>
              <w:rPr/>
            </w:pPr>
            <w:r>
              <w:t xml:space="preserve">community_governance</w:t>
            </w:r>
            <w:r/>
          </w:p>
        </w:tc>
        <w:tc>
          <w:tcPr>
            <w:shd w:val="clear" w:color="auto" w:fill="ffffff"/>
            <w:tcBorders/>
            <w:tcMar>
              <w:left w:w="55" w:type="dxa"/>
              <w:top w:w="45" w:type="dxa"/>
              <w:right w:w="55" w:type="dxa"/>
              <w:bottom w:w="45" w:type="dxa"/>
            </w:tcMar>
            <w:tcW w:w="3502" w:type="dxa"/>
            <w:vAlign w:val="top"/>
          </w:tcPr>
          <w:p>
            <w:pPr>
              <w:pStyle w:val="1089"/>
              <w:pBdr/>
              <w:spacing/>
              <w:ind/>
              <w:rPr/>
            </w:pPr>
            <w:r>
              <w:t xml:space="preserve">readiness:SATISFIED / PENDING / FAILED / NOT_APPLICABLE</w:t>
            </w:r>
            <w:r/>
          </w:p>
        </w:tc>
        <w:tc>
          <w:tcPr>
            <w:shd w:val="clear" w:color="auto" w:fill="ffffff"/>
            <w:tcBorders/>
            <w:tcMar>
              <w:left w:w="55" w:type="dxa"/>
              <w:top w:w="45" w:type="dxa"/>
              <w:right w:w="55" w:type="dxa"/>
              <w:bottom w:w="45" w:type="dxa"/>
            </w:tcMar>
            <w:tcW w:w="4002" w:type="dxa"/>
            <w:vAlign w:val="top"/>
          </w:tcPr>
          <w:p>
            <w:pPr>
              <w:pStyle w:val="1089"/>
              <w:pBdr/>
              <w:spacing/>
              <w:ind/>
              <w:rPr/>
            </w:pPr>
            <w:r>
              <w:t xml:space="preserve">Whether applicable source-community authority, feedback and governance requirements are met.</w:t>
            </w:r>
            <w:r/>
          </w:p>
        </w:tc>
      </w:tr>
      <w:tr>
        <w:trPr>
          <w:cantSplit/>
        </w:trPr>
        <w:tc>
          <w:tcPr>
            <w:shd w:val="clear" w:color="auto" w:fill="f4f6f7"/>
            <w:tcBorders/>
            <w:tcMar>
              <w:left w:w="55" w:type="dxa"/>
              <w:top w:w="45" w:type="dxa"/>
              <w:right w:w="55" w:type="dxa"/>
              <w:bottom w:w="45" w:type="dxa"/>
            </w:tcMar>
            <w:tcW w:w="2501" w:type="dxa"/>
            <w:vAlign w:val="top"/>
          </w:tcPr>
          <w:p>
            <w:pPr>
              <w:pStyle w:val="1089"/>
              <w:pBdr/>
              <w:spacing/>
              <w:ind/>
              <w:rPr/>
            </w:pPr>
            <w:r>
              <w:t xml:space="preserve">rights_access</w:t>
            </w:r>
            <w:r/>
          </w:p>
        </w:tc>
        <w:tc>
          <w:tcPr>
            <w:shd w:val="clear" w:color="auto" w:fill="f4f6f7"/>
            <w:tcBorders/>
            <w:tcMar>
              <w:left w:w="55" w:type="dxa"/>
              <w:top w:w="45" w:type="dxa"/>
              <w:right w:w="55" w:type="dxa"/>
              <w:bottom w:w="45" w:type="dxa"/>
            </w:tcMar>
            <w:tcW w:w="3502" w:type="dxa"/>
            <w:vAlign w:val="top"/>
          </w:tcPr>
          <w:p>
            <w:pPr>
              <w:pStyle w:val="1089"/>
              <w:pBdr/>
              <w:spacing/>
              <w:ind/>
              <w:rPr/>
            </w:pPr>
            <w:r>
              <w:t xml:space="preserve">readiness:SATISFIED / PENDING / FAILED / RESTRICTED / NOT_APPLICABLE</w:t>
            </w:r>
            <w:r/>
          </w:p>
        </w:tc>
        <w:tc>
          <w:tcPr>
            <w:shd w:val="clear" w:color="auto" w:fill="f4f6f7"/>
            <w:tcBorders/>
            <w:tcMar>
              <w:left w:w="55" w:type="dxa"/>
              <w:top w:w="45" w:type="dxa"/>
              <w:right w:w="55" w:type="dxa"/>
              <w:bottom w:w="45" w:type="dxa"/>
            </w:tcMar>
            <w:tcW w:w="4002" w:type="dxa"/>
            <w:vAlign w:val="top"/>
          </w:tcPr>
          <w:p>
            <w:pPr>
              <w:pStyle w:val="1089"/>
              <w:pBdr/>
              <w:spacing/>
              <w:ind/>
              <w:rPr/>
            </w:pPr>
            <w:r>
              <w:t xml:space="preserve">Whether quotation, reproduction, access and use are authorized for the intended release context.</w:t>
            </w:r>
            <w:r/>
          </w:p>
        </w:tc>
      </w:tr>
      <w:tr>
        <w:trPr>
          <w:cantSplit/>
        </w:trPr>
        <w:tc>
          <w:tcPr>
            <w:shd w:val="clear" w:color="auto" w:fill="ffffff"/>
            <w:tcBorders/>
            <w:tcMar>
              <w:left w:w="55" w:type="dxa"/>
              <w:top w:w="45" w:type="dxa"/>
              <w:right w:w="55" w:type="dxa"/>
              <w:bottom w:w="45" w:type="dxa"/>
            </w:tcMar>
            <w:tcW w:w="2501" w:type="dxa"/>
            <w:vAlign w:val="top"/>
          </w:tcPr>
          <w:p>
            <w:pPr>
              <w:pStyle w:val="1089"/>
              <w:pBdr/>
              <w:spacing/>
              <w:ind/>
              <w:rPr/>
            </w:pPr>
            <w:r>
              <w:t xml:space="preserve">release_eligibility</w:t>
            </w:r>
            <w:r/>
          </w:p>
        </w:tc>
        <w:tc>
          <w:tcPr>
            <w:shd w:val="clear" w:color="auto" w:fill="ffffff"/>
            <w:tcBorders/>
            <w:tcMar>
              <w:left w:w="55" w:type="dxa"/>
              <w:top w:w="45" w:type="dxa"/>
              <w:right w:w="55" w:type="dxa"/>
              <w:bottom w:w="45" w:type="dxa"/>
            </w:tcMar>
            <w:tcW w:w="3502" w:type="dxa"/>
            <w:vAlign w:val="top"/>
          </w:tcPr>
          <w:p>
            <w:pPr>
              <w:pStyle w:val="1089"/>
              <w:pBdr/>
              <w:spacing/>
              <w:ind/>
              <w:rPr/>
            </w:pPr>
            <w:r>
              <w:t xml:space="preserve">readiness:ELIGIBLE / INELIGIBLE / PENDING</w:t>
            </w:r>
            <w:r/>
          </w:p>
        </w:tc>
        <w:tc>
          <w:tcPr>
            <w:shd w:val="clear" w:color="auto" w:fill="ffffff"/>
            <w:tcBorders/>
            <w:tcMar>
              <w:left w:w="55" w:type="dxa"/>
              <w:top w:w="45" w:type="dxa"/>
              <w:right w:w="55" w:type="dxa"/>
              <w:bottom w:w="45" w:type="dxa"/>
            </w:tcMar>
            <w:tcW w:w="4002" w:type="dxa"/>
            <w:vAlign w:val="top"/>
          </w:tcPr>
          <w:p>
            <w:pPr>
              <w:pStyle w:val="1089"/>
              <w:pBdr/>
              <w:spacing/>
              <w:ind/>
              <w:rPr/>
            </w:pPr>
            <w:r>
              <w:t xml:space="preserve">Computed only after every applicable component and release criterion is satisfied.</w:t>
            </w:r>
            <w:r/>
          </w:p>
        </w:tc>
      </w:tr>
      <w:tr>
        <w:trPr>
          <w:cantSplit/>
        </w:trPr>
        <w:tc>
          <w:tcPr>
            <w:shd w:val="clear" w:color="auto" w:fill="f4f6f7"/>
            <w:tcBorders/>
            <w:tcMar>
              <w:left w:w="55" w:type="dxa"/>
              <w:top w:w="45" w:type="dxa"/>
              <w:right w:w="55" w:type="dxa"/>
              <w:bottom w:w="45" w:type="dxa"/>
            </w:tcMar>
            <w:tcW w:w="2501" w:type="dxa"/>
            <w:vAlign w:val="top"/>
          </w:tcPr>
          <w:p>
            <w:pPr>
              <w:pStyle w:val="1089"/>
              <w:pBdr/>
              <w:spacing/>
              <w:ind/>
              <w:rPr/>
            </w:pPr>
            <w:r>
              <w:t xml:space="preserve">derived_display_summary</w:t>
            </w:r>
            <w:r/>
          </w:p>
        </w:tc>
        <w:tc>
          <w:tcPr>
            <w:shd w:val="clear" w:color="auto" w:fill="f4f6f7"/>
            <w:tcBorders/>
            <w:tcMar>
              <w:left w:w="55" w:type="dxa"/>
              <w:top w:w="45" w:type="dxa"/>
              <w:right w:w="55" w:type="dxa"/>
              <w:bottom w:w="45" w:type="dxa"/>
            </w:tcMar>
            <w:tcW w:w="3502" w:type="dxa"/>
            <w:vAlign w:val="top"/>
          </w:tcPr>
          <w:p>
            <w:pPr>
              <w:pStyle w:val="1089"/>
              <w:pBdr/>
              <w:spacing/>
              <w:ind/>
              <w:rPr/>
            </w:pPr>
            <w:r>
              <w:t xml:space="preserve">INT / SRC / REV / COM / REL</w:t>
            </w:r>
            <w:r/>
          </w:p>
        </w:tc>
        <w:tc>
          <w:tcPr>
            <w:shd w:val="clear" w:color="auto" w:fill="f4f6f7"/>
            <w:tcBorders/>
            <w:tcMar>
              <w:left w:w="55" w:type="dxa"/>
              <w:top w:w="45" w:type="dxa"/>
              <w:right w:w="55" w:type="dxa"/>
              <w:bottom w:w="45" w:type="dxa"/>
            </w:tcMar>
            <w:tcW w:w="4002" w:type="dxa"/>
            <w:vAlign w:val="top"/>
          </w:tcPr>
          <w:p>
            <w:pPr>
              <w:pStyle w:val="1089"/>
              <w:pBdr/>
              <w:spacing/>
              <w:ind/>
              <w:rPr/>
            </w:pPr>
            <w:r>
              <w:t xml:space="preserve">Optional human-facing summary; never the authoritative source for component status.</w:t>
            </w:r>
            <w:r/>
          </w:p>
        </w:tc>
      </w:tr>
    </w:tbl>
    <w:p>
      <w:pPr>
        <w:pStyle w:val="1097"/>
        <w:pBdr/>
        <w:spacing/>
        <w:ind/>
        <w:rPr/>
      </w:pPr>
      <w:r/>
      <w:r/>
    </w:p>
    <w:p>
      <w:pPr>
        <w:pStyle w:val="1086"/>
        <w:keepNext w:val="true"/>
        <w:keepLines w:val="true"/>
        <w:pBdr/>
        <w:spacing/>
        <w:ind/>
        <w:rPr/>
      </w:pPr>
      <w:r/>
      <w:bookmarkStart w:id="95" w:name="tbl_gate_values"/>
      <w:r>
        <w:t xml:space="preserve">Governing — Gate, criterion, authorization and confidence values</w:t>
      </w:r>
      <w:bookmarkEnd w:id="95"/>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3068"/>
        <w:gridCol w:w="6938"/>
      </w:tblGrid>
      <w:tr>
        <w:trPr>
          <w:cantSplit/>
          <w:tblHeader/>
        </w:trPr>
        <w:tc>
          <w:tcPr>
            <w:shd w:val="clear" w:color="auto" w:fill="1f5d7a"/>
            <w:tcBorders/>
            <w:tcMar>
              <w:left w:w="55" w:type="dxa"/>
              <w:top w:w="45" w:type="dxa"/>
              <w:right w:w="55" w:type="dxa"/>
              <w:bottom w:w="45" w:type="dxa"/>
            </w:tcMar>
            <w:tcW w:w="3068"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6938" w:type="dxa"/>
            <w:vAlign w:val="top"/>
          </w:tcPr>
          <w:p>
            <w:pPr>
              <w:pStyle w:val="1090"/>
              <w:pBdr/>
              <w:spacing/>
              <w:ind/>
              <w:rPr/>
            </w:pPr>
            <w:r>
              <w:t xml:space="preserve">Qualified values</w:t>
            </w:r>
            <w:r/>
          </w:p>
        </w:tc>
      </w:tr>
      <w:tr>
        <w:trPr>
          <w:cantSplit/>
        </w:trPr>
        <w:tc>
          <w:tcPr>
            <w:shd w:val="clear" w:color="auto" w:fill="ffffff"/>
            <w:tcBorders/>
            <w:tcMar>
              <w:left w:w="55" w:type="dxa"/>
              <w:top w:w="45" w:type="dxa"/>
              <w:right w:w="55" w:type="dxa"/>
              <w:bottom w:w="45" w:type="dxa"/>
            </w:tcMar>
            <w:tcW w:w="3068" w:type="dxa"/>
            <w:vAlign w:val="top"/>
          </w:tcPr>
          <w:p>
            <w:pPr>
              <w:pStyle w:val="1089"/>
              <w:pBdr/>
              <w:spacing/>
              <w:ind/>
              <w:rPr/>
            </w:pPr>
            <w:r>
              <w:t xml:space="preserve">gate_verdict</w:t>
            </w:r>
            <w:r/>
          </w:p>
        </w:tc>
        <w:tc>
          <w:tcPr>
            <w:shd w:val="clear" w:color="auto" w:fill="ffffff"/>
            <w:tcBorders/>
            <w:tcMar>
              <w:left w:w="55" w:type="dxa"/>
              <w:top w:w="45" w:type="dxa"/>
              <w:right w:w="55" w:type="dxa"/>
              <w:bottom w:w="45" w:type="dxa"/>
            </w:tcMar>
            <w:tcW w:w="6938" w:type="dxa"/>
            <w:vAlign w:val="top"/>
          </w:tcPr>
          <w:p>
            <w:pPr>
              <w:pStyle w:val="1089"/>
              <w:pBdr/>
              <w:spacing/>
              <w:ind/>
              <w:rPr/>
            </w:pPr>
            <w:r>
              <w:t xml:space="preserve">gate_verdict:PASS / FAIL / PENDING / NOT_APPLICABLE</w:t>
            </w:r>
            <w:r/>
          </w:p>
        </w:tc>
      </w:tr>
      <w:tr>
        <w:trPr>
          <w:cantSplit/>
        </w:trPr>
        <w:tc>
          <w:tcPr>
            <w:shd w:val="clear" w:color="auto" w:fill="f4f6f7"/>
            <w:tcBorders/>
            <w:tcMar>
              <w:left w:w="55" w:type="dxa"/>
              <w:top w:w="45" w:type="dxa"/>
              <w:right w:w="55" w:type="dxa"/>
              <w:bottom w:w="45" w:type="dxa"/>
            </w:tcMar>
            <w:tcW w:w="3068" w:type="dxa"/>
            <w:vAlign w:val="top"/>
          </w:tcPr>
          <w:p>
            <w:pPr>
              <w:pStyle w:val="1089"/>
              <w:pBdr/>
              <w:spacing/>
              <w:ind/>
              <w:rPr/>
            </w:pPr>
            <w:r>
              <w:t xml:space="preserve">evidence_maturity</w:t>
            </w:r>
            <w:r/>
          </w:p>
        </w:tc>
        <w:tc>
          <w:tcPr>
            <w:shd w:val="clear" w:color="auto" w:fill="f4f6f7"/>
            <w:tcBorders/>
            <w:tcMar>
              <w:left w:w="55" w:type="dxa"/>
              <w:top w:w="45" w:type="dxa"/>
              <w:right w:w="55" w:type="dxa"/>
              <w:bottom w:w="45" w:type="dxa"/>
            </w:tcMar>
            <w:tcW w:w="6938" w:type="dxa"/>
            <w:vAlign w:val="top"/>
          </w:tcPr>
          <w:p>
            <w:pPr>
              <w:pStyle w:val="1089"/>
              <w:pBdr/>
              <w:spacing/>
              <w:ind/>
              <w:rPr/>
            </w:pPr>
            <w:r>
              <w:t xml:space="preserve">evidence_maturity:NONE / PARTIAL / PROTOTYPE / COMPLETE</w:t>
            </w:r>
            <w:r/>
          </w:p>
        </w:tc>
      </w:tr>
      <w:tr>
        <w:trPr>
          <w:cantSplit/>
        </w:trPr>
        <w:tc>
          <w:tcPr>
            <w:shd w:val="clear" w:color="auto" w:fill="ffffff"/>
            <w:tcBorders/>
            <w:tcMar>
              <w:left w:w="55" w:type="dxa"/>
              <w:top w:w="45" w:type="dxa"/>
              <w:right w:w="55" w:type="dxa"/>
              <w:bottom w:w="45" w:type="dxa"/>
            </w:tcMar>
            <w:tcW w:w="3068" w:type="dxa"/>
            <w:vAlign w:val="top"/>
          </w:tcPr>
          <w:p>
            <w:pPr>
              <w:pStyle w:val="1089"/>
              <w:pBdr/>
              <w:spacing/>
              <w:ind/>
              <w:rPr/>
            </w:pPr>
            <w:r>
              <w:t xml:space="preserve">criterion_status</w:t>
            </w:r>
            <w:r/>
          </w:p>
        </w:tc>
        <w:tc>
          <w:tcPr>
            <w:shd w:val="clear" w:color="auto" w:fill="ffffff"/>
            <w:tcBorders/>
            <w:tcMar>
              <w:left w:w="55" w:type="dxa"/>
              <w:top w:w="45" w:type="dxa"/>
              <w:right w:w="55" w:type="dxa"/>
              <w:bottom w:w="45" w:type="dxa"/>
            </w:tcMar>
            <w:tcW w:w="6938" w:type="dxa"/>
            <w:vAlign w:val="top"/>
          </w:tcPr>
          <w:p>
            <w:pPr>
              <w:pStyle w:val="1089"/>
              <w:pBdr/>
              <w:spacing/>
              <w:ind/>
              <w:rPr/>
            </w:pPr>
            <w:r>
              <w:t xml:space="preserve">criterion_status:PASS / FAIL / PENDING / NOT_APPLICABLE</w:t>
            </w:r>
            <w:r/>
          </w:p>
        </w:tc>
      </w:tr>
      <w:tr>
        <w:trPr>
          <w:cantSplit/>
        </w:trPr>
        <w:tc>
          <w:tcPr>
            <w:shd w:val="clear" w:color="auto" w:fill="f4f6f7"/>
            <w:tcBorders/>
            <w:tcMar>
              <w:left w:w="55" w:type="dxa"/>
              <w:top w:w="45" w:type="dxa"/>
              <w:right w:w="55" w:type="dxa"/>
              <w:bottom w:w="45" w:type="dxa"/>
            </w:tcMar>
            <w:tcW w:w="3068" w:type="dxa"/>
            <w:vAlign w:val="top"/>
          </w:tcPr>
          <w:p>
            <w:pPr>
              <w:pStyle w:val="1089"/>
              <w:pBdr/>
              <w:spacing/>
              <w:ind/>
              <w:rPr/>
            </w:pPr>
            <w:r>
              <w:t xml:space="preserve">authorization_decision</w:t>
            </w:r>
            <w:r/>
          </w:p>
        </w:tc>
        <w:tc>
          <w:tcPr>
            <w:shd w:val="clear" w:color="auto" w:fill="f4f6f7"/>
            <w:tcBorders/>
            <w:tcMar>
              <w:left w:w="55" w:type="dxa"/>
              <w:top w:w="45" w:type="dxa"/>
              <w:right w:w="55" w:type="dxa"/>
              <w:bottom w:w="45" w:type="dxa"/>
            </w:tcMar>
            <w:tcW w:w="6938" w:type="dxa"/>
            <w:vAlign w:val="top"/>
          </w:tcPr>
          <w:p>
            <w:pPr>
              <w:pStyle w:val="1089"/>
              <w:pBdr/>
              <w:spacing/>
              <w:ind/>
              <w:rPr/>
            </w:pPr>
            <w:r>
              <w:t xml:space="preserve">authorization_decision:GO / HOLD</w:t>
            </w:r>
            <w:r/>
          </w:p>
        </w:tc>
      </w:tr>
      <w:tr>
        <w:trPr>
          <w:cantSplit/>
        </w:trPr>
        <w:tc>
          <w:tcPr>
            <w:shd w:val="clear" w:color="auto" w:fill="ffffff"/>
            <w:tcBorders/>
            <w:tcMar>
              <w:left w:w="55" w:type="dxa"/>
              <w:top w:w="45" w:type="dxa"/>
              <w:right w:w="55" w:type="dxa"/>
              <w:bottom w:w="45" w:type="dxa"/>
            </w:tcMar>
            <w:tcW w:w="3068" w:type="dxa"/>
            <w:vAlign w:val="top"/>
          </w:tcPr>
          <w:p>
            <w:pPr>
              <w:pStyle w:val="1089"/>
              <w:pBdr/>
              <w:spacing/>
              <w:ind/>
              <w:rPr/>
            </w:pPr>
            <w:r>
              <w:t xml:space="preserve">confidence</w:t>
            </w:r>
            <w:r/>
          </w:p>
        </w:tc>
        <w:tc>
          <w:tcPr>
            <w:shd w:val="clear" w:color="auto" w:fill="ffffff"/>
            <w:tcBorders/>
            <w:tcMar>
              <w:left w:w="55" w:type="dxa"/>
              <w:top w:w="45" w:type="dxa"/>
              <w:right w:w="55" w:type="dxa"/>
              <w:bottom w:w="45" w:type="dxa"/>
            </w:tcMar>
            <w:tcW w:w="6938" w:type="dxa"/>
            <w:vAlign w:val="top"/>
          </w:tcPr>
          <w:p>
            <w:pPr>
              <w:pStyle w:val="1089"/>
              <w:pBdr/>
              <w:spacing/>
              <w:ind/>
              <w:rPr/>
            </w:pPr>
            <w:r>
              <w:t xml:space="preserve">confidence:HIGH / MODERATE / LOW</w:t>
            </w:r>
            <w:r/>
          </w:p>
        </w:tc>
      </w:tr>
    </w:tbl>
    <w:p>
      <w:pPr>
        <w:pStyle w:val="1097"/>
        <w:pBdr/>
        <w:spacing/>
        <w:ind/>
        <w:rPr/>
      </w:pPr>
      <w:r/>
      <w:r/>
    </w:p>
    <w:p>
      <w:pPr>
        <w:pStyle w:val="923"/>
        <w:keepNext w:val="true"/>
        <w:keepLines w:val="true"/>
        <w:pBdr/>
        <w:spacing/>
        <w:ind/>
        <w:rPr/>
      </w:pPr>
      <w:r/>
      <w:bookmarkStart w:id="96" w:name="annex_a5_synthesis_values"/>
      <w:r>
        <w:t xml:space="preserve">A5. Synthesis, genealogy and PublicationClaim values</w:t>
      </w:r>
      <w:bookmarkEnd w:id="96"/>
      <w:r/>
      <w:r/>
    </w:p>
    <w:p>
      <w:pPr>
        <w:pStyle w:val="1086"/>
        <w:keepNext w:val="true"/>
        <w:keepLines w:val="true"/>
        <w:pBdr/>
        <w:spacing/>
        <w:ind/>
        <w:rPr/>
      </w:pPr>
      <w:r/>
      <w:bookmarkStart w:id="97" w:name="tbl_synthesis_levels"/>
      <w:r>
        <w:t xml:space="preserve">Governing — Synthesis levels and minimum registration permission</w:t>
      </w:r>
      <w:bookmarkEnd w:id="97"/>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950"/>
        <w:gridCol w:w="3359"/>
        <w:gridCol w:w="5696"/>
      </w:tblGrid>
      <w:tr>
        <w:trPr>
          <w:cantSplit/>
          <w:tblHeader/>
        </w:trPr>
        <w:tc>
          <w:tcPr>
            <w:shd w:val="clear" w:color="auto" w:fill="1f5d7a"/>
            <w:tcBorders/>
            <w:tcMar>
              <w:left w:w="55" w:type="dxa"/>
              <w:top w:w="45" w:type="dxa"/>
              <w:right w:w="55" w:type="dxa"/>
              <w:bottom w:w="45" w:type="dxa"/>
            </w:tcMar>
            <w:tcW w:w="950" w:type="dxa"/>
            <w:vAlign w:val="top"/>
          </w:tcPr>
          <w:p>
            <w:pPr>
              <w:pStyle w:val="1090"/>
              <w:pBdr/>
              <w:spacing/>
              <w:ind/>
              <w:rPr/>
            </w:pPr>
            <w:r>
              <w:t xml:space="preserve">Level</w:t>
            </w:r>
            <w:r/>
          </w:p>
        </w:tc>
        <w:tc>
          <w:tcPr>
            <w:shd w:val="clear" w:color="auto" w:fill="1f5d7a"/>
            <w:tcBorders/>
            <w:tcMar>
              <w:left w:w="55" w:type="dxa"/>
              <w:top w:w="45" w:type="dxa"/>
              <w:right w:w="55" w:type="dxa"/>
              <w:bottom w:w="45" w:type="dxa"/>
            </w:tcMar>
            <w:tcW w:w="3359" w:type="dxa"/>
            <w:vAlign w:val="top"/>
          </w:tcPr>
          <w:p>
            <w:pPr>
              <w:pStyle w:val="1090"/>
              <w:pBdr/>
              <w:spacing/>
              <w:ind/>
              <w:rPr/>
            </w:pPr>
            <w:r>
              <w:t xml:space="preserve">Claim</w:t>
            </w:r>
            <w:r/>
          </w:p>
        </w:tc>
        <w:tc>
          <w:tcPr>
            <w:shd w:val="clear" w:color="auto" w:fill="1f5d7a"/>
            <w:tcBorders/>
            <w:tcMar>
              <w:left w:w="55" w:type="dxa"/>
              <w:top w:w="45" w:type="dxa"/>
              <w:right w:w="55" w:type="dxa"/>
              <w:bottom w:w="45" w:type="dxa"/>
            </w:tcMar>
            <w:tcW w:w="5696" w:type="dxa"/>
            <w:vAlign w:val="top"/>
          </w:tcPr>
          <w:p>
            <w:pPr>
              <w:pStyle w:val="1090"/>
              <w:pBdr/>
              <w:spacing/>
              <w:ind/>
              <w:rPr/>
            </w:pPr>
            <w:r>
              <w:t xml:space="preserve">Minimum registration permission</w:t>
            </w:r>
            <w:r/>
          </w:p>
        </w:tc>
      </w:tr>
      <w:tr>
        <w:trPr>
          <w:cantSplit/>
        </w:trPr>
        <w:tc>
          <w:tcPr>
            <w:shd w:val="clear" w:color="auto" w:fill="ffffff"/>
            <w:tcBorders/>
            <w:tcMar>
              <w:left w:w="55" w:type="dxa"/>
              <w:top w:w="45" w:type="dxa"/>
              <w:right w:w="55" w:type="dxa"/>
              <w:bottom w:w="45" w:type="dxa"/>
            </w:tcMar>
            <w:tcW w:w="950" w:type="dxa"/>
            <w:vAlign w:val="top"/>
          </w:tcPr>
          <w:p>
            <w:pPr>
              <w:pStyle w:val="1089"/>
              <w:pBdr/>
              <w:spacing/>
              <w:ind/>
              <w:rPr/>
            </w:pPr>
            <w:r>
              <w:t xml:space="preserve">L0</w:t>
            </w:r>
            <w:r/>
          </w:p>
        </w:tc>
        <w:tc>
          <w:tcPr>
            <w:shd w:val="clear" w:color="auto" w:fill="ffffff"/>
            <w:tcBorders/>
            <w:tcMar>
              <w:left w:w="55" w:type="dxa"/>
              <w:top w:w="45" w:type="dxa"/>
              <w:right w:w="55" w:type="dxa"/>
              <w:bottom w:w="45" w:type="dxa"/>
            </w:tcMar>
            <w:tcW w:w="3359" w:type="dxa"/>
            <w:vAlign w:val="top"/>
          </w:tcPr>
          <w:p>
            <w:pPr>
              <w:pStyle w:val="1089"/>
              <w:pBdr/>
              <w:spacing/>
              <w:ind/>
              <w:rPr/>
            </w:pPr>
            <w:r>
              <w:t xml:space="preserve">Single-unit observation</w:t>
            </w:r>
            <w:r/>
          </w:p>
        </w:tc>
        <w:tc>
          <w:tcPr>
            <w:shd w:val="clear" w:color="auto" w:fill="ffffff"/>
            <w:tcBorders/>
            <w:tcMar>
              <w:left w:w="55" w:type="dxa"/>
              <w:top w:w="45" w:type="dxa"/>
              <w:right w:w="55" w:type="dxa"/>
              <w:bottom w:w="45" w:type="dxa"/>
            </w:tcMar>
            <w:tcW w:w="5696" w:type="dxa"/>
            <w:vAlign w:val="top"/>
          </w:tcPr>
          <w:p>
            <w:pPr>
              <w:pStyle w:val="1089"/>
              <w:pBdr/>
              <w:spacing/>
              <w:ind/>
              <w:rPr/>
            </w:pPr>
            <w:r>
              <w:t xml:space="preserve">Source-grounded description only.</w:t>
            </w:r>
            <w:r/>
          </w:p>
        </w:tc>
      </w:tr>
      <w:tr>
        <w:trPr>
          <w:cantSplit/>
        </w:trPr>
        <w:tc>
          <w:tcPr>
            <w:shd w:val="clear" w:color="auto" w:fill="f4f6f7"/>
            <w:tcBorders/>
            <w:tcMar>
              <w:left w:w="55" w:type="dxa"/>
              <w:top w:w="45" w:type="dxa"/>
              <w:right w:w="55" w:type="dxa"/>
              <w:bottom w:w="45" w:type="dxa"/>
            </w:tcMar>
            <w:tcW w:w="950" w:type="dxa"/>
            <w:vAlign w:val="top"/>
          </w:tcPr>
          <w:p>
            <w:pPr>
              <w:pStyle w:val="1089"/>
              <w:pBdr/>
              <w:spacing/>
              <w:ind/>
              <w:rPr/>
            </w:pPr>
            <w:r>
              <w:t xml:space="preserve">L1</w:t>
            </w:r>
            <w:r/>
          </w:p>
        </w:tc>
        <w:tc>
          <w:tcPr>
            <w:shd w:val="clear" w:color="auto" w:fill="f4f6f7"/>
            <w:tcBorders/>
            <w:tcMar>
              <w:left w:w="55" w:type="dxa"/>
              <w:top w:w="45" w:type="dxa"/>
              <w:right w:w="55" w:type="dxa"/>
              <w:bottom w:w="45" w:type="dxa"/>
            </w:tcMar>
            <w:tcW w:w="3359" w:type="dxa"/>
            <w:vAlign w:val="top"/>
          </w:tcPr>
          <w:p>
            <w:pPr>
              <w:pStyle w:val="1089"/>
              <w:pBdr/>
              <w:spacing/>
              <w:ind/>
              <w:rPr/>
            </w:pPr>
            <w:r>
              <w:t xml:space="preserve">Pairwise relation</w:t>
            </w:r>
            <w:r/>
          </w:p>
        </w:tc>
        <w:tc>
          <w:tcPr>
            <w:shd w:val="clear" w:color="auto" w:fill="f4f6f7"/>
            <w:tcBorders/>
            <w:tcMar>
              <w:left w:w="55" w:type="dxa"/>
              <w:top w:w="45" w:type="dxa"/>
              <w:right w:w="55" w:type="dxa"/>
              <w:bottom w:w="45" w:type="dxa"/>
            </w:tcMar>
            <w:tcW w:w="5696" w:type="dxa"/>
            <w:vAlign w:val="top"/>
          </w:tcPr>
          <w:p>
            <w:pPr>
              <w:pStyle w:val="1089"/>
              <w:pBdr/>
              <w:spacing/>
              <w:ind/>
              <w:rPr/>
            </w:pPr>
            <w:r>
              <w:t xml:space="preserve">Permitted after a complete ComparisonEvent and relation set.</w:t>
            </w:r>
            <w:r/>
          </w:p>
        </w:tc>
      </w:tr>
      <w:tr>
        <w:trPr>
          <w:cantSplit/>
        </w:trPr>
        <w:tc>
          <w:tcPr>
            <w:shd w:val="clear" w:color="auto" w:fill="ffffff"/>
            <w:tcBorders/>
            <w:tcMar>
              <w:left w:w="55" w:type="dxa"/>
              <w:top w:w="45" w:type="dxa"/>
              <w:right w:w="55" w:type="dxa"/>
              <w:bottom w:w="45" w:type="dxa"/>
            </w:tcMar>
            <w:tcW w:w="950" w:type="dxa"/>
            <w:vAlign w:val="top"/>
          </w:tcPr>
          <w:p>
            <w:pPr>
              <w:pStyle w:val="1089"/>
              <w:pBdr/>
              <w:spacing/>
              <w:ind/>
              <w:rPr/>
            </w:pPr>
            <w:r>
              <w:t xml:space="preserve">L2</w:t>
            </w:r>
            <w:r/>
          </w:p>
        </w:tc>
        <w:tc>
          <w:tcPr>
            <w:shd w:val="clear" w:color="auto" w:fill="ffffff"/>
            <w:tcBorders/>
            <w:tcMar>
              <w:left w:w="55" w:type="dxa"/>
              <w:top w:w="45" w:type="dxa"/>
              <w:right w:w="55" w:type="dxa"/>
              <w:bottom w:w="45" w:type="dxa"/>
            </w:tcMar>
            <w:tcW w:w="3359" w:type="dxa"/>
            <w:vAlign w:val="top"/>
          </w:tcPr>
          <w:p>
            <w:pPr>
              <w:pStyle w:val="1089"/>
              <w:pBdr/>
              <w:spacing/>
              <w:ind/>
              <w:rPr/>
            </w:pPr>
            <w:r>
              <w:t xml:space="preserve">Cluster pattern</w:t>
            </w:r>
            <w:r/>
          </w:p>
        </w:tc>
        <w:tc>
          <w:tcPr>
            <w:shd w:val="clear" w:color="auto" w:fill="ffffff"/>
            <w:tcBorders/>
            <w:tcMar>
              <w:left w:w="55" w:type="dxa"/>
              <w:top w:w="45" w:type="dxa"/>
              <w:right w:w="55" w:type="dxa"/>
              <w:bottom w:w="45" w:type="dxa"/>
            </w:tcMar>
            <w:tcW w:w="5696" w:type="dxa"/>
            <w:vAlign w:val="top"/>
          </w:tcPr>
          <w:p>
            <w:pPr>
              <w:pStyle w:val="1089"/>
              <w:pBdr/>
              <w:spacing/>
              <w:ind/>
              <w:rPr/>
            </w:pPr>
            <w:r>
              <w:t xml:space="preserve">At least 3 adequately described Positions and an active counterexample search.</w:t>
            </w:r>
            <w:r/>
          </w:p>
        </w:tc>
      </w:tr>
      <w:tr>
        <w:trPr>
          <w:cantSplit/>
        </w:trPr>
        <w:tc>
          <w:tcPr>
            <w:shd w:val="clear" w:color="auto" w:fill="f4f6f7"/>
            <w:tcBorders/>
            <w:tcMar>
              <w:left w:w="55" w:type="dxa"/>
              <w:top w:w="45" w:type="dxa"/>
              <w:right w:w="55" w:type="dxa"/>
              <w:bottom w:w="45" w:type="dxa"/>
            </w:tcMar>
            <w:tcW w:w="950" w:type="dxa"/>
            <w:vAlign w:val="top"/>
          </w:tcPr>
          <w:p>
            <w:pPr>
              <w:pStyle w:val="1089"/>
              <w:pBdr/>
              <w:spacing/>
              <w:ind/>
              <w:rPr/>
            </w:pPr>
            <w:r>
              <w:t xml:space="preserve">L3</w:t>
            </w:r>
            <w:r/>
          </w:p>
        </w:tc>
        <w:tc>
          <w:tcPr>
            <w:shd w:val="clear" w:color="auto" w:fill="f4f6f7"/>
            <w:tcBorders/>
            <w:tcMar>
              <w:left w:w="55" w:type="dxa"/>
              <w:top w:w="45" w:type="dxa"/>
              <w:right w:w="55" w:type="dxa"/>
              <w:bottom w:w="45" w:type="dxa"/>
            </w:tcMar>
            <w:tcW w:w="3359" w:type="dxa"/>
            <w:vAlign w:val="top"/>
          </w:tcPr>
          <w:p>
            <w:pPr>
              <w:pStyle w:val="1089"/>
              <w:pBdr/>
              <w:spacing/>
              <w:ind/>
              <w:rPr/>
            </w:pPr>
            <w:r>
              <w:t xml:space="preserve">Cross-regional recurrence</w:t>
            </w:r>
            <w:r/>
          </w:p>
        </w:tc>
        <w:tc>
          <w:tcPr>
            <w:shd w:val="clear" w:color="auto" w:fill="f4f6f7"/>
            <w:tcBorders/>
            <w:tcMar>
              <w:left w:w="55" w:type="dxa"/>
              <w:top w:w="45" w:type="dxa"/>
              <w:right w:w="55" w:type="dxa"/>
              <w:bottom w:w="45" w:type="dxa"/>
            </w:tcMar>
            <w:tcW w:w="5696" w:type="dxa"/>
            <w:vAlign w:val="top"/>
          </w:tcPr>
          <w:p>
            <w:pPr>
              <w:pStyle w:val="1089"/>
              <w:pBdr/>
              <w:spacing/>
              <w:ind/>
              <w:rPr/>
            </w:pPr>
            <w:r>
              <w:t xml:space="preserve">Multiple cultural/historical regions, genealogy/independence analysis and negative cases.</w:t>
            </w:r>
            <w:r/>
          </w:p>
        </w:tc>
      </w:tr>
      <w:tr>
        <w:trPr>
          <w:cantSplit/>
        </w:trPr>
        <w:tc>
          <w:tcPr>
            <w:shd w:val="clear" w:color="auto" w:fill="ffffff"/>
            <w:tcBorders/>
            <w:tcMar>
              <w:left w:w="55" w:type="dxa"/>
              <w:top w:w="45" w:type="dxa"/>
              <w:right w:w="55" w:type="dxa"/>
              <w:bottom w:w="45" w:type="dxa"/>
            </w:tcMar>
            <w:tcW w:w="950" w:type="dxa"/>
            <w:vAlign w:val="top"/>
          </w:tcPr>
          <w:p>
            <w:pPr>
              <w:pStyle w:val="1089"/>
              <w:pBdr/>
              <w:spacing/>
              <w:ind/>
              <w:rPr/>
            </w:pPr>
            <w:r>
              <w:t xml:space="preserve">L4</w:t>
            </w:r>
            <w:r/>
          </w:p>
        </w:tc>
        <w:tc>
          <w:tcPr>
            <w:shd w:val="clear" w:color="auto" w:fill="ffffff"/>
            <w:tcBorders/>
            <w:tcMar>
              <w:left w:w="55" w:type="dxa"/>
              <w:top w:w="45" w:type="dxa"/>
              <w:right w:w="55" w:type="dxa"/>
              <w:bottom w:w="45" w:type="dxa"/>
            </w:tcMar>
            <w:tcW w:w="3359" w:type="dxa"/>
            <w:vAlign w:val="top"/>
          </w:tcPr>
          <w:p>
            <w:pPr>
              <w:pStyle w:val="1089"/>
              <w:pBdr/>
              <w:spacing/>
              <w:ind/>
              <w:rPr/>
            </w:pPr>
            <w:r>
              <w:t xml:space="preserve">Provisional global morphology</w:t>
            </w:r>
            <w:r/>
          </w:p>
        </w:tc>
        <w:tc>
          <w:tcPr>
            <w:shd w:val="clear" w:color="auto" w:fill="ffffff"/>
            <w:tcBorders/>
            <w:tcMar>
              <w:left w:w="55" w:type="dxa"/>
              <w:top w:w="45" w:type="dxa"/>
              <w:right w:w="55" w:type="dxa"/>
              <w:bottom w:w="45" w:type="dxa"/>
            </w:tcMar>
            <w:tcW w:w="5696" w:type="dxa"/>
            <w:vAlign w:val="top"/>
          </w:tcPr>
          <w:p>
            <w:pPr>
              <w:pStyle w:val="1089"/>
              <w:pBdr/>
              <w:spacing/>
              <w:ind/>
              <w:rPr/>
            </w:pPr>
            <w:r>
              <w:t xml:space="preserve">Broad coverage ledger, exclusions, robustness across schema revisions and specialist scrutiny.</w:t>
            </w:r>
            <w:r/>
          </w:p>
        </w:tc>
      </w:tr>
      <w:tr>
        <w:trPr>
          <w:cantSplit/>
        </w:trPr>
        <w:tc>
          <w:tcPr>
            <w:shd w:val="clear" w:color="auto" w:fill="f4f6f7"/>
            <w:tcBorders/>
            <w:tcMar>
              <w:left w:w="55" w:type="dxa"/>
              <w:top w:w="45" w:type="dxa"/>
              <w:right w:w="55" w:type="dxa"/>
              <w:bottom w:w="45" w:type="dxa"/>
            </w:tcMar>
            <w:tcW w:w="950" w:type="dxa"/>
            <w:vAlign w:val="top"/>
          </w:tcPr>
          <w:p>
            <w:pPr>
              <w:pStyle w:val="1089"/>
              <w:pBdr/>
              <w:spacing/>
              <w:ind/>
              <w:rPr/>
            </w:pPr>
            <w:r>
              <w:t xml:space="preserve">L5</w:t>
            </w:r>
            <w:r/>
          </w:p>
        </w:tc>
        <w:tc>
          <w:tcPr>
            <w:shd w:val="clear" w:color="auto" w:fill="f4f6f7"/>
            <w:tcBorders/>
            <w:tcMar>
              <w:left w:w="55" w:type="dxa"/>
              <w:top w:w="45" w:type="dxa"/>
              <w:right w:w="55" w:type="dxa"/>
              <w:bottom w:w="45" w:type="dxa"/>
            </w:tcMar>
            <w:tcW w:w="3359" w:type="dxa"/>
            <w:vAlign w:val="top"/>
          </w:tcPr>
          <w:p>
            <w:pPr>
              <w:pStyle w:val="1089"/>
              <w:pBdr/>
              <w:spacing/>
              <w:ind/>
              <w:rPr/>
            </w:pPr>
            <w:r>
              <w:t xml:space="preserve">Human universal / metaphysical truth</w:t>
            </w:r>
            <w:r/>
          </w:p>
        </w:tc>
        <w:tc>
          <w:tcPr>
            <w:shd w:val="clear" w:color="auto" w:fill="f4f6f7"/>
            <w:tcBorders/>
            <w:tcMar>
              <w:left w:w="55" w:type="dxa"/>
              <w:top w:w="45" w:type="dxa"/>
              <w:right w:w="55" w:type="dxa"/>
              <w:bottom w:w="45" w:type="dxa"/>
            </w:tcMar>
            <w:tcW w:w="5696" w:type="dxa"/>
            <w:vAlign w:val="top"/>
          </w:tcPr>
          <w:p>
            <w:pPr>
              <w:pStyle w:val="1089"/>
              <w:pBdr/>
              <w:spacing/>
              <w:ind/>
              <w:rPr/>
            </w:pPr>
            <w:r>
              <w:t xml:space="preserve">Outside Atlas database inference; requires separate argument and evidence beyond recurrence.</w:t>
            </w:r>
            <w:r/>
          </w:p>
        </w:tc>
      </w:tr>
    </w:tbl>
    <w:p>
      <w:pPr>
        <w:pStyle w:val="1097"/>
        <w:pBdr/>
        <w:spacing/>
        <w:ind/>
        <w:rPr/>
      </w:pPr>
      <w:r/>
      <w:r/>
    </w:p>
    <w:p>
      <w:pPr>
        <w:pStyle w:val="1086"/>
        <w:keepNext w:val="true"/>
        <w:keepLines w:val="true"/>
        <w:pBdr/>
        <w:spacing/>
        <w:ind/>
        <w:rPr/>
      </w:pPr>
      <w:r/>
      <w:bookmarkStart w:id="98" w:name="tbl_synthesis_maturity"/>
      <w:r>
        <w:t xml:space="preserve">Governing — Synthesis maturity values</w:t>
      </w:r>
      <w:bookmarkEnd w:id="98"/>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3360"/>
        <w:gridCol w:w="6646"/>
      </w:tblGrid>
      <w:tr>
        <w:trPr>
          <w:cantSplit/>
          <w:tblHeader/>
        </w:trPr>
        <w:tc>
          <w:tcPr>
            <w:shd w:val="clear" w:color="auto" w:fill="1f5d7a"/>
            <w:tcBorders/>
            <w:tcMar>
              <w:left w:w="55" w:type="dxa"/>
              <w:top w:w="45" w:type="dxa"/>
              <w:right w:w="55" w:type="dxa"/>
              <w:bottom w:w="45" w:type="dxa"/>
            </w:tcMar>
            <w:tcW w:w="3360" w:type="dxa"/>
            <w:vAlign w:val="top"/>
          </w:tcPr>
          <w:p>
            <w:pPr>
              <w:pStyle w:val="1090"/>
              <w:pBdr/>
              <w:spacing/>
              <w:ind/>
              <w:rPr/>
            </w:pPr>
            <w:r>
              <w:t xml:space="preserve">Maturity value</w:t>
            </w:r>
            <w:r/>
          </w:p>
        </w:tc>
        <w:tc>
          <w:tcPr>
            <w:shd w:val="clear" w:color="auto" w:fill="1f5d7a"/>
            <w:tcBorders/>
            <w:tcMar>
              <w:left w:w="55" w:type="dxa"/>
              <w:top w:w="45" w:type="dxa"/>
              <w:right w:w="55" w:type="dxa"/>
              <w:bottom w:w="45" w:type="dxa"/>
            </w:tcMar>
            <w:tcW w:w="6646" w:type="dxa"/>
            <w:vAlign w:val="top"/>
          </w:tcPr>
          <w:p>
            <w:pPr>
              <w:pStyle w:val="1090"/>
              <w:pBdr/>
              <w:spacing/>
              <w:ind/>
              <w:rPr/>
            </w:pPr>
            <w:r>
              <w:t xml:space="preserve">Meaning</w:t>
            </w:r>
            <w:r/>
          </w:p>
        </w:tc>
      </w:tr>
      <w:tr>
        <w:trPr>
          <w:cantSplit/>
        </w:trPr>
        <w:tc>
          <w:tcPr>
            <w:shd w:val="clear" w:color="auto" w:fill="ffffff"/>
            <w:tcBorders/>
            <w:tcMar>
              <w:left w:w="55" w:type="dxa"/>
              <w:top w:w="45" w:type="dxa"/>
              <w:right w:w="55" w:type="dxa"/>
              <w:bottom w:w="45" w:type="dxa"/>
            </w:tcMar>
            <w:tcW w:w="3360" w:type="dxa"/>
            <w:vAlign w:val="top"/>
          </w:tcPr>
          <w:p>
            <w:pPr>
              <w:pStyle w:val="1089"/>
              <w:pBdr/>
              <w:spacing/>
              <w:ind/>
              <w:rPr/>
            </w:pPr>
            <w:r>
              <w:t xml:space="preserve">synthesis_maturity:PROPOSED</w:t>
            </w:r>
            <w:r/>
          </w:p>
        </w:tc>
        <w:tc>
          <w:tcPr>
            <w:shd w:val="clear" w:color="auto" w:fill="ffffff"/>
            <w:tcBorders/>
            <w:tcMar>
              <w:left w:w="55" w:type="dxa"/>
              <w:top w:w="45" w:type="dxa"/>
              <w:right w:w="55" w:type="dxa"/>
              <w:bottom w:w="45" w:type="dxa"/>
            </w:tcMar>
            <w:tcW w:w="6646" w:type="dxa"/>
            <w:vAlign w:val="top"/>
          </w:tcPr>
          <w:p>
            <w:pPr>
              <w:pStyle w:val="1089"/>
              <w:pBdr/>
              <w:spacing/>
              <w:ind/>
              <w:rPr/>
            </w:pPr>
            <w:r>
              <w:t xml:space="preserve">Registered candidate whose minimum level conditions are stated but not yet tested to publication burden.</w:t>
            </w:r>
            <w:r/>
          </w:p>
        </w:tc>
      </w:tr>
      <w:tr>
        <w:trPr>
          <w:cantSplit/>
        </w:trPr>
        <w:tc>
          <w:tcPr>
            <w:shd w:val="clear" w:color="auto" w:fill="f4f6f7"/>
            <w:tcBorders/>
            <w:tcMar>
              <w:left w:w="55" w:type="dxa"/>
              <w:top w:w="45" w:type="dxa"/>
              <w:right w:w="55" w:type="dxa"/>
              <w:bottom w:w="45" w:type="dxa"/>
            </w:tcMar>
            <w:tcW w:w="3360" w:type="dxa"/>
            <w:vAlign w:val="top"/>
          </w:tcPr>
          <w:p>
            <w:pPr>
              <w:pStyle w:val="1089"/>
              <w:pBdr/>
              <w:spacing/>
              <w:ind/>
              <w:rPr/>
            </w:pPr>
            <w:r>
              <w:t xml:space="preserve">synthesis_maturity:TESTED</w:t>
            </w:r>
            <w:r/>
          </w:p>
        </w:tc>
        <w:tc>
          <w:tcPr>
            <w:shd w:val="clear" w:color="auto" w:fill="f4f6f7"/>
            <w:tcBorders/>
            <w:tcMar>
              <w:left w:w="55" w:type="dxa"/>
              <w:top w:w="45" w:type="dxa"/>
              <w:right w:w="55" w:type="dxa"/>
              <w:bottom w:w="45" w:type="dxa"/>
            </w:tcMar>
            <w:tcW w:w="6646" w:type="dxa"/>
            <w:vAlign w:val="top"/>
          </w:tcPr>
          <w:p>
            <w:pPr>
              <w:pStyle w:val="1089"/>
              <w:pBdr/>
              <w:spacing/>
              <w:ind/>
              <w:rPr/>
            </w:pPr>
            <w:r>
              <w:t xml:space="preserve">Negative cases, counterexamples and required sensitivity checks have been performed and recorded at the applicable level.</w:t>
            </w:r>
            <w:r/>
          </w:p>
        </w:tc>
      </w:tr>
      <w:tr>
        <w:trPr>
          <w:cantSplit/>
        </w:trPr>
        <w:tc>
          <w:tcPr>
            <w:shd w:val="clear" w:color="auto" w:fill="ffffff"/>
            <w:tcBorders/>
            <w:tcMar>
              <w:left w:w="55" w:type="dxa"/>
              <w:top w:w="45" w:type="dxa"/>
              <w:right w:w="55" w:type="dxa"/>
              <w:bottom w:w="45" w:type="dxa"/>
            </w:tcMar>
            <w:tcW w:w="3360" w:type="dxa"/>
            <w:vAlign w:val="top"/>
          </w:tcPr>
          <w:p>
            <w:pPr>
              <w:pStyle w:val="1089"/>
              <w:pBdr/>
              <w:spacing/>
              <w:ind/>
              <w:rPr/>
            </w:pPr>
            <w:r>
              <w:t xml:space="preserve">synthesis_maturity:REVIEWED</w:t>
            </w:r>
            <w:r/>
          </w:p>
        </w:tc>
        <w:tc>
          <w:tcPr>
            <w:shd w:val="clear" w:color="auto" w:fill="ffffff"/>
            <w:tcBorders/>
            <w:tcMar>
              <w:left w:w="55" w:type="dxa"/>
              <w:top w:w="45" w:type="dxa"/>
              <w:right w:w="55" w:type="dxa"/>
              <w:bottom w:w="45" w:type="dxa"/>
            </w:tcMar>
            <w:tcW w:w="6646" w:type="dxa"/>
            <w:vAlign w:val="top"/>
          </w:tcPr>
          <w:p>
            <w:pPr>
              <w:pStyle w:val="1089"/>
              <w:pBdr/>
              <w:spacing/>
              <w:ind/>
              <w:rPr/>
            </w:pPr>
            <w:r>
              <w:t xml:space="preserve">Level-appropriate specialist review has been completed, but other release conditions may remain.</w:t>
            </w:r>
            <w:r/>
          </w:p>
        </w:tc>
      </w:tr>
      <w:tr>
        <w:trPr>
          <w:cantSplit/>
        </w:trPr>
        <w:tc>
          <w:tcPr>
            <w:shd w:val="clear" w:color="auto" w:fill="f4f6f7"/>
            <w:tcBorders/>
            <w:tcMar>
              <w:left w:w="55" w:type="dxa"/>
              <w:top w:w="45" w:type="dxa"/>
              <w:right w:w="55" w:type="dxa"/>
              <w:bottom w:w="45" w:type="dxa"/>
            </w:tcMar>
            <w:tcW w:w="3360" w:type="dxa"/>
            <w:vAlign w:val="top"/>
          </w:tcPr>
          <w:p>
            <w:pPr>
              <w:pStyle w:val="1089"/>
              <w:pBdr/>
              <w:spacing/>
              <w:ind/>
              <w:rPr/>
            </w:pPr>
            <w:r>
              <w:t xml:space="preserve">synthesis_maturity:RELEASE_ELIGIBLE</w:t>
            </w:r>
            <w:r/>
          </w:p>
        </w:tc>
        <w:tc>
          <w:tcPr>
            <w:shd w:val="clear" w:color="auto" w:fill="f4f6f7"/>
            <w:tcBorders/>
            <w:tcMar>
              <w:left w:w="55" w:type="dxa"/>
              <w:top w:w="45" w:type="dxa"/>
              <w:right w:w="55" w:type="dxa"/>
              <w:bottom w:w="45" w:type="dxa"/>
            </w:tcMar>
            <w:tcW w:w="6646" w:type="dxa"/>
            <w:vAlign w:val="top"/>
          </w:tcPr>
          <w:p>
            <w:pPr>
              <w:pStyle w:val="1089"/>
              <w:pBdr/>
              <w:spacing/>
              <w:ind/>
              <w:rPr/>
            </w:pPr>
            <w:r>
              <w:t xml:space="preserve">Every level-specific, evidence, review, traceability and publication-scope condition is satisfied.</w:t>
            </w:r>
            <w:r/>
          </w:p>
        </w:tc>
      </w:tr>
      <w:tr>
        <w:trPr>
          <w:cantSplit/>
        </w:trPr>
        <w:tc>
          <w:tcPr>
            <w:shd w:val="clear" w:color="auto" w:fill="ffffff"/>
            <w:tcBorders/>
            <w:tcMar>
              <w:left w:w="55" w:type="dxa"/>
              <w:top w:w="45" w:type="dxa"/>
              <w:right w:w="55" w:type="dxa"/>
              <w:bottom w:w="45" w:type="dxa"/>
            </w:tcMar>
            <w:tcW w:w="3360" w:type="dxa"/>
            <w:vAlign w:val="top"/>
          </w:tcPr>
          <w:p>
            <w:pPr>
              <w:pStyle w:val="1089"/>
              <w:pBdr/>
              <w:spacing/>
              <w:ind/>
              <w:rPr/>
            </w:pPr>
            <w:r>
              <w:t xml:space="preserve">synthesis_maturity:REJECTED</w:t>
            </w:r>
            <w:r/>
          </w:p>
        </w:tc>
        <w:tc>
          <w:tcPr>
            <w:shd w:val="clear" w:color="auto" w:fill="ffffff"/>
            <w:tcBorders/>
            <w:tcMar>
              <w:left w:w="55" w:type="dxa"/>
              <w:top w:w="45" w:type="dxa"/>
              <w:right w:w="55" w:type="dxa"/>
              <w:bottom w:w="45" w:type="dxa"/>
            </w:tcMar>
            <w:tcW w:w="6646" w:type="dxa"/>
            <w:vAlign w:val="top"/>
          </w:tcPr>
          <w:p>
            <w:pPr>
              <w:pStyle w:val="1089"/>
              <w:pBdr/>
              <w:spacing/>
              <w:ind/>
              <w:rPr/>
            </w:pPr>
            <w:r>
              <w:t xml:space="preserve">The candidate failed, was superseded or is retained only as a documented negative result.</w:t>
            </w:r>
            <w:r/>
          </w:p>
        </w:tc>
      </w:tr>
    </w:tbl>
    <w:p>
      <w:pPr>
        <w:pStyle w:val="1097"/>
        <w:pBdr/>
        <w:spacing/>
        <w:ind/>
        <w:rPr/>
      </w:pPr>
      <w:r/>
      <w:r/>
    </w:p>
    <w:p>
      <w:pPr>
        <w:pStyle w:val="1086"/>
        <w:keepNext w:val="true"/>
        <w:keepLines w:val="true"/>
        <w:pBdr/>
        <w:spacing/>
        <w:ind/>
        <w:rPr/>
      </w:pPr>
      <w:r/>
      <w:bookmarkStart w:id="99" w:name="tbl_genealogy_values"/>
      <w:r>
        <w:t xml:space="preserve">Governing — Genealogy, independence, tertium and relation-dimension values</w:t>
      </w:r>
      <w:bookmarkEnd w:id="99"/>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556"/>
        <w:gridCol w:w="7450"/>
      </w:tblGrid>
      <w:tr>
        <w:trPr>
          <w:cantSplit/>
          <w:tblHeader/>
        </w:trPr>
        <w:tc>
          <w:tcPr>
            <w:shd w:val="clear" w:color="auto" w:fill="1f5d7a"/>
            <w:tcBorders/>
            <w:tcMar>
              <w:left w:w="55" w:type="dxa"/>
              <w:top w:w="45" w:type="dxa"/>
              <w:right w:w="55" w:type="dxa"/>
              <w:bottom w:w="45" w:type="dxa"/>
            </w:tcMar>
            <w:tcW w:w="2556" w:type="dxa"/>
            <w:vAlign w:val="top"/>
          </w:tcPr>
          <w:p>
            <w:pPr>
              <w:pStyle w:val="1090"/>
              <w:pBdr/>
              <w:spacing/>
              <w:ind/>
              <w:rPr/>
            </w:pPr>
            <w:r>
              <w:t xml:space="preserve">Vocabulary</w:t>
            </w:r>
            <w:r/>
          </w:p>
        </w:tc>
        <w:tc>
          <w:tcPr>
            <w:shd w:val="clear" w:color="auto" w:fill="1f5d7a"/>
            <w:tcBorders/>
            <w:tcMar>
              <w:left w:w="55" w:type="dxa"/>
              <w:top w:w="45" w:type="dxa"/>
              <w:right w:w="55" w:type="dxa"/>
              <w:bottom w:w="45" w:type="dxa"/>
            </w:tcMar>
            <w:tcW w:w="7450" w:type="dxa"/>
            <w:vAlign w:val="top"/>
          </w:tcPr>
          <w:p>
            <w:pPr>
              <w:pStyle w:val="1090"/>
              <w:pBdr/>
              <w:spacing/>
              <w:ind/>
              <w:rPr/>
            </w:pPr>
            <w:r>
              <w:t xml:space="preserve">Qualified values</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genealogy_status</w:t>
            </w:r>
            <w:r/>
          </w:p>
        </w:tc>
        <w:tc>
          <w:tcPr>
            <w:shd w:val="clear" w:color="auto" w:fill="ffffff"/>
            <w:tcBorders/>
            <w:tcMar>
              <w:left w:w="55" w:type="dxa"/>
              <w:top w:w="45" w:type="dxa"/>
              <w:right w:w="55" w:type="dxa"/>
              <w:bottom w:w="45" w:type="dxa"/>
            </w:tcMar>
            <w:tcW w:w="7450" w:type="dxa"/>
            <w:vAlign w:val="top"/>
          </w:tcPr>
          <w:p>
            <w:pPr>
              <w:pStyle w:val="1089"/>
              <w:pBdr/>
              <w:spacing/>
              <w:ind/>
              <w:rPr/>
            </w:pPr>
            <w:r>
              <w:t xml:space="preserve">genealogy_status:SUPPORTED / PLAUSIBLE / DISPUTED / NO_EVIDENCE_FOUND / NOT_ASSESSED</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genealogy_subtype</w:t>
            </w:r>
            <w:r/>
          </w:p>
        </w:tc>
        <w:tc>
          <w:tcPr>
            <w:shd w:val="clear" w:color="auto" w:fill="f4f6f7"/>
            <w:tcBorders/>
            <w:tcMar>
              <w:left w:w="55" w:type="dxa"/>
              <w:top w:w="45" w:type="dxa"/>
              <w:right w:w="55" w:type="dxa"/>
              <w:bottom w:w="45" w:type="dxa"/>
            </w:tcMar>
            <w:tcW w:w="7450" w:type="dxa"/>
            <w:vAlign w:val="top"/>
          </w:tcPr>
          <w:p>
            <w:pPr>
              <w:pStyle w:val="1089"/>
              <w:pBdr/>
              <w:spacing/>
              <w:ind/>
              <w:rPr/>
            </w:pPr>
            <w:r>
              <w:t xml:space="preserve">genealogy_subtype:DIRECT_INFLUENCE / SHARED_INHERITANCE / CONTACT_EXCHANGE / TRANSLATION_BORROWING / OTHER_DOCUMENTED</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independence_status</w:t>
            </w:r>
            <w:r/>
          </w:p>
        </w:tc>
        <w:tc>
          <w:tcPr>
            <w:shd w:val="clear" w:color="auto" w:fill="ffffff"/>
            <w:tcBorders/>
            <w:tcMar>
              <w:left w:w="55" w:type="dxa"/>
              <w:top w:w="45" w:type="dxa"/>
              <w:right w:w="55" w:type="dxa"/>
              <w:bottom w:w="45" w:type="dxa"/>
            </w:tcMar>
            <w:tcW w:w="7450" w:type="dxa"/>
            <w:vAlign w:val="top"/>
          </w:tcPr>
          <w:p>
            <w:pPr>
              <w:pStyle w:val="1089"/>
              <w:pBdr/>
              <w:spacing/>
              <w:ind/>
              <w:rPr/>
            </w:pPr>
            <w:r>
              <w:t xml:space="preserve">independence_status:HISTORICALLY_INDEPENDENT / CONTACT_POSSIBLE / DEPENDENCE_KNOWN / UNRESOLVED / NOT_APPLICABLE</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tertium_validity</w:t>
            </w:r>
            <w:r/>
          </w:p>
        </w:tc>
        <w:tc>
          <w:tcPr>
            <w:shd w:val="clear" w:color="auto" w:fill="f4f6f7"/>
            <w:tcBorders/>
            <w:tcMar>
              <w:left w:w="55" w:type="dxa"/>
              <w:top w:w="45" w:type="dxa"/>
              <w:right w:w="55" w:type="dxa"/>
              <w:bottom w:w="45" w:type="dxa"/>
            </w:tcMar>
            <w:tcW w:w="7450" w:type="dxa"/>
            <w:vAlign w:val="top"/>
          </w:tcPr>
          <w:p>
            <w:pPr>
              <w:pStyle w:val="1089"/>
              <w:pBdr/>
              <w:spacing/>
              <w:ind/>
              <w:rPr/>
            </w:pPr>
            <w:r>
              <w:t xml:space="preserve">tertium_validity:VALID / REVISED / DISTORTING</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relation_dimension</w:t>
            </w:r>
            <w:r/>
          </w:p>
        </w:tc>
        <w:tc>
          <w:tcPr>
            <w:shd w:val="clear" w:color="auto" w:fill="ffffff"/>
            <w:tcBorders/>
            <w:tcMar>
              <w:left w:w="55" w:type="dxa"/>
              <w:top w:w="45" w:type="dxa"/>
              <w:right w:w="55" w:type="dxa"/>
              <w:bottom w:w="45" w:type="dxa"/>
            </w:tcMar>
            <w:tcW w:w="7450" w:type="dxa"/>
            <w:vAlign w:val="top"/>
          </w:tcPr>
          <w:p>
            <w:pPr>
              <w:pStyle w:val="1089"/>
              <w:pBdr/>
              <w:spacing/>
              <w:ind/>
              <w:rPr/>
            </w:pPr>
            <w:r>
              <w:t xml:space="preserve">relation_dimension:ONTOLOGY_ENTITY_TYPE / GROUNDING_CAUSATION / PERSONHOOD_SUBJECT_STRUCTURE / EPISTEMIC_AUTHORITY / PRAXIS_TELOS / SEMANTIC_RANGE / GENEALOGY_HISTORY / SCOPE_GRANULARITY / OTHER</w:t>
            </w:r>
            <w:r/>
          </w:p>
        </w:tc>
      </w:tr>
    </w:tbl>
    <w:p>
      <w:pPr>
        <w:pStyle w:val="1097"/>
        <w:pBdr/>
        <w:spacing/>
        <w:ind/>
        <w:rPr/>
      </w:pPr>
      <w:r/>
      <w:r/>
    </w:p>
    <w:p>
      <w:pPr>
        <w:pStyle w:val="1086"/>
        <w:keepNext w:val="true"/>
        <w:keepLines w:val="true"/>
        <w:pBdr/>
        <w:spacing/>
        <w:ind/>
        <w:rPr/>
      </w:pPr>
      <w:r/>
      <w:bookmarkStart w:id="100" w:name="tbl_publicationclaim_classes"/>
      <w:r>
        <w:t xml:space="preserve">Governing — PublicationClaim classes</w:t>
      </w:r>
      <w:bookmarkEnd w:id="100"/>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3579"/>
        <w:gridCol w:w="6427"/>
      </w:tblGrid>
      <w:tr>
        <w:trPr>
          <w:cantSplit/>
          <w:tblHeader/>
        </w:trPr>
        <w:tc>
          <w:tcPr>
            <w:shd w:val="clear" w:color="auto" w:fill="1f5d7a"/>
            <w:tcBorders/>
            <w:tcMar>
              <w:left w:w="55" w:type="dxa"/>
              <w:top w:w="45" w:type="dxa"/>
              <w:right w:w="55" w:type="dxa"/>
              <w:bottom w:w="45" w:type="dxa"/>
            </w:tcMar>
            <w:tcW w:w="3579" w:type="dxa"/>
            <w:vAlign w:val="top"/>
          </w:tcPr>
          <w:p>
            <w:pPr>
              <w:pStyle w:val="1090"/>
              <w:pBdr/>
              <w:spacing/>
              <w:ind/>
              <w:rPr/>
            </w:pPr>
            <w:r>
              <w:t xml:space="preserve">Qualified value</w:t>
            </w:r>
            <w:r/>
          </w:p>
        </w:tc>
        <w:tc>
          <w:tcPr>
            <w:shd w:val="clear" w:color="auto" w:fill="1f5d7a"/>
            <w:tcBorders/>
            <w:tcMar>
              <w:left w:w="55" w:type="dxa"/>
              <w:top w:w="45" w:type="dxa"/>
              <w:right w:w="55" w:type="dxa"/>
              <w:bottom w:w="45" w:type="dxa"/>
            </w:tcMar>
            <w:tcW w:w="6427" w:type="dxa"/>
            <w:vAlign w:val="top"/>
          </w:tcPr>
          <w:p>
            <w:pPr>
              <w:pStyle w:val="1090"/>
              <w:pBdr/>
              <w:spacing/>
              <w:ind/>
              <w:rPr/>
            </w:pPr>
            <w:r>
              <w:t xml:space="preserve">Use</w:t>
            </w:r>
            <w:r/>
          </w:p>
        </w:tc>
      </w:tr>
      <w:tr>
        <w:trPr>
          <w:cantSplit/>
        </w:trPr>
        <w:tc>
          <w:tcPr>
            <w:shd w:val="clear" w:color="auto" w:fill="ffffff"/>
            <w:tcBorders/>
            <w:tcMar>
              <w:left w:w="55" w:type="dxa"/>
              <w:top w:w="45" w:type="dxa"/>
              <w:right w:w="55" w:type="dxa"/>
              <w:bottom w:w="45" w:type="dxa"/>
            </w:tcMar>
            <w:tcW w:w="3579" w:type="dxa"/>
            <w:vAlign w:val="top"/>
          </w:tcPr>
          <w:p>
            <w:pPr>
              <w:pStyle w:val="1089"/>
              <w:pBdr/>
              <w:spacing/>
              <w:ind/>
              <w:rPr/>
            </w:pPr>
            <w:r>
              <w:t xml:space="preserve">publication_claim_class:SOURCE_ATTRIBUTION</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Thesis-bearing factual attribution to a Position or source.</w:t>
            </w:r>
            <w:r/>
          </w:p>
        </w:tc>
      </w:tr>
      <w:tr>
        <w:trPr>
          <w:cantSplit/>
        </w:trPr>
        <w:tc>
          <w:tcPr>
            <w:shd w:val="clear" w:color="auto" w:fill="f4f6f7"/>
            <w:tcBorders/>
            <w:tcMar>
              <w:left w:w="55" w:type="dxa"/>
              <w:top w:w="45" w:type="dxa"/>
              <w:right w:w="55" w:type="dxa"/>
              <w:bottom w:w="45" w:type="dxa"/>
            </w:tcMar>
            <w:tcW w:w="3579" w:type="dxa"/>
            <w:vAlign w:val="top"/>
          </w:tcPr>
          <w:p>
            <w:pPr>
              <w:pStyle w:val="1089"/>
              <w:pBdr/>
              <w:spacing/>
              <w:ind/>
              <w:rPr/>
            </w:pPr>
            <w:r>
              <w:t xml:space="preserve">publication_claim_class:COMPARATIVE</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Claim about one or more ComparativeRelations.</w:t>
            </w:r>
            <w:r/>
          </w:p>
        </w:tc>
      </w:tr>
      <w:tr>
        <w:trPr>
          <w:cantSplit/>
        </w:trPr>
        <w:tc>
          <w:tcPr>
            <w:shd w:val="clear" w:color="auto" w:fill="ffffff"/>
            <w:tcBorders/>
            <w:tcMar>
              <w:left w:w="55" w:type="dxa"/>
              <w:top w:w="45" w:type="dxa"/>
              <w:right w:w="55" w:type="dxa"/>
              <w:bottom w:w="45" w:type="dxa"/>
            </w:tcMar>
            <w:tcW w:w="3579" w:type="dxa"/>
            <w:vAlign w:val="top"/>
          </w:tcPr>
          <w:p>
            <w:pPr>
              <w:pStyle w:val="1089"/>
              <w:pBdr/>
              <w:spacing/>
              <w:ind/>
              <w:rPr/>
            </w:pPr>
            <w:r>
              <w:t xml:space="preserve">publication_claim_class:SYNTHESIS</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Claim derived from a SynthesisRecord.</w:t>
            </w:r>
            <w:r/>
          </w:p>
        </w:tc>
      </w:tr>
      <w:tr>
        <w:trPr>
          <w:cantSplit/>
        </w:trPr>
        <w:tc>
          <w:tcPr>
            <w:shd w:val="clear" w:color="auto" w:fill="f4f6f7"/>
            <w:tcBorders/>
            <w:tcMar>
              <w:left w:w="55" w:type="dxa"/>
              <w:top w:w="45" w:type="dxa"/>
              <w:right w:w="55" w:type="dxa"/>
              <w:bottom w:w="45" w:type="dxa"/>
            </w:tcMar>
            <w:tcW w:w="3579" w:type="dxa"/>
            <w:vAlign w:val="top"/>
          </w:tcPr>
          <w:p>
            <w:pPr>
              <w:pStyle w:val="1089"/>
              <w:pBdr/>
              <w:spacing/>
              <w:ind/>
              <w:rPr/>
            </w:pPr>
            <w:r>
              <w:t xml:space="preserve">publication_claim_class:LIMITATION</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Explicit scope limit, unresolved issue or prohibited stronger reading.</w:t>
            </w:r>
            <w:r/>
          </w:p>
        </w:tc>
      </w:tr>
      <w:tr>
        <w:trPr>
          <w:cantSplit/>
        </w:trPr>
        <w:tc>
          <w:tcPr>
            <w:shd w:val="clear" w:color="auto" w:fill="ffffff"/>
            <w:tcBorders/>
            <w:tcMar>
              <w:left w:w="55" w:type="dxa"/>
              <w:top w:w="45" w:type="dxa"/>
              <w:right w:w="55" w:type="dxa"/>
              <w:bottom w:w="45" w:type="dxa"/>
            </w:tcMar>
            <w:tcW w:w="3579" w:type="dxa"/>
            <w:vAlign w:val="top"/>
          </w:tcPr>
          <w:p>
            <w:pPr>
              <w:pStyle w:val="1089"/>
              <w:pBdr/>
              <w:spacing/>
              <w:ind/>
              <w:rPr/>
            </w:pPr>
            <w:r>
              <w:t xml:space="preserve">publication_claim_class:EDITORIAL_DECISION</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Material editorial placement or selection claim grounded in declared premises.</w:t>
            </w:r>
            <w:r/>
          </w:p>
        </w:tc>
      </w:tr>
    </w:tbl>
    <w:p>
      <w:pPr>
        <w:pStyle w:val="1097"/>
        <w:pBdr/>
        <w:spacing/>
        <w:ind/>
        <w:rPr/>
      </w:pPr>
      <w:r/>
      <w:r/>
    </w:p>
    <w:p>
      <w:pPr>
        <w:pStyle w:val="923"/>
        <w:keepNext w:val="true"/>
        <w:keepLines w:val="true"/>
        <w:pBdr/>
        <w:spacing/>
        <w:ind/>
        <w:rPr/>
      </w:pPr>
      <w:r/>
      <w:bookmarkStart w:id="101" w:name="annex_a6_qualified_values"/>
      <w:r>
        <w:t xml:space="preserve">A6. Qualified-value and terminology discipline</w:t>
      </w:r>
      <w:bookmarkEnd w:id="101"/>
      <w:r/>
      <w:r/>
    </w:p>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Qualified-value rule</w:t>
            </w:r>
            <w:r/>
          </w:p>
          <w:p>
            <w:pPr>
              <w:pStyle w:val="1092"/>
              <w:pBdr/>
              <w:spacing/>
              <w:ind/>
              <w:rPr/>
            </w:pPr>
            <w:r>
              <w:t xml:space="preserve">Machine-readable controlled values MUST be globally unambiguous through field qualifi</w:t>
            </w:r>
            <w:r>
              <w:t xml:space="preserve">cation or namespace. Short display codes MAY be used only where the governing field or namespace is visible and the plain-language expansion is available. Ordinary explanatory prose need not use namespace-heavy notation when meaning is already unambiguous.</w:t>
            </w:r>
            <w:r/>
          </w:p>
        </w:tc>
      </w:tr>
    </w:tbl>
    <w:p>
      <w:pPr>
        <w:pStyle w:val="1097"/>
        <w:pBdr/>
        <w:spacing/>
        <w:ind/>
        <w:rPr/>
      </w:pPr>
      <w:r/>
      <w:r/>
    </w:p>
    <w:p>
      <w:pPr>
        <w:pStyle w:val="1086"/>
        <w:keepNext w:val="true"/>
        <w:keepLines w:val="true"/>
        <w:pBdr/>
        <w:spacing/>
        <w:ind/>
        <w:rPr/>
      </w:pPr>
      <w:r/>
      <w:bookmarkStart w:id="102" w:name="tbl_legacy_aliases"/>
      <w:r>
        <w:t xml:space="preserve">Governing — Legacy aliases and migration rules</w:t>
      </w:r>
      <w:bookmarkEnd w:id="102"/>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921"/>
        <w:gridCol w:w="3286"/>
        <w:gridCol w:w="3798"/>
      </w:tblGrid>
      <w:tr>
        <w:trPr>
          <w:cantSplit/>
          <w:tblHeader/>
        </w:trPr>
        <w:tc>
          <w:tcPr>
            <w:shd w:val="clear" w:color="auto" w:fill="1f5d7a"/>
            <w:tcBorders/>
            <w:tcMar>
              <w:left w:w="55" w:type="dxa"/>
              <w:top w:w="45" w:type="dxa"/>
              <w:right w:w="55" w:type="dxa"/>
              <w:bottom w:w="45" w:type="dxa"/>
            </w:tcMar>
            <w:tcW w:w="2921" w:type="dxa"/>
            <w:vAlign w:val="top"/>
          </w:tcPr>
          <w:p>
            <w:pPr>
              <w:pStyle w:val="1090"/>
              <w:pBdr/>
              <w:spacing/>
              <w:ind/>
              <w:rPr/>
            </w:pPr>
            <w:r>
              <w:t xml:space="preserve">Legacy display code or field</w:t>
            </w:r>
            <w:r/>
          </w:p>
        </w:tc>
        <w:tc>
          <w:tcPr>
            <w:shd w:val="clear" w:color="auto" w:fill="1f5d7a"/>
            <w:tcBorders/>
            <w:tcMar>
              <w:left w:w="55" w:type="dxa"/>
              <w:top w:w="45" w:type="dxa"/>
              <w:right w:w="55" w:type="dxa"/>
              <w:bottom w:w="45" w:type="dxa"/>
            </w:tcMar>
            <w:tcW w:w="3286" w:type="dxa"/>
            <w:vAlign w:val="top"/>
          </w:tcPr>
          <w:p>
            <w:pPr>
              <w:pStyle w:val="1090"/>
              <w:pBdr/>
              <w:spacing/>
              <w:ind/>
              <w:rPr/>
            </w:pPr>
            <w:r>
              <w:t xml:space="preserve">Current qualified handling</w:t>
            </w:r>
            <w:r/>
          </w:p>
        </w:tc>
        <w:tc>
          <w:tcPr>
            <w:shd w:val="clear" w:color="auto" w:fill="1f5d7a"/>
            <w:tcBorders/>
            <w:tcMar>
              <w:left w:w="55" w:type="dxa"/>
              <w:top w:w="45" w:type="dxa"/>
              <w:right w:w="55" w:type="dxa"/>
              <w:bottom w:w="45" w:type="dxa"/>
            </w:tcMar>
            <w:tcW w:w="3798" w:type="dxa"/>
            <w:vAlign w:val="top"/>
          </w:tcPr>
          <w:p>
            <w:pPr>
              <w:pStyle w:val="1090"/>
              <w:pBdr/>
              <w:spacing/>
              <w:ind/>
              <w:rPr/>
            </w:pPr>
            <w:r>
              <w:t xml:space="preserve">Migration rule</w:t>
            </w:r>
            <w:r/>
          </w:p>
        </w:tc>
      </w:tr>
      <w:tr>
        <w:trPr>
          <w:cantSplit/>
        </w:trPr>
        <w:tc>
          <w:tcPr>
            <w:shd w:val="clear" w:color="auto" w:fill="ffffff"/>
            <w:tcBorders/>
            <w:tcMar>
              <w:left w:w="55" w:type="dxa"/>
              <w:top w:w="45" w:type="dxa"/>
              <w:right w:w="55" w:type="dxa"/>
              <w:bottom w:w="45" w:type="dxa"/>
            </w:tcMar>
            <w:tcW w:w="2921" w:type="dxa"/>
            <w:vAlign w:val="top"/>
          </w:tcPr>
          <w:p>
            <w:pPr>
              <w:pStyle w:val="1089"/>
              <w:pBdr/>
              <w:spacing/>
              <w:ind/>
              <w:rPr/>
            </w:pPr>
            <w:r>
              <w:t xml:space="preserve">SI as analytical entity</w:t>
            </w:r>
            <w:r/>
          </w:p>
        </w:tc>
        <w:tc>
          <w:tcPr>
            <w:shd w:val="clear" w:color="auto" w:fill="ffffff"/>
            <w:tcBorders/>
            <w:tcMar>
              <w:left w:w="55" w:type="dxa"/>
              <w:top w:w="45" w:type="dxa"/>
              <w:right w:w="55" w:type="dxa"/>
              <w:bottom w:w="45" w:type="dxa"/>
            </w:tcMar>
            <w:tcW w:w="3286" w:type="dxa"/>
            <w:vAlign w:val="top"/>
          </w:tcPr>
          <w:p>
            <w:pPr>
              <w:pStyle w:val="1089"/>
              <w:pBdr/>
              <w:spacing/>
              <w:ind/>
              <w:rPr/>
            </w:pPr>
            <w:r>
              <w:t xml:space="preserve">entity:SI = SourceInstance</w:t>
            </w:r>
            <w:r/>
          </w:p>
        </w:tc>
        <w:tc>
          <w:tcPr>
            <w:shd w:val="clear" w:color="auto" w:fill="ffffff"/>
            <w:tcBorders/>
            <w:tcMar>
              <w:left w:w="55" w:type="dxa"/>
              <w:top w:w="45" w:type="dxa"/>
              <w:right w:w="55" w:type="dxa"/>
              <w:bottom w:w="45" w:type="dxa"/>
            </w:tcMar>
            <w:tcW w:w="3798" w:type="dxa"/>
            <w:vAlign w:val="top"/>
          </w:tcPr>
          <w:p>
            <w:pPr>
              <w:pStyle w:val="1089"/>
              <w:pBdr/>
              <w:spacing/>
              <w:ind/>
              <w:rPr/>
            </w:pPr>
            <w:r>
              <w:t xml:space="preserve">Direct alias when the field is an entity type.</w:t>
            </w:r>
            <w:r/>
          </w:p>
        </w:tc>
      </w:tr>
      <w:tr>
        <w:trPr>
          <w:cantSplit/>
        </w:trPr>
        <w:tc>
          <w:tcPr>
            <w:shd w:val="clear" w:color="auto" w:fill="f4f6f7"/>
            <w:tcBorders/>
            <w:tcMar>
              <w:left w:w="55" w:type="dxa"/>
              <w:top w:w="45" w:type="dxa"/>
              <w:right w:w="55" w:type="dxa"/>
              <w:bottom w:w="45" w:type="dxa"/>
            </w:tcMar>
            <w:tcW w:w="2921" w:type="dxa"/>
            <w:vAlign w:val="top"/>
          </w:tcPr>
          <w:p>
            <w:pPr>
              <w:pStyle w:val="1089"/>
              <w:pBdr/>
              <w:spacing/>
              <w:ind/>
              <w:rPr/>
            </w:pPr>
            <w:r>
              <w:t xml:space="preserve">SI as former source class</w:t>
            </w:r>
            <w:r/>
          </w:p>
        </w:tc>
        <w:tc>
          <w:tcPr>
            <w:shd w:val="clear" w:color="auto" w:fill="f4f6f7"/>
            <w:tcBorders/>
            <w:tcMar>
              <w:left w:w="55" w:type="dxa"/>
              <w:top w:w="45" w:type="dxa"/>
              <w:right w:w="55" w:type="dxa"/>
              <w:bottom w:w="45" w:type="dxa"/>
            </w:tcMar>
            <w:tcW w:w="3286" w:type="dxa"/>
            <w:vAlign w:val="top"/>
          </w:tcPr>
          <w:p>
            <w:pPr>
              <w:pStyle w:val="1089"/>
              <w:pBdr/>
              <w:spacing/>
              <w:ind/>
              <w:rPr/>
            </w:pPr>
            <w:r>
              <w:t xml:space="preserve">No single alias; migrate using source_proximity, source_form and authority_relation, often including authority_relation:SPECIALIST_SCHOLARSHIP</w:t>
            </w:r>
            <w:r/>
          </w:p>
        </w:tc>
        <w:tc>
          <w:tcPr>
            <w:shd w:val="clear" w:color="auto" w:fill="f4f6f7"/>
            <w:tcBorders/>
            <w:tcMar>
              <w:left w:w="55" w:type="dxa"/>
              <w:top w:w="45" w:type="dxa"/>
              <w:right w:w="55" w:type="dxa"/>
              <w:bottom w:w="45" w:type="dxa"/>
            </w:tcMar>
            <w:tcW w:w="3798" w:type="dxa"/>
            <w:vAlign w:val="top"/>
          </w:tcPr>
          <w:p>
            <w:pPr>
              <w:pStyle w:val="1089"/>
              <w:pBdr/>
              <w:spacing/>
              <w:ind/>
              <w:rPr/>
            </w:pPr>
            <w:r>
              <w:t xml:space="preserve">Human review required; do not reinterpret silently.</w:t>
            </w:r>
            <w:r/>
          </w:p>
        </w:tc>
      </w:tr>
      <w:tr>
        <w:trPr>
          <w:cantSplit/>
        </w:trPr>
        <w:tc>
          <w:tcPr>
            <w:shd w:val="clear" w:color="auto" w:fill="ffffff"/>
            <w:tcBorders/>
            <w:tcMar>
              <w:left w:w="55" w:type="dxa"/>
              <w:top w:w="45" w:type="dxa"/>
              <w:right w:w="55" w:type="dxa"/>
              <w:bottom w:w="45" w:type="dxa"/>
            </w:tcMar>
            <w:tcW w:w="2921" w:type="dxa"/>
            <w:vAlign w:val="top"/>
          </w:tcPr>
          <w:p>
            <w:pPr>
              <w:pStyle w:val="1089"/>
              <w:pBdr/>
              <w:spacing/>
              <w:ind/>
              <w:rPr/>
            </w:pPr>
            <w:r>
              <w:t xml:space="preserve">INT as claim function</w:t>
            </w:r>
            <w:r/>
          </w:p>
        </w:tc>
        <w:tc>
          <w:tcPr>
            <w:shd w:val="clear" w:color="auto" w:fill="ffffff"/>
            <w:tcBorders/>
            <w:tcMar>
              <w:left w:w="55" w:type="dxa"/>
              <w:top w:w="45" w:type="dxa"/>
              <w:right w:w="55" w:type="dxa"/>
              <w:bottom w:w="45" w:type="dxa"/>
            </w:tcMar>
            <w:tcW w:w="3286" w:type="dxa"/>
            <w:vAlign w:val="top"/>
          </w:tcPr>
          <w:p>
            <w:pPr>
              <w:pStyle w:val="1089"/>
              <w:pBdr/>
              <w:spacing/>
              <w:ind/>
              <w:rPr/>
            </w:pPr>
            <w:r>
              <w:t xml:space="preserve">claim_function:INT = Interpretive</w:t>
            </w:r>
            <w:r/>
          </w:p>
        </w:tc>
        <w:tc>
          <w:tcPr>
            <w:shd w:val="clear" w:color="auto" w:fill="ffffff"/>
            <w:tcBorders/>
            <w:tcMar>
              <w:left w:w="55" w:type="dxa"/>
              <w:top w:w="45" w:type="dxa"/>
              <w:right w:w="55" w:type="dxa"/>
              <w:bottom w:w="45" w:type="dxa"/>
            </w:tcMar>
            <w:tcW w:w="3798" w:type="dxa"/>
            <w:vAlign w:val="top"/>
          </w:tcPr>
          <w:p>
            <w:pPr>
              <w:pStyle w:val="1089"/>
              <w:pBdr/>
              <w:spacing/>
              <w:ind/>
              <w:rPr/>
            </w:pPr>
            <w:r>
              <w:t xml:space="preserve">Direct field-qualified alias.</w:t>
            </w:r>
            <w:r/>
          </w:p>
        </w:tc>
      </w:tr>
      <w:tr>
        <w:trPr>
          <w:cantSplit/>
        </w:trPr>
        <w:tc>
          <w:tcPr>
            <w:shd w:val="clear" w:color="auto" w:fill="f4f6f7"/>
            <w:tcBorders/>
            <w:tcMar>
              <w:left w:w="55" w:type="dxa"/>
              <w:top w:w="45" w:type="dxa"/>
              <w:right w:w="55" w:type="dxa"/>
              <w:bottom w:w="45" w:type="dxa"/>
            </w:tcMar>
            <w:tcW w:w="2921" w:type="dxa"/>
            <w:vAlign w:val="top"/>
          </w:tcPr>
          <w:p>
            <w:pPr>
              <w:pStyle w:val="1089"/>
              <w:pBdr/>
              <w:spacing/>
              <w:ind/>
              <w:rPr/>
            </w:pPr>
            <w:r>
              <w:t xml:space="preserve">INT as former representation status</w:t>
            </w:r>
            <w:r/>
          </w:p>
        </w:tc>
        <w:tc>
          <w:tcPr>
            <w:shd w:val="clear" w:color="auto" w:fill="f4f6f7"/>
            <w:tcBorders/>
            <w:tcMar>
              <w:left w:w="55" w:type="dxa"/>
              <w:top w:w="45" w:type="dxa"/>
              <w:right w:w="55" w:type="dxa"/>
              <w:bottom w:w="45" w:type="dxa"/>
            </w:tcMar>
            <w:tcW w:w="3286" w:type="dxa"/>
            <w:vAlign w:val="top"/>
          </w:tcPr>
          <w:p>
            <w:pPr>
              <w:pStyle w:val="1089"/>
              <w:pBdr/>
              <w:spacing/>
              <w:ind/>
              <w:rPr/>
            </w:pPr>
            <w:r>
              <w:t xml:space="preserve">derived_display_summary:INT</w:t>
            </w:r>
            <w:r/>
          </w:p>
        </w:tc>
        <w:tc>
          <w:tcPr>
            <w:shd w:val="clear" w:color="auto" w:fill="f4f6f7"/>
            <w:tcBorders/>
            <w:tcMar>
              <w:left w:w="55" w:type="dxa"/>
              <w:top w:w="45" w:type="dxa"/>
              <w:right w:w="55" w:type="dxa"/>
              <w:bottom w:w="45" w:type="dxa"/>
            </w:tcMar>
            <w:tcW w:w="3798" w:type="dxa"/>
            <w:vAlign w:val="top"/>
          </w:tcPr>
          <w:p>
            <w:pPr>
              <w:pStyle w:val="1089"/>
              <w:pBdr/>
              <w:spacing/>
              <w:ind/>
              <w:rPr/>
            </w:pPr>
            <w:r>
              <w:t xml:space="preserve">Display-only migration; populate all readiness components independently.</w:t>
            </w:r>
            <w:r/>
          </w:p>
        </w:tc>
      </w:tr>
      <w:tr>
        <w:trPr>
          <w:cantSplit/>
        </w:trPr>
        <w:tc>
          <w:tcPr>
            <w:shd w:val="clear" w:color="auto" w:fill="ffffff"/>
            <w:tcBorders/>
            <w:tcMar>
              <w:left w:w="55" w:type="dxa"/>
              <w:top w:w="45" w:type="dxa"/>
              <w:right w:w="55" w:type="dxa"/>
              <w:bottom w:w="45" w:type="dxa"/>
            </w:tcMar>
            <w:tcW w:w="2921" w:type="dxa"/>
            <w:vAlign w:val="top"/>
          </w:tcPr>
          <w:p>
            <w:pPr>
              <w:pStyle w:val="1089"/>
              <w:pBdr/>
              <w:spacing/>
              <w:ind/>
              <w:rPr/>
            </w:pPr>
            <w:r>
              <w:t xml:space="preserve">COM as claim function</w:t>
            </w:r>
            <w:r/>
          </w:p>
        </w:tc>
        <w:tc>
          <w:tcPr>
            <w:shd w:val="clear" w:color="auto" w:fill="ffffff"/>
            <w:tcBorders/>
            <w:tcMar>
              <w:left w:w="55" w:type="dxa"/>
              <w:top w:w="45" w:type="dxa"/>
              <w:right w:w="55" w:type="dxa"/>
              <w:bottom w:w="45" w:type="dxa"/>
            </w:tcMar>
            <w:tcW w:w="3286" w:type="dxa"/>
            <w:vAlign w:val="top"/>
          </w:tcPr>
          <w:p>
            <w:pPr>
              <w:pStyle w:val="1089"/>
              <w:pBdr/>
              <w:spacing/>
              <w:ind/>
              <w:rPr/>
            </w:pPr>
            <w:r>
              <w:t xml:space="preserve">claim_function:COM = Comparative inference</w:t>
            </w:r>
            <w:r/>
          </w:p>
        </w:tc>
        <w:tc>
          <w:tcPr>
            <w:shd w:val="clear" w:color="auto" w:fill="ffffff"/>
            <w:tcBorders/>
            <w:tcMar>
              <w:left w:w="55" w:type="dxa"/>
              <w:top w:w="45" w:type="dxa"/>
              <w:right w:w="55" w:type="dxa"/>
              <w:bottom w:w="45" w:type="dxa"/>
            </w:tcMar>
            <w:tcW w:w="3798" w:type="dxa"/>
            <w:vAlign w:val="top"/>
          </w:tcPr>
          <w:p>
            <w:pPr>
              <w:pStyle w:val="1089"/>
              <w:pBdr/>
              <w:spacing/>
              <w:ind/>
              <w:rPr/>
            </w:pPr>
            <w:r>
              <w:t xml:space="preserve">Direct field-qualified alias.</w:t>
            </w:r>
            <w:r/>
          </w:p>
        </w:tc>
      </w:tr>
      <w:tr>
        <w:trPr>
          <w:cantSplit/>
        </w:trPr>
        <w:tc>
          <w:tcPr>
            <w:shd w:val="clear" w:color="auto" w:fill="f4f6f7"/>
            <w:tcBorders/>
            <w:tcMar>
              <w:left w:w="55" w:type="dxa"/>
              <w:top w:w="45" w:type="dxa"/>
              <w:right w:w="55" w:type="dxa"/>
              <w:bottom w:w="45" w:type="dxa"/>
            </w:tcMar>
            <w:tcW w:w="2921" w:type="dxa"/>
            <w:vAlign w:val="top"/>
          </w:tcPr>
          <w:p>
            <w:pPr>
              <w:pStyle w:val="1089"/>
              <w:pBdr/>
              <w:spacing/>
              <w:ind/>
              <w:rPr/>
            </w:pPr>
            <w:r>
              <w:t xml:space="preserve">COM as former representation status</w:t>
            </w:r>
            <w:r/>
          </w:p>
        </w:tc>
        <w:tc>
          <w:tcPr>
            <w:shd w:val="clear" w:color="auto" w:fill="f4f6f7"/>
            <w:tcBorders/>
            <w:tcMar>
              <w:left w:w="55" w:type="dxa"/>
              <w:top w:w="45" w:type="dxa"/>
              <w:right w:w="55" w:type="dxa"/>
              <w:bottom w:w="45" w:type="dxa"/>
            </w:tcMar>
            <w:tcW w:w="3286" w:type="dxa"/>
            <w:vAlign w:val="top"/>
          </w:tcPr>
          <w:p>
            <w:pPr>
              <w:pStyle w:val="1089"/>
              <w:pBdr/>
              <w:spacing/>
              <w:ind/>
              <w:rPr/>
            </w:pPr>
            <w:r>
              <w:t xml:space="preserve">derived_display_summary:COM</w:t>
            </w:r>
            <w:r/>
          </w:p>
        </w:tc>
        <w:tc>
          <w:tcPr>
            <w:shd w:val="clear" w:color="auto" w:fill="f4f6f7"/>
            <w:tcBorders/>
            <w:tcMar>
              <w:left w:w="55" w:type="dxa"/>
              <w:top w:w="45" w:type="dxa"/>
              <w:right w:w="55" w:type="dxa"/>
              <w:bottom w:w="45" w:type="dxa"/>
            </w:tcMar>
            <w:tcW w:w="3798" w:type="dxa"/>
            <w:vAlign w:val="top"/>
          </w:tcPr>
          <w:p>
            <w:pPr>
              <w:pStyle w:val="1089"/>
              <w:pBdr/>
              <w:spacing/>
              <w:ind/>
              <w:rPr/>
            </w:pPr>
            <w:r>
              <w:t xml:space="preserve">Display-only migration; community_governance remains an independent readiness field.</w:t>
            </w:r>
            <w:r/>
          </w:p>
        </w:tc>
      </w:tr>
      <w:tr>
        <w:trPr>
          <w:cantSplit/>
        </w:trPr>
        <w:tc>
          <w:tcPr>
            <w:shd w:val="clear" w:color="auto" w:fill="ffffff"/>
            <w:tcBorders/>
            <w:tcMar>
              <w:left w:w="55" w:type="dxa"/>
              <w:top w:w="45" w:type="dxa"/>
              <w:right w:w="55" w:type="dxa"/>
              <w:bottom w:w="45" w:type="dxa"/>
            </w:tcMar>
            <w:tcW w:w="2921" w:type="dxa"/>
            <w:vAlign w:val="top"/>
          </w:tcPr>
          <w:p>
            <w:pPr>
              <w:pStyle w:val="1089"/>
              <w:pBdr/>
              <w:spacing/>
              <w:ind/>
              <w:rPr/>
            </w:pPr>
            <w:r>
              <w:t xml:space="preserve">EPI as claim function</w:t>
            </w:r>
            <w:r/>
          </w:p>
        </w:tc>
        <w:tc>
          <w:tcPr>
            <w:shd w:val="clear" w:color="auto" w:fill="ffffff"/>
            <w:tcBorders/>
            <w:tcMar>
              <w:left w:w="55" w:type="dxa"/>
              <w:top w:w="45" w:type="dxa"/>
              <w:right w:w="55" w:type="dxa"/>
              <w:bottom w:w="45" w:type="dxa"/>
            </w:tcMar>
            <w:tcW w:w="3286" w:type="dxa"/>
            <w:vAlign w:val="top"/>
          </w:tcPr>
          <w:p>
            <w:pPr>
              <w:pStyle w:val="1089"/>
              <w:pBdr/>
              <w:spacing/>
              <w:ind/>
              <w:rPr/>
            </w:pPr>
            <w:r>
              <w:t xml:space="preserve">claim_function:EPI = Epistemic</w:t>
            </w:r>
            <w:r/>
          </w:p>
        </w:tc>
        <w:tc>
          <w:tcPr>
            <w:shd w:val="clear" w:color="auto" w:fill="ffffff"/>
            <w:tcBorders/>
            <w:tcMar>
              <w:left w:w="55" w:type="dxa"/>
              <w:top w:w="45" w:type="dxa"/>
              <w:right w:w="55" w:type="dxa"/>
              <w:bottom w:w="45" w:type="dxa"/>
            </w:tcMar>
            <w:tcW w:w="3798" w:type="dxa"/>
            <w:vAlign w:val="top"/>
          </w:tcPr>
          <w:p>
            <w:pPr>
              <w:pStyle w:val="1089"/>
              <w:pBdr/>
              <w:spacing/>
              <w:ind/>
              <w:rPr/>
            </w:pPr>
            <w:r>
              <w:t xml:space="preserve">Direct field-qualified alias.</w:t>
            </w:r>
            <w:r/>
          </w:p>
        </w:tc>
      </w:tr>
      <w:tr>
        <w:trPr>
          <w:cantSplit/>
        </w:trPr>
        <w:tc>
          <w:tcPr>
            <w:shd w:val="clear" w:color="auto" w:fill="f4f6f7"/>
            <w:tcBorders/>
            <w:tcMar>
              <w:left w:w="55" w:type="dxa"/>
              <w:top w:w="45" w:type="dxa"/>
              <w:right w:w="55" w:type="dxa"/>
              <w:bottom w:w="45" w:type="dxa"/>
            </w:tcMar>
            <w:tcW w:w="2921" w:type="dxa"/>
            <w:vAlign w:val="top"/>
          </w:tcPr>
          <w:p>
            <w:pPr>
              <w:pStyle w:val="1089"/>
              <w:pBdr/>
              <w:spacing/>
              <w:ind/>
              <w:rPr/>
            </w:pPr>
            <w:r>
              <w:t xml:space="preserve">EPI as relation</w:t>
            </w:r>
            <w:r/>
          </w:p>
        </w:tc>
        <w:tc>
          <w:tcPr>
            <w:shd w:val="clear" w:color="auto" w:fill="f4f6f7"/>
            <w:tcBorders/>
            <w:tcMar>
              <w:left w:w="55" w:type="dxa"/>
              <w:top w:w="45" w:type="dxa"/>
              <w:right w:w="55" w:type="dxa"/>
              <w:bottom w:w="45" w:type="dxa"/>
            </w:tcMar>
            <w:tcW w:w="3286" w:type="dxa"/>
            <w:vAlign w:val="top"/>
          </w:tcPr>
          <w:p>
            <w:pPr>
              <w:pStyle w:val="1089"/>
              <w:pBdr/>
              <w:spacing/>
              <w:ind/>
              <w:rPr/>
            </w:pPr>
            <w:r>
              <w:t xml:space="preserve">relation:EPI = Epistemic-methodological analogy</w:t>
            </w:r>
            <w:r/>
          </w:p>
        </w:tc>
        <w:tc>
          <w:tcPr>
            <w:shd w:val="clear" w:color="auto" w:fill="f4f6f7"/>
            <w:tcBorders/>
            <w:tcMar>
              <w:left w:w="55" w:type="dxa"/>
              <w:top w:w="45" w:type="dxa"/>
              <w:right w:w="55" w:type="dxa"/>
              <w:bottom w:w="45" w:type="dxa"/>
            </w:tcMar>
            <w:tcW w:w="3798" w:type="dxa"/>
            <w:vAlign w:val="top"/>
          </w:tcPr>
          <w:p>
            <w:pPr>
              <w:pStyle w:val="1089"/>
              <w:pBdr/>
              <w:spacing/>
              <w:ind/>
              <w:rPr/>
            </w:pPr>
            <w:r>
              <w:t xml:space="preserve">Direct field-qualified alias.</w:t>
            </w:r>
            <w:r/>
          </w:p>
        </w:tc>
      </w:tr>
      <w:tr>
        <w:trPr>
          <w:cantSplit/>
        </w:trPr>
        <w:tc>
          <w:tcPr>
            <w:shd w:val="clear" w:color="auto" w:fill="ffffff"/>
            <w:tcBorders/>
            <w:tcMar>
              <w:left w:w="55" w:type="dxa"/>
              <w:top w:w="45" w:type="dxa"/>
              <w:right w:w="55" w:type="dxa"/>
              <w:bottom w:w="45" w:type="dxa"/>
            </w:tcMar>
            <w:tcW w:w="2921" w:type="dxa"/>
            <w:vAlign w:val="top"/>
          </w:tcPr>
          <w:p>
            <w:pPr>
              <w:pStyle w:val="1089"/>
              <w:pBdr/>
              <w:spacing/>
              <w:ind/>
              <w:rPr/>
            </w:pPr>
            <w:r>
              <w:t xml:space="preserve">PHE as claim function</w:t>
            </w:r>
            <w:r/>
          </w:p>
        </w:tc>
        <w:tc>
          <w:tcPr>
            <w:shd w:val="clear" w:color="auto" w:fill="ffffff"/>
            <w:tcBorders/>
            <w:tcMar>
              <w:left w:w="55" w:type="dxa"/>
              <w:top w:w="45" w:type="dxa"/>
              <w:right w:w="55" w:type="dxa"/>
              <w:bottom w:w="45" w:type="dxa"/>
            </w:tcMar>
            <w:tcW w:w="3286" w:type="dxa"/>
            <w:vAlign w:val="top"/>
          </w:tcPr>
          <w:p>
            <w:pPr>
              <w:pStyle w:val="1089"/>
              <w:pBdr/>
              <w:spacing/>
              <w:ind/>
              <w:rPr/>
            </w:pPr>
            <w:r>
              <w:t xml:space="preserve">claim_function:PHE = Phenomenological</w:t>
            </w:r>
            <w:r/>
          </w:p>
        </w:tc>
        <w:tc>
          <w:tcPr>
            <w:shd w:val="clear" w:color="auto" w:fill="ffffff"/>
            <w:tcBorders/>
            <w:tcMar>
              <w:left w:w="55" w:type="dxa"/>
              <w:top w:w="45" w:type="dxa"/>
              <w:right w:w="55" w:type="dxa"/>
              <w:bottom w:w="45" w:type="dxa"/>
            </w:tcMar>
            <w:tcW w:w="3798" w:type="dxa"/>
            <w:vAlign w:val="top"/>
          </w:tcPr>
          <w:p>
            <w:pPr>
              <w:pStyle w:val="1089"/>
              <w:pBdr/>
              <w:spacing/>
              <w:ind/>
              <w:rPr/>
            </w:pPr>
            <w:r>
              <w:t xml:space="preserve">Direct field-qualified alias.</w:t>
            </w:r>
            <w:r/>
          </w:p>
        </w:tc>
      </w:tr>
      <w:tr>
        <w:trPr>
          <w:cantSplit/>
        </w:trPr>
        <w:tc>
          <w:tcPr>
            <w:shd w:val="clear" w:color="auto" w:fill="f4f6f7"/>
            <w:tcBorders/>
            <w:tcMar>
              <w:left w:w="55" w:type="dxa"/>
              <w:top w:w="45" w:type="dxa"/>
              <w:right w:w="55" w:type="dxa"/>
              <w:bottom w:w="45" w:type="dxa"/>
            </w:tcMar>
            <w:tcW w:w="2921" w:type="dxa"/>
            <w:vAlign w:val="top"/>
          </w:tcPr>
          <w:p>
            <w:pPr>
              <w:pStyle w:val="1089"/>
              <w:pBdr/>
              <w:spacing/>
              <w:ind/>
              <w:rPr/>
            </w:pPr>
            <w:r>
              <w:t xml:space="preserve">PHE as relation</w:t>
            </w:r>
            <w:r/>
          </w:p>
        </w:tc>
        <w:tc>
          <w:tcPr>
            <w:shd w:val="clear" w:color="auto" w:fill="f4f6f7"/>
            <w:tcBorders/>
            <w:tcMar>
              <w:left w:w="55" w:type="dxa"/>
              <w:top w:w="45" w:type="dxa"/>
              <w:right w:w="55" w:type="dxa"/>
              <w:bottom w:w="45" w:type="dxa"/>
            </w:tcMar>
            <w:tcW w:w="3286" w:type="dxa"/>
            <w:vAlign w:val="top"/>
          </w:tcPr>
          <w:p>
            <w:pPr>
              <w:pStyle w:val="1089"/>
              <w:pBdr/>
              <w:spacing/>
              <w:ind/>
              <w:rPr/>
            </w:pPr>
            <w:r>
              <w:t xml:space="preserve">relation:PHE = Phenomenological resemblance</w:t>
            </w:r>
            <w:r/>
          </w:p>
        </w:tc>
        <w:tc>
          <w:tcPr>
            <w:shd w:val="clear" w:color="auto" w:fill="f4f6f7"/>
            <w:tcBorders/>
            <w:tcMar>
              <w:left w:w="55" w:type="dxa"/>
              <w:top w:w="45" w:type="dxa"/>
              <w:right w:w="55" w:type="dxa"/>
              <w:bottom w:w="45" w:type="dxa"/>
            </w:tcMar>
            <w:tcW w:w="3798" w:type="dxa"/>
            <w:vAlign w:val="top"/>
          </w:tcPr>
          <w:p>
            <w:pPr>
              <w:pStyle w:val="1089"/>
              <w:pBdr/>
              <w:spacing/>
              <w:ind/>
              <w:rPr/>
            </w:pPr>
            <w:r>
              <w:t xml:space="preserve">Direct field-qualified alias.</w:t>
            </w:r>
            <w:r/>
          </w:p>
        </w:tc>
      </w:tr>
      <w:tr>
        <w:trPr>
          <w:cantSplit/>
        </w:trPr>
        <w:tc>
          <w:tcPr>
            <w:shd w:val="clear" w:color="auto" w:fill="ffffff"/>
            <w:tcBorders/>
            <w:tcMar>
              <w:left w:w="55" w:type="dxa"/>
              <w:top w:w="45" w:type="dxa"/>
              <w:right w:w="55" w:type="dxa"/>
              <w:bottom w:w="45" w:type="dxa"/>
            </w:tcMar>
            <w:tcW w:w="2921" w:type="dxa"/>
            <w:vAlign w:val="top"/>
          </w:tcPr>
          <w:p>
            <w:pPr>
              <w:pStyle w:val="1089"/>
              <w:pBdr/>
              <w:spacing/>
              <w:ind/>
              <w:rPr/>
            </w:pPr>
            <w:r>
              <w:t xml:space="preserve">PS / CE / SC / ER / HS / PA / ES source classes</w:t>
            </w:r>
            <w:r/>
          </w:p>
        </w:tc>
        <w:tc>
          <w:tcPr>
            <w:shd w:val="clear" w:color="auto" w:fill="ffffff"/>
            <w:tcBorders/>
            <w:tcMar>
              <w:left w:w="55" w:type="dxa"/>
              <w:top w:w="45" w:type="dxa"/>
              <w:right w:w="55" w:type="dxa"/>
              <w:bottom w:w="45" w:type="dxa"/>
            </w:tcMar>
            <w:tcW w:w="3286" w:type="dxa"/>
            <w:vAlign w:val="top"/>
          </w:tcPr>
          <w:p>
            <w:pPr>
              <w:pStyle w:val="1089"/>
              <w:pBdr/>
              <w:spacing/>
              <w:ind/>
              <w:rPr/>
            </w:pPr>
            <w:r>
              <w:t xml:space="preserve">No one-to-one source-class alias</w:t>
            </w:r>
            <w:r/>
          </w:p>
        </w:tc>
        <w:tc>
          <w:tcPr>
            <w:shd w:val="clear" w:color="auto" w:fill="ffffff"/>
            <w:tcBorders/>
            <w:tcMar>
              <w:left w:w="55" w:type="dxa"/>
              <w:top w:w="45" w:type="dxa"/>
              <w:right w:w="55" w:type="dxa"/>
              <w:bottom w:w="45" w:type="dxa"/>
            </w:tcMar>
            <w:tcW w:w="3798" w:type="dxa"/>
            <w:vAlign w:val="top"/>
          </w:tcPr>
          <w:p>
            <w:pPr>
              <w:pStyle w:val="1089"/>
              <w:pBdr/>
              <w:spacing/>
              <w:ind/>
              <w:rPr/>
            </w:pPr>
            <w:r>
              <w:t xml:space="preserve">Migrate to the orthogonal source fields and EvidenceLink role using the original source record and claim context.</w:t>
            </w:r>
            <w:r/>
          </w:p>
        </w:tc>
      </w:tr>
      <w:tr>
        <w:trPr>
          <w:cantSplit/>
        </w:trPr>
        <w:tc>
          <w:tcPr>
            <w:shd w:val="clear" w:color="auto" w:fill="f4f6f7"/>
            <w:tcBorders/>
            <w:tcMar>
              <w:left w:w="55" w:type="dxa"/>
              <w:top w:w="45" w:type="dxa"/>
              <w:right w:w="55" w:type="dxa"/>
              <w:bottom w:w="45" w:type="dxa"/>
            </w:tcMar>
            <w:tcW w:w="2921" w:type="dxa"/>
            <w:vAlign w:val="top"/>
          </w:tcPr>
          <w:p>
            <w:pPr>
              <w:pStyle w:val="1089"/>
              <w:pBdr/>
              <w:spacing/>
              <w:ind/>
              <w:rPr/>
            </w:pPr>
            <w:r>
              <w:t xml:space="preserve">Legacy compound gate status combining PARTIAL or PROTOTYPE with PASS</w:t>
            </w:r>
            <w:r/>
          </w:p>
        </w:tc>
        <w:tc>
          <w:tcPr>
            <w:shd w:val="clear" w:color="auto" w:fill="f4f6f7"/>
            <w:tcBorders/>
            <w:tcMar>
              <w:left w:w="55" w:type="dxa"/>
              <w:top w:w="45" w:type="dxa"/>
              <w:right w:w="55" w:type="dxa"/>
              <w:bottom w:w="45" w:type="dxa"/>
            </w:tcMar>
            <w:tcW w:w="3286" w:type="dxa"/>
            <w:vAlign w:val="top"/>
          </w:tcPr>
          <w:p>
            <w:pPr>
              <w:pStyle w:val="1089"/>
              <w:pBdr/>
              <w:spacing/>
              <w:ind/>
              <w:rPr/>
            </w:pPr>
            <w:r>
              <w:t xml:space="preserve">gate_verdict:PENDING plus evidence_maturity:PARTIAL or PROTOTYPE</w:t>
            </w:r>
            <w:r/>
          </w:p>
        </w:tc>
        <w:tc>
          <w:tcPr>
            <w:shd w:val="clear" w:color="auto" w:fill="f4f6f7"/>
            <w:tcBorders/>
            <w:tcMar>
              <w:left w:w="55" w:type="dxa"/>
              <w:top w:w="45" w:type="dxa"/>
              <w:right w:w="55" w:type="dxa"/>
              <w:bottom w:w="45" w:type="dxa"/>
            </w:tcMar>
            <w:tcW w:w="3798" w:type="dxa"/>
            <w:vAlign w:val="top"/>
          </w:tcPr>
          <w:p>
            <w:pPr>
              <w:pStyle w:val="1089"/>
              <w:pBdr/>
              <w:spacing/>
              <w:ind/>
              <w:rPr/>
            </w:pPr>
            <w:r>
              <w:t xml:space="preserve">Split the overloaded value; maturity never authorizes GO.</w:t>
            </w:r>
            <w:r/>
          </w:p>
        </w:tc>
      </w:tr>
    </w:tbl>
    <w:p>
      <w:pPr>
        <w:pStyle w:val="1097"/>
        <w:pBdr/>
        <w:spacing/>
        <w:ind/>
        <w:rPr/>
      </w:pPr>
      <w:r/>
      <w:r/>
    </w:p>
    <w:p>
      <w:pPr>
        <w:pStyle w:val="1086"/>
        <w:keepNext w:val="true"/>
        <w:keepLines w:val="true"/>
        <w:pBdr/>
        <w:spacing/>
        <w:ind/>
        <w:rPr/>
      </w:pPr>
      <w:r/>
      <w:bookmarkStart w:id="103" w:name="tbl_controlled_terminology"/>
      <w:r>
        <w:t xml:space="preserve">Governing — Controlled terminology</w:t>
      </w:r>
      <w:bookmarkEnd w:id="103"/>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3141"/>
        <w:gridCol w:w="6865"/>
      </w:tblGrid>
      <w:tr>
        <w:trPr>
          <w:cantSplit/>
          <w:tblHeader/>
        </w:trPr>
        <w:tc>
          <w:tcPr>
            <w:shd w:val="clear" w:color="auto" w:fill="1f5d7a"/>
            <w:tcBorders/>
            <w:tcMar>
              <w:left w:w="55" w:type="dxa"/>
              <w:top w:w="45" w:type="dxa"/>
              <w:right w:w="55" w:type="dxa"/>
              <w:bottom w:w="45" w:type="dxa"/>
            </w:tcMar>
            <w:tcW w:w="3141" w:type="dxa"/>
            <w:vAlign w:val="top"/>
          </w:tcPr>
          <w:p>
            <w:pPr>
              <w:pStyle w:val="1090"/>
              <w:pBdr/>
              <w:spacing/>
              <w:ind/>
              <w:rPr/>
            </w:pPr>
            <w:r>
              <w:t xml:space="preserve">Term</w:t>
            </w:r>
            <w:r/>
          </w:p>
        </w:tc>
        <w:tc>
          <w:tcPr>
            <w:shd w:val="clear" w:color="auto" w:fill="1f5d7a"/>
            <w:tcBorders/>
            <w:tcMar>
              <w:left w:w="55" w:type="dxa"/>
              <w:top w:w="45" w:type="dxa"/>
              <w:right w:w="55" w:type="dxa"/>
              <w:bottom w:w="45" w:type="dxa"/>
            </w:tcMar>
            <w:tcW w:w="6865" w:type="dxa"/>
            <w:vAlign w:val="top"/>
          </w:tcPr>
          <w:p>
            <w:pPr>
              <w:pStyle w:val="1090"/>
              <w:pBdr/>
              <w:spacing/>
              <w:ind/>
              <w:rPr/>
            </w:pPr>
            <w:r>
              <w:t xml:space="preserve">Required definition or use</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Position</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Formal research entity. Capitalize in schema and governance contexts; use bounded position in explanatory prose after first definition.</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Metaphysical-existential architecture</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The source-identifiable configuration of claims, refusals, concepts, practices, arguments and orientations represented by a Position.</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Worldview</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Contextual or reader-facing term only; never an unmarked synonym for the formal Position entity.</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Solution-space</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Materially distinct answer, denial, reframing, open or category-challenging forms under a declared Atlas question or tertium; does not imply every source treats the matter as a problem to solve.</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Fault line</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Stable, scoped axis of incompatibility among claims or structures; not total cultural opposition.</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Source-sensitive</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Evidence, interpretation, translation, provenance and authority requirements proportionate to source type, claim scope, mediation and release context.</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Canonical</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Reserved for the Canonical Evidence Store, canonical records and named canonical builds.</w:t>
            </w:r>
            <w:r/>
          </w:p>
        </w:tc>
      </w:tr>
    </w:tbl>
    <w:p>
      <w:pPr>
        <w:pStyle w:val="1097"/>
        <w:pBdr/>
        <w:spacing/>
        <w:ind/>
        <w:rPr/>
      </w:pPr>
      <w:r/>
      <w:r/>
    </w:p>
    <w:p>
      <w:pPr>
        <w:pStyle w:val="1086"/>
        <w:keepNext w:val="true"/>
        <w:keepLines w:val="true"/>
        <w:pBdr/>
        <w:spacing/>
        <w:ind/>
        <w:rPr/>
      </w:pPr>
      <w:r/>
      <w:bookmarkStart w:id="104" w:name="tbl_register_discipline"/>
      <w:r>
        <w:t xml:space="preserve">Governing — Language-register discipline</w:t>
      </w:r>
      <w:bookmarkEnd w:id="104"/>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702"/>
        <w:gridCol w:w="7304"/>
      </w:tblGrid>
      <w:tr>
        <w:trPr>
          <w:cantSplit/>
          <w:tblHeader/>
        </w:trPr>
        <w:tc>
          <w:tcPr>
            <w:shd w:val="clear" w:color="auto" w:fill="1f5d7a"/>
            <w:tcBorders/>
            <w:tcMar>
              <w:left w:w="55" w:type="dxa"/>
              <w:top w:w="45" w:type="dxa"/>
              <w:right w:w="55" w:type="dxa"/>
              <w:bottom w:w="45" w:type="dxa"/>
            </w:tcMar>
            <w:tcW w:w="2702" w:type="dxa"/>
            <w:vAlign w:val="top"/>
          </w:tcPr>
          <w:p>
            <w:pPr>
              <w:pStyle w:val="1090"/>
              <w:pBdr/>
              <w:spacing/>
              <w:ind/>
              <w:rPr/>
            </w:pPr>
            <w:r>
              <w:t xml:space="preserve">Register</w:t>
            </w:r>
            <w:r/>
          </w:p>
        </w:tc>
        <w:tc>
          <w:tcPr>
            <w:shd w:val="clear" w:color="auto" w:fill="1f5d7a"/>
            <w:tcBorders/>
            <w:tcMar>
              <w:left w:w="55" w:type="dxa"/>
              <w:top w:w="45" w:type="dxa"/>
              <w:right w:w="55" w:type="dxa"/>
              <w:bottom w:w="45" w:type="dxa"/>
            </w:tcMar>
            <w:tcW w:w="7304" w:type="dxa"/>
            <w:vAlign w:val="top"/>
          </w:tcPr>
          <w:p>
            <w:pPr>
              <w:pStyle w:val="1090"/>
              <w:pBdr/>
              <w:spacing/>
              <w:ind/>
              <w:rPr/>
            </w:pPr>
            <w:r>
              <w:t xml:space="preserve">Example formulation</w:t>
            </w:r>
            <w:r/>
          </w:p>
        </w:tc>
      </w:tr>
      <w:tr>
        <w:trPr>
          <w:cantSplit/>
        </w:trPr>
        <w:tc>
          <w:tcPr>
            <w:shd w:val="clear" w:color="auto" w:fill="ffffff"/>
            <w:tcBorders/>
            <w:tcMar>
              <w:left w:w="55" w:type="dxa"/>
              <w:top w:w="45" w:type="dxa"/>
              <w:right w:w="55" w:type="dxa"/>
              <w:bottom w:w="45" w:type="dxa"/>
            </w:tcMar>
            <w:tcW w:w="2702" w:type="dxa"/>
            <w:vAlign w:val="top"/>
          </w:tcPr>
          <w:p>
            <w:pPr>
              <w:pStyle w:val="1089"/>
              <w:pBdr/>
              <w:spacing/>
              <w:ind/>
              <w:rPr/>
            </w:pPr>
            <w:r>
              <w:t xml:space="preserve">Normative specification</w:t>
            </w:r>
            <w:r/>
          </w:p>
        </w:tc>
        <w:tc>
          <w:tcPr>
            <w:shd w:val="clear" w:color="auto" w:fill="ffffff"/>
            <w:tcBorders/>
            <w:tcMar>
              <w:left w:w="55" w:type="dxa"/>
              <w:top w:w="45" w:type="dxa"/>
              <w:right w:w="55" w:type="dxa"/>
              <w:bottom w:w="45" w:type="dxa"/>
            </w:tcMar>
            <w:tcW w:w="7304" w:type="dxa"/>
            <w:vAlign w:val="top"/>
          </w:tcPr>
          <w:p>
            <w:pPr>
              <w:pStyle w:val="1089"/>
              <w:pBdr/>
              <w:spacing/>
              <w:ind/>
              <w:rPr/>
            </w:pPr>
            <w:r>
              <w:t xml:space="preserve">Every claim_origin:SOURCE_GROUNDED release claim MUST resolve to at least one fit-for-purpose EvidenceLink with a human-verifiable locator.</w:t>
            </w:r>
            <w:r/>
          </w:p>
        </w:tc>
      </w:tr>
      <w:tr>
        <w:trPr>
          <w:cantSplit/>
        </w:trPr>
        <w:tc>
          <w:tcPr>
            <w:shd w:val="clear" w:color="auto" w:fill="f4f6f7"/>
            <w:tcBorders/>
            <w:tcMar>
              <w:left w:w="55" w:type="dxa"/>
              <w:top w:w="45" w:type="dxa"/>
              <w:right w:w="55" w:type="dxa"/>
              <w:bottom w:w="45" w:type="dxa"/>
            </w:tcMar>
            <w:tcW w:w="2702" w:type="dxa"/>
            <w:vAlign w:val="top"/>
          </w:tcPr>
          <w:p>
            <w:pPr>
              <w:pStyle w:val="1089"/>
              <w:pBdr/>
              <w:spacing/>
              <w:ind/>
              <w:rPr/>
            </w:pPr>
            <w:r>
              <w:t xml:space="preserve">Scholarly explanatory</w:t>
            </w:r>
            <w:r/>
          </w:p>
        </w:tc>
        <w:tc>
          <w:tcPr>
            <w:shd w:val="clear" w:color="auto" w:fill="f4f6f7"/>
            <w:tcBorders/>
            <w:tcMar>
              <w:left w:w="55" w:type="dxa"/>
              <w:top w:w="45" w:type="dxa"/>
              <w:right w:w="55" w:type="dxa"/>
              <w:bottom w:w="45" w:type="dxa"/>
            </w:tcMar>
            <w:tcW w:w="7304" w:type="dxa"/>
            <w:vAlign w:val="top"/>
          </w:tcPr>
          <w:p>
            <w:pPr>
              <w:pStyle w:val="1089"/>
              <w:pBdr/>
              <w:spacing/>
              <w:ind/>
              <w:rPr/>
            </w:pPr>
            <w:r>
              <w:t xml:space="preserve">Claims attributed to a Position must be traceable to evidence that a reviewer can inspect.</w:t>
            </w:r>
            <w:r/>
          </w:p>
        </w:tc>
      </w:tr>
      <w:tr>
        <w:trPr>
          <w:cantSplit/>
        </w:trPr>
        <w:tc>
          <w:tcPr>
            <w:shd w:val="clear" w:color="auto" w:fill="ffffff"/>
            <w:tcBorders/>
            <w:tcMar>
              <w:left w:w="55" w:type="dxa"/>
              <w:top w:w="45" w:type="dxa"/>
              <w:right w:w="55" w:type="dxa"/>
              <w:bottom w:w="45" w:type="dxa"/>
            </w:tcMar>
            <w:tcW w:w="2702" w:type="dxa"/>
            <w:vAlign w:val="top"/>
          </w:tcPr>
          <w:p>
            <w:pPr>
              <w:pStyle w:val="1089"/>
              <w:pBdr/>
              <w:spacing/>
              <w:ind/>
              <w:rPr/>
            </w:pPr>
            <w:r>
              <w:t xml:space="preserve">General-reader publication</w:t>
            </w:r>
            <w:r/>
          </w:p>
        </w:tc>
        <w:tc>
          <w:tcPr>
            <w:shd w:val="clear" w:color="auto" w:fill="ffffff"/>
            <w:tcBorders/>
            <w:tcMar>
              <w:left w:w="55" w:type="dxa"/>
              <w:top w:w="45" w:type="dxa"/>
              <w:right w:w="55" w:type="dxa"/>
              <w:bottom w:w="45" w:type="dxa"/>
            </w:tcMar>
            <w:tcW w:w="7304" w:type="dxa"/>
            <w:vAlign w:val="top"/>
          </w:tcPr>
          <w:p>
            <w:pPr>
              <w:pStyle w:val="1089"/>
              <w:pBdr/>
              <w:spacing/>
              <w:ind/>
              <w:rPr/>
            </w:pPr>
            <w:r>
              <w:t xml:space="preserve">Every Atlas attribution must trace to evidence that an authorized reviewer can inspect. Public access to that evidence remains subject to rights and access restrictions.</w:t>
            </w:r>
            <w:r/>
          </w:p>
        </w:tc>
      </w:tr>
    </w:tbl>
    <w:p>
      <w:pPr>
        <w:pStyle w:val="922"/>
        <w:keepNext w:val="true"/>
        <w:keepLines w:val="true"/>
        <w:pBdr/>
        <w:spacing/>
        <w:ind/>
        <w:rPr/>
      </w:pPr>
      <w:r/>
      <w:bookmarkStart w:id="105" w:name="annex_b"/>
      <w:r>
        <w:t xml:space="preserve">Annex B — Canonical objects, schemas and cardinalities</w:t>
      </w:r>
      <w:bookmarkEnd w:id="105"/>
      <w:r/>
      <w:r/>
    </w:p>
    <w:p>
      <w:pPr>
        <w:pStyle w:val="1086"/>
        <w:keepNext w:val="true"/>
        <w:keepLines w:val="true"/>
        <w:pBdr/>
        <w:spacing/>
        <w:ind/>
        <w:rPr/>
      </w:pPr>
      <w:r/>
      <w:bookmarkStart w:id="106" w:name="Section_front_door_4"/>
      <w:r>
        <w:t xml:space="preserve">Governing — Section front door</w:t>
      </w:r>
      <w:bookmarkEnd w:id="106"/>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1972"/>
        <w:gridCol w:w="8034"/>
      </w:tblGrid>
      <w:tr>
        <w:trPr>
          <w:cantSplit/>
          <w:tblHeader/>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Purpose</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Provide the sole complete catalogue of Atlas entities, graph relations, record fields, cardinalities and conditional requirements.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Primary users</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Data architects, researchers completing records, validators, migration teams and auditors.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Authority status</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Governing</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Decision or rule</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Implementations may add non-conflicting fields but MUST NOT weaken these minimum semantics or cardinalities.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Required output</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Structurally complete canonical records and resolvable graph links.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Go to</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Annex A for controlled values; Annex C for validation and gate tests.</w:t>
            </w:r>
            <w:r/>
          </w:p>
        </w:tc>
      </w:tr>
    </w:tbl>
    <w:p>
      <w:pPr>
        <w:pStyle w:val="1097"/>
        <w:pBdr/>
        <w:spacing/>
        <w:ind/>
        <w:rPr/>
      </w:pPr>
      <w:r/>
      <w:r/>
    </w:p>
    <w:p>
      <w:pPr>
        <w:pStyle w:val="1083"/>
        <w:pBdr/>
        <w:spacing/>
        <w:ind/>
        <w:rPr/>
      </w:pPr>
      <w:r>
        <w:t xml:space="preserve">Canonical field names are defined in Annex B. Controlled-value</w:t>
      </w:r>
      <w:r>
        <w:t xml:space="preserve"> namespaces and meanings are defined in Annex A. A field may draw its permitted values from a differently named vocabulary only where the mapping is explicit. Display and export labels do not create additional canonical fields or alter controlled meanings.</w:t>
      </w:r>
      <w:r/>
    </w:p>
    <w:p>
      <w:pPr>
        <w:pStyle w:val="923"/>
        <w:keepNext w:val="true"/>
        <w:keepLines w:val="true"/>
        <w:pBdr/>
        <w:spacing/>
        <w:ind/>
        <w:rPr/>
      </w:pPr>
      <w:r/>
      <w:bookmarkStart w:id="107" w:name="annex_b1_entities"/>
      <w:r>
        <w:t xml:space="preserve">B1. Entity catalogue and graph relations</w:t>
      </w:r>
      <w:bookmarkEnd w:id="107"/>
      <w:r/>
      <w:r/>
    </w:p>
    <w:p>
      <w:pPr>
        <w:pStyle w:val="1086"/>
        <w:keepNext w:val="true"/>
        <w:keepLines w:val="true"/>
        <w:pBdr/>
        <w:spacing/>
        <w:ind/>
        <w:rPr/>
      </w:pPr>
      <w:r/>
      <w:bookmarkStart w:id="108" w:name="tbl_context_entities"/>
      <w:r>
        <w:t xml:space="preserve">Governing — Context entities</w:t>
      </w:r>
      <w:bookmarkEnd w:id="108"/>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1753"/>
        <w:gridCol w:w="3067"/>
        <w:gridCol w:w="5185"/>
      </w:tblGrid>
      <w:tr>
        <w:trPr>
          <w:cantSplit/>
          <w:tblHeader/>
        </w:trPr>
        <w:tc>
          <w:tcPr>
            <w:shd w:val="clear" w:color="auto" w:fill="1f5d7a"/>
            <w:tcBorders/>
            <w:tcMar>
              <w:left w:w="55" w:type="dxa"/>
              <w:top w:w="45" w:type="dxa"/>
              <w:right w:w="55" w:type="dxa"/>
              <w:bottom w:w="45" w:type="dxa"/>
            </w:tcMar>
            <w:tcW w:w="1753" w:type="dxa"/>
            <w:vAlign w:val="top"/>
          </w:tcPr>
          <w:p>
            <w:pPr>
              <w:pStyle w:val="1090"/>
              <w:pBdr/>
              <w:spacing/>
              <w:ind/>
              <w:rPr/>
            </w:pPr>
            <w:r>
              <w:t xml:space="preserve">Qualified code</w:t>
            </w:r>
            <w:r/>
          </w:p>
        </w:tc>
        <w:tc>
          <w:tcPr>
            <w:shd w:val="clear" w:color="auto" w:fill="1f5d7a"/>
            <w:tcBorders/>
            <w:tcMar>
              <w:left w:w="55" w:type="dxa"/>
              <w:top w:w="45" w:type="dxa"/>
              <w:right w:w="55" w:type="dxa"/>
              <w:bottom w:w="45" w:type="dxa"/>
            </w:tcMar>
            <w:tcW w:w="3067" w:type="dxa"/>
            <w:vAlign w:val="top"/>
          </w:tcPr>
          <w:p>
            <w:pPr>
              <w:pStyle w:val="1090"/>
              <w:pBdr/>
              <w:spacing/>
              <w:ind/>
              <w:rPr/>
            </w:pPr>
            <w:r>
              <w:t xml:space="preserve">Context entity</w:t>
            </w:r>
            <w:r/>
          </w:p>
        </w:tc>
        <w:tc>
          <w:tcPr>
            <w:shd w:val="clear" w:color="auto" w:fill="1f5d7a"/>
            <w:tcBorders/>
            <w:tcMar>
              <w:left w:w="55" w:type="dxa"/>
              <w:top w:w="45" w:type="dxa"/>
              <w:right w:w="55" w:type="dxa"/>
              <w:bottom w:w="45" w:type="dxa"/>
            </w:tcMar>
            <w:tcW w:w="5185" w:type="dxa"/>
            <w:vAlign w:val="top"/>
          </w:tcPr>
          <w:p>
            <w:pPr>
              <w:pStyle w:val="1090"/>
              <w:pBdr/>
              <w:spacing/>
              <w:ind/>
              <w:rPr/>
            </w:pPr>
            <w:r>
              <w:t xml:space="preserve">Definition</w:t>
            </w:r>
            <w:r/>
          </w:p>
        </w:tc>
      </w:tr>
      <w:tr>
        <w:trPr>
          <w:cantSplit/>
        </w:trPr>
        <w:tc>
          <w:tcPr>
            <w:shd w:val="clear" w:color="auto" w:fill="ffffff"/>
            <w:tcBorders/>
            <w:tcMar>
              <w:left w:w="55" w:type="dxa"/>
              <w:top w:w="45" w:type="dxa"/>
              <w:right w:w="55" w:type="dxa"/>
              <w:bottom w:w="45" w:type="dxa"/>
            </w:tcMar>
            <w:tcW w:w="1753" w:type="dxa"/>
            <w:vAlign w:val="top"/>
          </w:tcPr>
          <w:p>
            <w:pPr>
              <w:pStyle w:val="1089"/>
              <w:pBdr/>
              <w:spacing/>
              <w:ind/>
              <w:rPr/>
            </w:pPr>
            <w:r>
              <w:t xml:space="preserve">entity:CF</w:t>
            </w:r>
            <w:r/>
          </w:p>
        </w:tc>
        <w:tc>
          <w:tcPr>
            <w:shd w:val="clear" w:color="auto" w:fill="ffffff"/>
            <w:tcBorders/>
            <w:tcMar>
              <w:left w:w="55" w:type="dxa"/>
              <w:top w:w="45" w:type="dxa"/>
              <w:right w:w="55" w:type="dxa"/>
              <w:bottom w:w="45" w:type="dxa"/>
            </w:tcMar>
            <w:tcW w:w="3067" w:type="dxa"/>
            <w:vAlign w:val="top"/>
          </w:tcPr>
          <w:p>
            <w:pPr>
              <w:pStyle w:val="1089"/>
              <w:pBdr/>
              <w:spacing/>
              <w:ind/>
              <w:rPr/>
            </w:pPr>
            <w:r>
              <w:t xml:space="preserve">Worldview family</w:t>
            </w:r>
            <w:r/>
          </w:p>
        </w:tc>
        <w:tc>
          <w:tcPr>
            <w:shd w:val="clear" w:color="auto" w:fill="ffffff"/>
            <w:tcBorders/>
            <w:tcMar>
              <w:left w:w="55" w:type="dxa"/>
              <w:top w:w="45" w:type="dxa"/>
              <w:right w:w="55" w:type="dxa"/>
              <w:bottom w:w="45" w:type="dxa"/>
            </w:tcMar>
            <w:tcW w:w="5185" w:type="dxa"/>
            <w:vAlign w:val="top"/>
          </w:tcPr>
          <w:p>
            <w:pPr>
              <w:pStyle w:val="1089"/>
              <w:pBdr/>
              <w:spacing/>
              <w:ind/>
              <w:rPr/>
            </w:pPr>
            <w:r>
              <w:t xml:space="preserve">Broad scholarly grouping for navigation only; never a single doctrine or unmarked synonym for Position.</w:t>
            </w:r>
            <w:r/>
          </w:p>
        </w:tc>
      </w:tr>
      <w:tr>
        <w:trPr>
          <w:cantSplit/>
        </w:trPr>
        <w:tc>
          <w:tcPr>
            <w:shd w:val="clear" w:color="auto" w:fill="f4f6f7"/>
            <w:tcBorders/>
            <w:tcMar>
              <w:left w:w="55" w:type="dxa"/>
              <w:top w:w="45" w:type="dxa"/>
              <w:right w:w="55" w:type="dxa"/>
              <w:bottom w:w="45" w:type="dxa"/>
            </w:tcMar>
            <w:tcW w:w="1753" w:type="dxa"/>
            <w:vAlign w:val="top"/>
          </w:tcPr>
          <w:p>
            <w:pPr>
              <w:pStyle w:val="1089"/>
              <w:pBdr/>
              <w:spacing/>
              <w:ind/>
              <w:rPr/>
            </w:pPr>
            <w:r>
              <w:t xml:space="preserve">entity:TR</w:t>
            </w:r>
            <w:r/>
          </w:p>
        </w:tc>
        <w:tc>
          <w:tcPr>
            <w:shd w:val="clear" w:color="auto" w:fill="f4f6f7"/>
            <w:tcBorders/>
            <w:tcMar>
              <w:left w:w="55" w:type="dxa"/>
              <w:top w:w="45" w:type="dxa"/>
              <w:right w:w="55" w:type="dxa"/>
              <w:bottom w:w="45" w:type="dxa"/>
            </w:tcMar>
            <w:tcW w:w="3067" w:type="dxa"/>
            <w:vAlign w:val="top"/>
          </w:tcPr>
          <w:p>
            <w:pPr>
              <w:pStyle w:val="1089"/>
              <w:pBdr/>
              <w:spacing/>
              <w:ind/>
              <w:rPr/>
            </w:pPr>
            <w:r>
              <w:t xml:space="preserve">Tradition</w:t>
            </w:r>
            <w:r/>
          </w:p>
        </w:tc>
        <w:tc>
          <w:tcPr>
            <w:shd w:val="clear" w:color="auto" w:fill="f4f6f7"/>
            <w:tcBorders/>
            <w:tcMar>
              <w:left w:w="55" w:type="dxa"/>
              <w:top w:w="45" w:type="dxa"/>
              <w:right w:w="55" w:type="dxa"/>
              <w:bottom w:w="45" w:type="dxa"/>
            </w:tcMar>
            <w:tcW w:w="5185" w:type="dxa"/>
            <w:vAlign w:val="top"/>
          </w:tcPr>
          <w:p>
            <w:pPr>
              <w:pStyle w:val="1089"/>
              <w:pBdr/>
              <w:spacing/>
              <w:ind/>
              <w:rPr/>
            </w:pPr>
            <w:r>
              <w:t xml:space="preserve">Historically continuous self-identified or scholarly identified tradition with explicit scope.</w:t>
            </w:r>
            <w:r/>
          </w:p>
        </w:tc>
      </w:tr>
      <w:tr>
        <w:trPr>
          <w:cantSplit/>
        </w:trPr>
        <w:tc>
          <w:tcPr>
            <w:shd w:val="clear" w:color="auto" w:fill="ffffff"/>
            <w:tcBorders/>
            <w:tcMar>
              <w:left w:w="55" w:type="dxa"/>
              <w:top w:w="45" w:type="dxa"/>
              <w:right w:w="55" w:type="dxa"/>
              <w:bottom w:w="45" w:type="dxa"/>
            </w:tcMar>
            <w:tcW w:w="1753" w:type="dxa"/>
            <w:vAlign w:val="top"/>
          </w:tcPr>
          <w:p>
            <w:pPr>
              <w:pStyle w:val="1089"/>
              <w:pBdr/>
              <w:spacing/>
              <w:ind/>
              <w:rPr/>
            </w:pPr>
            <w:r>
              <w:t xml:space="preserve">entity:BR</w:t>
            </w:r>
            <w:r/>
          </w:p>
        </w:tc>
        <w:tc>
          <w:tcPr>
            <w:shd w:val="clear" w:color="auto" w:fill="ffffff"/>
            <w:tcBorders/>
            <w:tcMar>
              <w:left w:w="55" w:type="dxa"/>
              <w:top w:w="45" w:type="dxa"/>
              <w:right w:w="55" w:type="dxa"/>
              <w:bottom w:w="45" w:type="dxa"/>
            </w:tcMar>
            <w:tcW w:w="3067" w:type="dxa"/>
            <w:vAlign w:val="top"/>
          </w:tcPr>
          <w:p>
            <w:pPr>
              <w:pStyle w:val="1089"/>
              <w:pBdr/>
              <w:spacing/>
              <w:ind/>
              <w:rPr/>
            </w:pPr>
            <w:r>
              <w:t xml:space="preserve">Branch / lineage / denomination</w:t>
            </w:r>
            <w:r/>
          </w:p>
        </w:tc>
        <w:tc>
          <w:tcPr>
            <w:shd w:val="clear" w:color="auto" w:fill="ffffff"/>
            <w:tcBorders/>
            <w:tcMar>
              <w:left w:w="55" w:type="dxa"/>
              <w:top w:w="45" w:type="dxa"/>
              <w:right w:w="55" w:type="dxa"/>
              <w:bottom w:w="45" w:type="dxa"/>
            </w:tcMar>
            <w:tcW w:w="5185" w:type="dxa"/>
            <w:vAlign w:val="top"/>
          </w:tcPr>
          <w:p>
            <w:pPr>
              <w:pStyle w:val="1089"/>
              <w:pBdr/>
              <w:spacing/>
              <w:ind/>
              <w:rPr/>
            </w:pPr>
            <w:r>
              <w:t xml:space="preserve">Institutional, doctrinal, lineage or practice subdivision.</w:t>
            </w:r>
            <w:r/>
          </w:p>
        </w:tc>
      </w:tr>
      <w:tr>
        <w:trPr>
          <w:cantSplit/>
        </w:trPr>
        <w:tc>
          <w:tcPr>
            <w:shd w:val="clear" w:color="auto" w:fill="f4f6f7"/>
            <w:tcBorders/>
            <w:tcMar>
              <w:left w:w="55" w:type="dxa"/>
              <w:top w:w="45" w:type="dxa"/>
              <w:right w:w="55" w:type="dxa"/>
              <w:bottom w:w="45" w:type="dxa"/>
            </w:tcMar>
            <w:tcW w:w="1753" w:type="dxa"/>
            <w:vAlign w:val="top"/>
          </w:tcPr>
          <w:p>
            <w:pPr>
              <w:pStyle w:val="1089"/>
              <w:pBdr/>
              <w:spacing/>
              <w:ind/>
              <w:rPr/>
            </w:pPr>
            <w:r>
              <w:t xml:space="preserve">entity:HF</w:t>
            </w:r>
            <w:r/>
          </w:p>
        </w:tc>
        <w:tc>
          <w:tcPr>
            <w:shd w:val="clear" w:color="auto" w:fill="f4f6f7"/>
            <w:tcBorders/>
            <w:tcMar>
              <w:left w:w="55" w:type="dxa"/>
              <w:top w:w="45" w:type="dxa"/>
              <w:right w:w="55" w:type="dxa"/>
              <w:bottom w:w="45" w:type="dxa"/>
            </w:tcMar>
            <w:tcW w:w="3067" w:type="dxa"/>
            <w:vAlign w:val="top"/>
          </w:tcPr>
          <w:p>
            <w:pPr>
              <w:pStyle w:val="1089"/>
              <w:pBdr/>
              <w:spacing/>
              <w:ind/>
              <w:rPr/>
            </w:pPr>
            <w:r>
              <w:t xml:space="preserve">Historical formation</w:t>
            </w:r>
            <w:r/>
          </w:p>
        </w:tc>
        <w:tc>
          <w:tcPr>
            <w:shd w:val="clear" w:color="auto" w:fill="f4f6f7"/>
            <w:tcBorders/>
            <w:tcMar>
              <w:left w:w="55" w:type="dxa"/>
              <w:top w:w="45" w:type="dxa"/>
              <w:right w:w="55" w:type="dxa"/>
              <w:bottom w:w="45" w:type="dxa"/>
            </w:tcMar>
            <w:tcW w:w="5185" w:type="dxa"/>
            <w:vAlign w:val="top"/>
          </w:tcPr>
          <w:p>
            <w:pPr>
              <w:pStyle w:val="1089"/>
              <w:pBdr/>
              <w:spacing/>
              <w:ind/>
              <w:rPr/>
            </w:pPr>
            <w:r>
              <w:t xml:space="preserve">Time-bounded configuration such as a textual milieu or historical synthesis.</w:t>
            </w:r>
            <w:r/>
          </w:p>
        </w:tc>
      </w:tr>
      <w:tr>
        <w:trPr>
          <w:cantSplit/>
        </w:trPr>
        <w:tc>
          <w:tcPr>
            <w:shd w:val="clear" w:color="auto" w:fill="ffffff"/>
            <w:tcBorders/>
            <w:tcMar>
              <w:left w:w="55" w:type="dxa"/>
              <w:top w:w="45" w:type="dxa"/>
              <w:right w:w="55" w:type="dxa"/>
              <w:bottom w:w="45" w:type="dxa"/>
            </w:tcMar>
            <w:tcW w:w="1753" w:type="dxa"/>
            <w:vAlign w:val="top"/>
          </w:tcPr>
          <w:p>
            <w:pPr>
              <w:pStyle w:val="1089"/>
              <w:pBdr/>
              <w:spacing/>
              <w:ind/>
              <w:rPr/>
            </w:pPr>
            <w:r>
              <w:t xml:space="preserve">entity:CM</w:t>
            </w:r>
            <w:r/>
          </w:p>
        </w:tc>
        <w:tc>
          <w:tcPr>
            <w:shd w:val="clear" w:color="auto" w:fill="ffffff"/>
            <w:tcBorders/>
            <w:tcMar>
              <w:left w:w="55" w:type="dxa"/>
              <w:top w:w="45" w:type="dxa"/>
              <w:right w:w="55" w:type="dxa"/>
              <w:bottom w:w="45" w:type="dxa"/>
            </w:tcMar>
            <w:tcW w:w="3067" w:type="dxa"/>
            <w:vAlign w:val="top"/>
          </w:tcPr>
          <w:p>
            <w:pPr>
              <w:pStyle w:val="1089"/>
              <w:pBdr/>
              <w:spacing/>
              <w:ind/>
              <w:rPr/>
            </w:pPr>
            <w:r>
              <w:t xml:space="preserve">Community / practice complex</w:t>
            </w:r>
            <w:r/>
          </w:p>
        </w:tc>
        <w:tc>
          <w:tcPr>
            <w:shd w:val="clear" w:color="auto" w:fill="ffffff"/>
            <w:tcBorders/>
            <w:tcMar>
              <w:left w:w="55" w:type="dxa"/>
              <w:top w:w="45" w:type="dxa"/>
              <w:right w:w="55" w:type="dxa"/>
              <w:bottom w:w="45" w:type="dxa"/>
            </w:tcMar>
            <w:tcW w:w="5185" w:type="dxa"/>
            <w:vAlign w:val="top"/>
          </w:tcPr>
          <w:p>
            <w:pPr>
              <w:pStyle w:val="1089"/>
              <w:pBdr/>
              <w:spacing/>
              <w:ind/>
              <w:rPr/>
            </w:pPr>
            <w:r>
              <w:t xml:space="preserve">Social locus in which a worldview is lived, transmitted, enacted or contested.</w:t>
            </w:r>
            <w:r/>
          </w:p>
        </w:tc>
      </w:tr>
      <w:tr>
        <w:trPr>
          <w:cantSplit/>
        </w:trPr>
        <w:tc>
          <w:tcPr>
            <w:shd w:val="clear" w:color="auto" w:fill="f4f6f7"/>
            <w:tcBorders/>
            <w:tcMar>
              <w:left w:w="55" w:type="dxa"/>
              <w:top w:w="45" w:type="dxa"/>
              <w:right w:w="55" w:type="dxa"/>
              <w:bottom w:w="45" w:type="dxa"/>
            </w:tcMar>
            <w:tcW w:w="1753" w:type="dxa"/>
            <w:vAlign w:val="top"/>
          </w:tcPr>
          <w:p>
            <w:pPr>
              <w:pStyle w:val="1089"/>
              <w:pBdr/>
              <w:spacing/>
              <w:ind/>
              <w:rPr/>
            </w:pPr>
            <w:r>
              <w:t xml:space="preserve">entity:AG</w:t>
            </w:r>
            <w:r/>
          </w:p>
        </w:tc>
        <w:tc>
          <w:tcPr>
            <w:shd w:val="clear" w:color="auto" w:fill="f4f6f7"/>
            <w:tcBorders/>
            <w:tcMar>
              <w:left w:w="55" w:type="dxa"/>
              <w:top w:w="45" w:type="dxa"/>
              <w:right w:w="55" w:type="dxa"/>
              <w:bottom w:w="45" w:type="dxa"/>
            </w:tcMar>
            <w:tcW w:w="3067" w:type="dxa"/>
            <w:vAlign w:val="top"/>
          </w:tcPr>
          <w:p>
            <w:pPr>
              <w:pStyle w:val="1089"/>
              <w:pBdr/>
              <w:spacing/>
              <w:ind/>
              <w:rPr/>
            </w:pPr>
            <w:r>
              <w:t xml:space="preserve">Agent</w:t>
            </w:r>
            <w:r/>
          </w:p>
        </w:tc>
        <w:tc>
          <w:tcPr>
            <w:shd w:val="clear" w:color="auto" w:fill="f4f6f7"/>
            <w:tcBorders/>
            <w:tcMar>
              <w:left w:w="55" w:type="dxa"/>
              <w:top w:w="45" w:type="dxa"/>
              <w:right w:w="55" w:type="dxa"/>
              <w:bottom w:w="45" w:type="dxa"/>
            </w:tcMar>
            <w:tcW w:w="5185" w:type="dxa"/>
            <w:vAlign w:val="top"/>
          </w:tcPr>
          <w:p>
            <w:pPr>
              <w:pStyle w:val="1089"/>
              <w:pBdr/>
              <w:spacing/>
              <w:ind/>
              <w:rPr/>
            </w:pPr>
            <w:r>
              <w:t xml:space="preserve">Thinker, teacher, author, compiler, interpreter, institution, performer or community voice.</w:t>
            </w:r>
            <w:r/>
          </w:p>
        </w:tc>
      </w:tr>
      <w:tr>
        <w:trPr>
          <w:cantSplit/>
        </w:trPr>
        <w:tc>
          <w:tcPr>
            <w:shd w:val="clear" w:color="auto" w:fill="ffffff"/>
            <w:tcBorders/>
            <w:tcMar>
              <w:left w:w="55" w:type="dxa"/>
              <w:top w:w="45" w:type="dxa"/>
              <w:right w:w="55" w:type="dxa"/>
              <w:bottom w:w="45" w:type="dxa"/>
            </w:tcMar>
            <w:tcW w:w="1753" w:type="dxa"/>
            <w:vAlign w:val="top"/>
          </w:tcPr>
          <w:p>
            <w:pPr>
              <w:pStyle w:val="1089"/>
              <w:pBdr/>
              <w:spacing/>
              <w:ind/>
              <w:rPr/>
            </w:pPr>
            <w:r>
              <w:t xml:space="preserve">entity:CO</w:t>
            </w:r>
            <w:r/>
          </w:p>
        </w:tc>
        <w:tc>
          <w:tcPr>
            <w:shd w:val="clear" w:color="auto" w:fill="ffffff"/>
            <w:tcBorders/>
            <w:tcMar>
              <w:left w:w="55" w:type="dxa"/>
              <w:top w:w="45" w:type="dxa"/>
              <w:right w:w="55" w:type="dxa"/>
              <w:bottom w:w="45" w:type="dxa"/>
            </w:tcMar>
            <w:tcW w:w="3067" w:type="dxa"/>
            <w:vAlign w:val="top"/>
          </w:tcPr>
          <w:p>
            <w:pPr>
              <w:pStyle w:val="1089"/>
              <w:pBdr/>
              <w:spacing/>
              <w:ind/>
              <w:rPr/>
            </w:pPr>
            <w:r>
              <w:t xml:space="preserve">Corpus / source-bearing object</w:t>
            </w:r>
            <w:r/>
          </w:p>
        </w:tc>
        <w:tc>
          <w:tcPr>
            <w:shd w:val="clear" w:color="auto" w:fill="ffffff"/>
            <w:tcBorders/>
            <w:tcMar>
              <w:left w:w="55" w:type="dxa"/>
              <w:top w:w="45" w:type="dxa"/>
              <w:right w:w="55" w:type="dxa"/>
              <w:bottom w:w="45" w:type="dxa"/>
            </w:tcMar>
            <w:tcW w:w="5185" w:type="dxa"/>
            <w:vAlign w:val="top"/>
          </w:tcPr>
          <w:p>
            <w:pPr>
              <w:pStyle w:val="1089"/>
              <w:pBdr/>
              <w:spacing/>
              <w:ind/>
              <w:rPr/>
            </w:pPr>
            <w:r>
              <w:t xml:space="preserve">Textual, oral, visual, ritual, material, archival or empirical source-bearing object.</w:t>
            </w:r>
            <w:r/>
          </w:p>
        </w:tc>
      </w:tr>
      <w:tr>
        <w:trPr>
          <w:cantSplit/>
        </w:trPr>
        <w:tc>
          <w:tcPr>
            <w:shd w:val="clear" w:color="auto" w:fill="f4f6f7"/>
            <w:tcBorders/>
            <w:tcMar>
              <w:left w:w="55" w:type="dxa"/>
              <w:top w:w="45" w:type="dxa"/>
              <w:right w:w="55" w:type="dxa"/>
              <w:bottom w:w="45" w:type="dxa"/>
            </w:tcMar>
            <w:tcW w:w="1753" w:type="dxa"/>
            <w:vAlign w:val="top"/>
          </w:tcPr>
          <w:p>
            <w:pPr>
              <w:pStyle w:val="1089"/>
              <w:pBdr/>
              <w:spacing/>
              <w:ind/>
              <w:rPr/>
            </w:pPr>
            <w:r>
              <w:t xml:space="preserve">entity:TM</w:t>
            </w:r>
            <w:r/>
          </w:p>
        </w:tc>
        <w:tc>
          <w:tcPr>
            <w:shd w:val="clear" w:color="auto" w:fill="f4f6f7"/>
            <w:tcBorders/>
            <w:tcMar>
              <w:left w:w="55" w:type="dxa"/>
              <w:top w:w="45" w:type="dxa"/>
              <w:right w:w="55" w:type="dxa"/>
              <w:bottom w:w="45" w:type="dxa"/>
            </w:tcMar>
            <w:tcW w:w="3067" w:type="dxa"/>
            <w:vAlign w:val="top"/>
          </w:tcPr>
          <w:p>
            <w:pPr>
              <w:pStyle w:val="1089"/>
              <w:pBdr/>
              <w:spacing/>
              <w:ind/>
              <w:rPr/>
            </w:pPr>
            <w:r>
              <w:t xml:space="preserve">Time span</w:t>
            </w:r>
            <w:r/>
          </w:p>
        </w:tc>
        <w:tc>
          <w:tcPr>
            <w:shd w:val="clear" w:color="auto" w:fill="f4f6f7"/>
            <w:tcBorders/>
            <w:tcMar>
              <w:left w:w="55" w:type="dxa"/>
              <w:top w:w="45" w:type="dxa"/>
              <w:right w:w="55" w:type="dxa"/>
              <w:bottom w:w="45" w:type="dxa"/>
            </w:tcMar>
            <w:tcW w:w="5185" w:type="dxa"/>
            <w:vAlign w:val="top"/>
          </w:tcPr>
          <w:p>
            <w:pPr>
              <w:pStyle w:val="1089"/>
              <w:pBdr/>
              <w:spacing/>
              <w:ind/>
              <w:rPr/>
            </w:pPr>
            <w:r>
              <w:t xml:space="preserve">Dates or period with uncertainty/dispute represented.</w:t>
            </w:r>
            <w:r/>
          </w:p>
        </w:tc>
      </w:tr>
      <w:tr>
        <w:trPr>
          <w:cantSplit/>
        </w:trPr>
        <w:tc>
          <w:tcPr>
            <w:shd w:val="clear" w:color="auto" w:fill="ffffff"/>
            <w:tcBorders/>
            <w:tcMar>
              <w:left w:w="55" w:type="dxa"/>
              <w:top w:w="45" w:type="dxa"/>
              <w:right w:w="55" w:type="dxa"/>
              <w:bottom w:w="45" w:type="dxa"/>
            </w:tcMar>
            <w:tcW w:w="1753" w:type="dxa"/>
            <w:vAlign w:val="top"/>
          </w:tcPr>
          <w:p>
            <w:pPr>
              <w:pStyle w:val="1089"/>
              <w:pBdr/>
              <w:spacing/>
              <w:ind/>
              <w:rPr/>
            </w:pPr>
            <w:r>
              <w:t xml:space="preserve">entity:GE</w:t>
            </w:r>
            <w:r/>
          </w:p>
        </w:tc>
        <w:tc>
          <w:tcPr>
            <w:shd w:val="clear" w:color="auto" w:fill="ffffff"/>
            <w:tcBorders/>
            <w:tcMar>
              <w:left w:w="55" w:type="dxa"/>
              <w:top w:w="45" w:type="dxa"/>
              <w:right w:w="55" w:type="dxa"/>
              <w:bottom w:w="45" w:type="dxa"/>
            </w:tcMar>
            <w:tcW w:w="3067" w:type="dxa"/>
            <w:vAlign w:val="top"/>
          </w:tcPr>
          <w:p>
            <w:pPr>
              <w:pStyle w:val="1089"/>
              <w:pBdr/>
              <w:spacing/>
              <w:ind/>
              <w:rPr/>
            </w:pPr>
            <w:r>
              <w:t xml:space="preserve">Geography</w:t>
            </w:r>
            <w:r/>
          </w:p>
        </w:tc>
        <w:tc>
          <w:tcPr>
            <w:shd w:val="clear" w:color="auto" w:fill="ffffff"/>
            <w:tcBorders/>
            <w:tcMar>
              <w:left w:w="55" w:type="dxa"/>
              <w:top w:w="45" w:type="dxa"/>
              <w:right w:w="55" w:type="dxa"/>
              <w:bottom w:w="45" w:type="dxa"/>
            </w:tcMar>
            <w:tcW w:w="5185" w:type="dxa"/>
            <w:vAlign w:val="top"/>
          </w:tcPr>
          <w:p>
            <w:pPr>
              <w:pStyle w:val="1089"/>
              <w:pBdr/>
              <w:spacing/>
              <w:ind/>
              <w:rPr/>
            </w:pPr>
            <w:r>
              <w:t xml:space="preserve">Places relevant to production, transmission, community or practice.</w:t>
            </w:r>
            <w:r/>
          </w:p>
        </w:tc>
      </w:tr>
    </w:tbl>
    <w:p>
      <w:pPr>
        <w:pStyle w:val="1097"/>
        <w:pBdr/>
        <w:spacing/>
        <w:ind/>
        <w:rPr/>
      </w:pPr>
      <w:r/>
      <w:r/>
    </w:p>
    <w:p>
      <w:pPr>
        <w:pStyle w:val="1086"/>
        <w:keepNext w:val="true"/>
        <w:keepLines w:val="true"/>
        <w:pBdr/>
        <w:spacing/>
        <w:ind/>
        <w:rPr/>
      </w:pPr>
      <w:r/>
      <w:bookmarkStart w:id="109" w:name="tbl_analytical_entities"/>
      <w:r>
        <w:t xml:space="preserve">Governing — Analytical and governance entities</w:t>
      </w:r>
      <w:bookmarkEnd w:id="109"/>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1680"/>
        <w:gridCol w:w="2994"/>
        <w:gridCol w:w="5331"/>
      </w:tblGrid>
      <w:tr>
        <w:trPr>
          <w:cantSplit/>
          <w:tblHeader/>
        </w:trPr>
        <w:tc>
          <w:tcPr>
            <w:shd w:val="clear" w:color="auto" w:fill="1f5d7a"/>
            <w:tcBorders/>
            <w:tcMar>
              <w:left w:w="55" w:type="dxa"/>
              <w:top w:w="45" w:type="dxa"/>
              <w:right w:w="55" w:type="dxa"/>
              <w:bottom w:w="45" w:type="dxa"/>
            </w:tcMar>
            <w:tcW w:w="1680" w:type="dxa"/>
            <w:vAlign w:val="top"/>
          </w:tcPr>
          <w:p>
            <w:pPr>
              <w:pStyle w:val="1090"/>
              <w:pBdr/>
              <w:spacing/>
              <w:ind/>
              <w:rPr/>
            </w:pPr>
            <w:r>
              <w:t xml:space="preserve">Qualified code</w:t>
            </w:r>
            <w:r/>
          </w:p>
        </w:tc>
        <w:tc>
          <w:tcPr>
            <w:shd w:val="clear" w:color="auto" w:fill="1f5d7a"/>
            <w:tcBorders/>
            <w:tcMar>
              <w:left w:w="55" w:type="dxa"/>
              <w:top w:w="45" w:type="dxa"/>
              <w:right w:w="55" w:type="dxa"/>
              <w:bottom w:w="45" w:type="dxa"/>
            </w:tcMar>
            <w:tcW w:w="2994" w:type="dxa"/>
            <w:vAlign w:val="top"/>
          </w:tcPr>
          <w:p>
            <w:pPr>
              <w:pStyle w:val="1090"/>
              <w:pBdr/>
              <w:spacing/>
              <w:ind/>
              <w:rPr/>
            </w:pPr>
            <w:r>
              <w:t xml:space="preserve">Entity</w:t>
            </w:r>
            <w:r/>
          </w:p>
        </w:tc>
        <w:tc>
          <w:tcPr>
            <w:shd w:val="clear" w:color="auto" w:fill="1f5d7a"/>
            <w:tcBorders/>
            <w:tcMar>
              <w:left w:w="55" w:type="dxa"/>
              <w:top w:w="45" w:type="dxa"/>
              <w:right w:w="55" w:type="dxa"/>
              <w:bottom w:w="45" w:type="dxa"/>
            </w:tcMar>
            <w:tcW w:w="5331" w:type="dxa"/>
            <w:vAlign w:val="top"/>
          </w:tcPr>
          <w:p>
            <w:pPr>
              <w:pStyle w:val="1090"/>
              <w:pBdr/>
              <w:spacing/>
              <w:ind/>
              <w:rPr/>
            </w:pPr>
            <w:r>
              <w:t xml:space="preserve">Definition</w:t>
            </w:r>
            <w:r/>
          </w:p>
        </w:tc>
      </w:tr>
      <w:tr>
        <w:trPr>
          <w:cantSplit/>
        </w:trPr>
        <w:tc>
          <w:tcPr>
            <w:shd w:val="clear" w:color="auto" w:fill="ffffff"/>
            <w:tcBorders/>
            <w:tcMar>
              <w:left w:w="55" w:type="dxa"/>
              <w:top w:w="45" w:type="dxa"/>
              <w:right w:w="55" w:type="dxa"/>
              <w:bottom w:w="45" w:type="dxa"/>
            </w:tcMar>
            <w:tcW w:w="1680" w:type="dxa"/>
            <w:vAlign w:val="top"/>
          </w:tcPr>
          <w:p>
            <w:pPr>
              <w:pStyle w:val="1089"/>
              <w:pBdr/>
              <w:spacing/>
              <w:ind/>
              <w:rPr/>
            </w:pPr>
            <w:r>
              <w:t xml:space="preserve">entity:Q</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Analytic question</w:t>
            </w:r>
            <w:r/>
          </w:p>
        </w:tc>
        <w:tc>
          <w:tcPr>
            <w:shd w:val="clear" w:color="auto" w:fill="ffffff"/>
            <w:tcBorders/>
            <w:tcMar>
              <w:left w:w="55" w:type="dxa"/>
              <w:top w:w="45" w:type="dxa"/>
              <w:right w:w="55" w:type="dxa"/>
              <w:bottom w:w="45" w:type="dxa"/>
            </w:tcMar>
            <w:tcW w:w="5331" w:type="dxa"/>
            <w:vAlign w:val="top"/>
          </w:tcPr>
          <w:p>
            <w:pPr>
              <w:pStyle w:val="1089"/>
              <w:pBdr/>
              <w:spacing/>
              <w:ind/>
              <w:rPr/>
            </w:pPr>
            <w:r>
              <w:t xml:space="preserve">Neutral Atlas prompt under a domain.</w:t>
            </w:r>
            <w:r/>
          </w:p>
        </w:tc>
      </w:tr>
      <w:tr>
        <w:trPr>
          <w:cantSplit/>
        </w:trPr>
        <w:tc>
          <w:tcPr>
            <w:shd w:val="clear" w:color="auto" w:fill="f4f6f7"/>
            <w:tcBorders/>
            <w:tcMar>
              <w:left w:w="55" w:type="dxa"/>
              <w:top w:w="45" w:type="dxa"/>
              <w:right w:w="55" w:type="dxa"/>
              <w:bottom w:w="45" w:type="dxa"/>
            </w:tcMar>
            <w:tcW w:w="1680" w:type="dxa"/>
            <w:vAlign w:val="top"/>
          </w:tcPr>
          <w:p>
            <w:pPr>
              <w:pStyle w:val="1089"/>
              <w:pBdr/>
              <w:spacing/>
              <w:ind/>
              <w:rPr/>
            </w:pPr>
            <w:r>
              <w:t xml:space="preserve">entity:QR</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QuestionResponse</w:t>
            </w:r>
            <w:r/>
          </w:p>
        </w:tc>
        <w:tc>
          <w:tcPr>
            <w:shd w:val="clear" w:color="auto" w:fill="f4f6f7"/>
            <w:tcBorders/>
            <w:tcMar>
              <w:left w:w="55" w:type="dxa"/>
              <w:top w:w="45" w:type="dxa"/>
              <w:right w:w="55" w:type="dxa"/>
              <w:bottom w:w="45" w:type="dxa"/>
            </w:tcMar>
            <w:tcW w:w="5331" w:type="dxa"/>
            <w:vAlign w:val="top"/>
          </w:tcPr>
          <w:p>
            <w:pPr>
              <w:pStyle w:val="1089"/>
              <w:pBdr/>
              <w:spacing/>
              <w:ind/>
              <w:rPr/>
            </w:pPr>
            <w:r>
              <w:t xml:space="preserve">Position-by-question intersection containing one primary response state, optional CAT warnings, boundary/variation data, summary and supporting claim links.</w:t>
            </w:r>
            <w:r/>
          </w:p>
        </w:tc>
      </w:tr>
      <w:tr>
        <w:trPr>
          <w:cantSplit/>
        </w:trPr>
        <w:tc>
          <w:tcPr>
            <w:shd w:val="clear" w:color="auto" w:fill="ffffff"/>
            <w:tcBorders/>
            <w:tcMar>
              <w:left w:w="55" w:type="dxa"/>
              <w:top w:w="45" w:type="dxa"/>
              <w:right w:w="55" w:type="dxa"/>
              <w:bottom w:w="45" w:type="dxa"/>
            </w:tcMar>
            <w:tcW w:w="1680" w:type="dxa"/>
            <w:vAlign w:val="top"/>
          </w:tcPr>
          <w:p>
            <w:pPr>
              <w:pStyle w:val="1089"/>
              <w:pBdr/>
              <w:spacing/>
              <w:ind/>
              <w:rPr/>
            </w:pPr>
            <w:r>
              <w:t xml:space="preserve">entity:CW</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CategoryWarning</w:t>
            </w:r>
            <w:r/>
          </w:p>
        </w:tc>
        <w:tc>
          <w:tcPr>
            <w:shd w:val="clear" w:color="auto" w:fill="ffffff"/>
            <w:tcBorders/>
            <w:tcMar>
              <w:left w:w="55" w:type="dxa"/>
              <w:top w:w="45" w:type="dxa"/>
              <w:right w:w="55" w:type="dxa"/>
              <w:bottom w:w="45" w:type="dxa"/>
            </w:tcMar>
            <w:tcW w:w="5331" w:type="dxa"/>
            <w:vAlign w:val="top"/>
          </w:tcPr>
          <w:p>
            <w:pPr>
              <w:pStyle w:val="1089"/>
              <w:pBdr/>
              <w:spacing/>
              <w:ind/>
              <w:rPr/>
            </w:pPr>
            <w:r>
              <w:t xml:space="preserve">Scoped record of category, partitioning or translation distortion and its handling instruction.</w:t>
            </w:r>
            <w:r/>
          </w:p>
        </w:tc>
      </w:tr>
      <w:tr>
        <w:trPr>
          <w:cantSplit/>
        </w:trPr>
        <w:tc>
          <w:tcPr>
            <w:shd w:val="clear" w:color="auto" w:fill="f4f6f7"/>
            <w:tcBorders/>
            <w:tcMar>
              <w:left w:w="55" w:type="dxa"/>
              <w:top w:w="45" w:type="dxa"/>
              <w:right w:w="55" w:type="dxa"/>
              <w:bottom w:w="45" w:type="dxa"/>
            </w:tcMar>
            <w:tcW w:w="1680" w:type="dxa"/>
            <w:vAlign w:val="top"/>
          </w:tcPr>
          <w:p>
            <w:pPr>
              <w:pStyle w:val="1089"/>
              <w:pBdr/>
              <w:spacing/>
              <w:ind/>
              <w:rPr/>
            </w:pPr>
            <w:r>
              <w:t xml:space="preserve">entity:CN</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Concept</w:t>
            </w:r>
            <w:r/>
          </w:p>
        </w:tc>
        <w:tc>
          <w:tcPr>
            <w:shd w:val="clear" w:color="auto" w:fill="f4f6f7"/>
            <w:tcBorders/>
            <w:tcMar>
              <w:left w:w="55" w:type="dxa"/>
              <w:top w:w="45" w:type="dxa"/>
              <w:right w:w="55" w:type="dxa"/>
              <w:bottom w:w="45" w:type="dxa"/>
            </w:tcMar>
            <w:tcW w:w="5331" w:type="dxa"/>
            <w:vAlign w:val="top"/>
          </w:tcPr>
          <w:p>
            <w:pPr>
              <w:pStyle w:val="1089"/>
              <w:pBdr/>
              <w:spacing/>
              <w:ind/>
              <w:rPr/>
            </w:pPr>
            <w:r>
              <w:t xml:space="preserve">Source-sensitive term/concept preserving language, translation candidates, semantic range and historical variation.</w:t>
            </w:r>
            <w:r/>
          </w:p>
        </w:tc>
      </w:tr>
      <w:tr>
        <w:trPr>
          <w:cantSplit/>
        </w:trPr>
        <w:tc>
          <w:tcPr>
            <w:shd w:val="clear" w:color="auto" w:fill="ffffff"/>
            <w:tcBorders/>
            <w:tcMar>
              <w:left w:w="55" w:type="dxa"/>
              <w:top w:w="45" w:type="dxa"/>
              <w:right w:w="55" w:type="dxa"/>
              <w:bottom w:w="45" w:type="dxa"/>
            </w:tcMar>
            <w:tcW w:w="1680" w:type="dxa"/>
            <w:vAlign w:val="top"/>
          </w:tcPr>
          <w:p>
            <w:pPr>
              <w:pStyle w:val="1089"/>
              <w:pBdr/>
              <w:spacing/>
              <w:ind/>
              <w:rPr/>
            </w:pPr>
            <w:r>
              <w:t xml:space="preserve">entity:PO</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Position</w:t>
            </w:r>
            <w:r/>
          </w:p>
        </w:tc>
        <w:tc>
          <w:tcPr>
            <w:shd w:val="clear" w:color="auto" w:fill="ffffff"/>
            <w:tcBorders/>
            <w:tcMar>
              <w:left w:w="55" w:type="dxa"/>
              <w:top w:w="45" w:type="dxa"/>
              <w:right w:w="55" w:type="dxa"/>
              <w:bottom w:w="45" w:type="dxa"/>
            </w:tcMar>
            <w:tcW w:w="5331" w:type="dxa"/>
            <w:vAlign w:val="top"/>
          </w:tcPr>
          <w:p>
            <w:pPr>
              <w:pStyle w:val="1089"/>
              <w:pBdr/>
              <w:spacing/>
              <w:ind/>
              <w:rPr/>
            </w:pPr>
            <w:r>
              <w:t xml:space="preserve">Bounded metaphysical-existential architecture of commitments, refusals, practices and orientations.</w:t>
            </w:r>
            <w:r/>
          </w:p>
        </w:tc>
      </w:tr>
      <w:tr>
        <w:trPr>
          <w:cantSplit/>
        </w:trPr>
        <w:tc>
          <w:tcPr>
            <w:shd w:val="clear" w:color="auto" w:fill="f4f6f7"/>
            <w:tcBorders/>
            <w:tcMar>
              <w:left w:w="55" w:type="dxa"/>
              <w:top w:w="45" w:type="dxa"/>
              <w:right w:w="55" w:type="dxa"/>
              <w:bottom w:w="45" w:type="dxa"/>
            </w:tcMar>
            <w:tcW w:w="1680" w:type="dxa"/>
            <w:vAlign w:val="top"/>
          </w:tcPr>
          <w:p>
            <w:pPr>
              <w:pStyle w:val="1089"/>
              <w:pBdr/>
              <w:spacing/>
              <w:ind/>
              <w:rPr/>
            </w:pPr>
            <w:r>
              <w:t xml:space="preserve">entity:CL</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Claim</w:t>
            </w:r>
            <w:r/>
          </w:p>
        </w:tc>
        <w:tc>
          <w:tcPr>
            <w:shd w:val="clear" w:color="auto" w:fill="f4f6f7"/>
            <w:tcBorders/>
            <w:tcMar>
              <w:left w:w="55" w:type="dxa"/>
              <w:top w:w="45" w:type="dxa"/>
              <w:right w:w="55" w:type="dxa"/>
              <w:bottom w:w="45" w:type="dxa"/>
            </w:tcMar>
            <w:tcW w:w="5331" w:type="dxa"/>
            <w:vAlign w:val="top"/>
          </w:tcPr>
          <w:p>
            <w:pPr>
              <w:pStyle w:val="1089"/>
              <w:pBdr/>
              <w:spacing/>
              <w:ind/>
              <w:rPr/>
            </w:pPr>
            <w:r>
              <w:t xml:space="preserve">Atomic substantive assertion.</w:t>
            </w:r>
            <w:r/>
          </w:p>
        </w:tc>
      </w:tr>
      <w:tr>
        <w:trPr>
          <w:cantSplit/>
        </w:trPr>
        <w:tc>
          <w:tcPr>
            <w:shd w:val="clear" w:color="auto" w:fill="ffffff"/>
            <w:tcBorders/>
            <w:tcMar>
              <w:left w:w="55" w:type="dxa"/>
              <w:top w:w="45" w:type="dxa"/>
              <w:right w:w="55" w:type="dxa"/>
              <w:bottom w:w="45" w:type="dxa"/>
            </w:tcMar>
            <w:tcW w:w="1680" w:type="dxa"/>
            <w:vAlign w:val="top"/>
          </w:tcPr>
          <w:p>
            <w:pPr>
              <w:pStyle w:val="1089"/>
              <w:pBdr/>
              <w:spacing/>
              <w:ind/>
              <w:rPr/>
            </w:pPr>
            <w:r>
              <w:t xml:space="preserve">entity:AR</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Argument</w:t>
            </w:r>
            <w:r/>
          </w:p>
        </w:tc>
        <w:tc>
          <w:tcPr>
            <w:shd w:val="clear" w:color="auto" w:fill="ffffff"/>
            <w:tcBorders/>
            <w:tcMar>
              <w:left w:w="55" w:type="dxa"/>
              <w:top w:w="45" w:type="dxa"/>
              <w:right w:w="55" w:type="dxa"/>
              <w:bottom w:w="45" w:type="dxa"/>
            </w:tcMar>
            <w:tcW w:w="5331" w:type="dxa"/>
            <w:vAlign w:val="top"/>
          </w:tcPr>
          <w:p>
            <w:pPr>
              <w:pStyle w:val="1089"/>
              <w:pBdr/>
              <w:spacing/>
              <w:ind/>
              <w:rPr/>
            </w:pPr>
            <w:r>
              <w:t xml:space="preserve">Reason-giving, objection, inference or rationale.</w:t>
            </w:r>
            <w:r/>
          </w:p>
        </w:tc>
      </w:tr>
      <w:tr>
        <w:trPr>
          <w:cantSplit/>
        </w:trPr>
        <w:tc>
          <w:tcPr>
            <w:shd w:val="clear" w:color="auto" w:fill="f4f6f7"/>
            <w:tcBorders/>
            <w:tcMar>
              <w:left w:w="55" w:type="dxa"/>
              <w:top w:w="45" w:type="dxa"/>
              <w:right w:w="55" w:type="dxa"/>
              <w:bottom w:w="45" w:type="dxa"/>
            </w:tcMar>
            <w:tcW w:w="1680" w:type="dxa"/>
            <w:vAlign w:val="top"/>
          </w:tcPr>
          <w:p>
            <w:pPr>
              <w:pStyle w:val="1089"/>
              <w:pBdr/>
              <w:spacing/>
              <w:ind/>
              <w:rPr/>
            </w:pPr>
            <w:r>
              <w:t xml:space="preserve">entity:PR</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Practice</w:t>
            </w:r>
            <w:r/>
          </w:p>
        </w:tc>
        <w:tc>
          <w:tcPr>
            <w:shd w:val="clear" w:color="auto" w:fill="f4f6f7"/>
            <w:tcBorders/>
            <w:tcMar>
              <w:left w:w="55" w:type="dxa"/>
              <w:top w:w="45" w:type="dxa"/>
              <w:right w:w="55" w:type="dxa"/>
              <w:bottom w:w="45" w:type="dxa"/>
            </w:tcMar>
            <w:tcW w:w="5331" w:type="dxa"/>
            <w:vAlign w:val="top"/>
          </w:tcPr>
          <w:p>
            <w:pPr>
              <w:pStyle w:val="1089"/>
              <w:pBdr/>
              <w:spacing/>
              <w:ind/>
              <w:rPr/>
            </w:pPr>
            <w:r>
              <w:t xml:space="preserve">Practice that enacts, cultivates, tests, expresses or transforms a Position.</w:t>
            </w:r>
            <w:r/>
          </w:p>
        </w:tc>
      </w:tr>
      <w:tr>
        <w:trPr>
          <w:cantSplit/>
        </w:trPr>
        <w:tc>
          <w:tcPr>
            <w:shd w:val="clear" w:color="auto" w:fill="ffffff"/>
            <w:tcBorders/>
            <w:tcMar>
              <w:left w:w="55" w:type="dxa"/>
              <w:top w:w="45" w:type="dxa"/>
              <w:right w:w="55" w:type="dxa"/>
              <w:bottom w:w="45" w:type="dxa"/>
            </w:tcMar>
            <w:tcW w:w="1680" w:type="dxa"/>
            <w:vAlign w:val="top"/>
          </w:tcPr>
          <w:p>
            <w:pPr>
              <w:pStyle w:val="1089"/>
              <w:pBdr/>
              <w:spacing/>
              <w:ind/>
              <w:rPr/>
            </w:pPr>
            <w:r>
              <w:t xml:space="preserve">entity:EX</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ExperienceReport</w:t>
            </w:r>
            <w:r/>
          </w:p>
        </w:tc>
        <w:tc>
          <w:tcPr>
            <w:shd w:val="clear" w:color="auto" w:fill="ffffff"/>
            <w:tcBorders/>
            <w:tcMar>
              <w:left w:w="55" w:type="dxa"/>
              <w:top w:w="45" w:type="dxa"/>
              <w:right w:w="55" w:type="dxa"/>
              <w:bottom w:w="45" w:type="dxa"/>
            </w:tcMar>
            <w:tcW w:w="5331" w:type="dxa"/>
            <w:vAlign w:val="top"/>
          </w:tcPr>
          <w:p>
            <w:pPr>
              <w:pStyle w:val="1089"/>
              <w:pBdr/>
              <w:spacing/>
              <w:ind/>
              <w:rPr/>
            </w:pPr>
            <w:r>
              <w:t xml:space="preserve">First-person or reported phenomenological description kept distinct from metaphysical interpretation.</w:t>
            </w:r>
            <w:r/>
          </w:p>
        </w:tc>
      </w:tr>
      <w:tr>
        <w:trPr>
          <w:cantSplit/>
        </w:trPr>
        <w:tc>
          <w:tcPr>
            <w:shd w:val="clear" w:color="auto" w:fill="f4f6f7"/>
            <w:tcBorders/>
            <w:tcMar>
              <w:left w:w="55" w:type="dxa"/>
              <w:top w:w="45" w:type="dxa"/>
              <w:right w:w="55" w:type="dxa"/>
              <w:bottom w:w="45" w:type="dxa"/>
            </w:tcMar>
            <w:tcW w:w="1680" w:type="dxa"/>
            <w:vAlign w:val="top"/>
          </w:tcPr>
          <w:p>
            <w:pPr>
              <w:pStyle w:val="1089"/>
              <w:pBdr/>
              <w:spacing/>
              <w:ind/>
              <w:rPr/>
            </w:pPr>
            <w:r>
              <w:t xml:space="preserve">entity:IN</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Interpretation</w:t>
            </w:r>
            <w:r/>
          </w:p>
        </w:tc>
        <w:tc>
          <w:tcPr>
            <w:shd w:val="clear" w:color="auto" w:fill="f4f6f7"/>
            <w:tcBorders/>
            <w:tcMar>
              <w:left w:w="55" w:type="dxa"/>
              <w:top w:w="45" w:type="dxa"/>
              <w:right w:w="55" w:type="dxa"/>
              <w:bottom w:w="45" w:type="dxa"/>
            </w:tcMar>
            <w:tcW w:w="5331" w:type="dxa"/>
            <w:vAlign w:val="top"/>
          </w:tcPr>
          <w:p>
            <w:pPr>
              <w:pStyle w:val="1089"/>
              <w:pBdr/>
              <w:spacing/>
              <w:ind/>
              <w:rPr/>
            </w:pPr>
            <w:r>
              <w:t xml:space="preserve">Scholarly, communal, source-community or Atlas interpretation.</w:t>
            </w:r>
            <w:r/>
          </w:p>
        </w:tc>
      </w:tr>
      <w:tr>
        <w:trPr>
          <w:cantSplit/>
        </w:trPr>
        <w:tc>
          <w:tcPr>
            <w:shd w:val="clear" w:color="auto" w:fill="ffffff"/>
            <w:tcBorders/>
            <w:tcMar>
              <w:left w:w="55" w:type="dxa"/>
              <w:top w:w="45" w:type="dxa"/>
              <w:right w:w="55" w:type="dxa"/>
              <w:bottom w:w="45" w:type="dxa"/>
            </w:tcMar>
            <w:tcW w:w="1680" w:type="dxa"/>
            <w:vAlign w:val="top"/>
          </w:tcPr>
          <w:p>
            <w:pPr>
              <w:pStyle w:val="1089"/>
              <w:pBdr/>
              <w:spacing/>
              <w:ind/>
              <w:rPr/>
            </w:pPr>
            <w:r>
              <w:t xml:space="preserve">entity:SR</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SourceRecord</w:t>
            </w:r>
            <w:r/>
          </w:p>
        </w:tc>
        <w:tc>
          <w:tcPr>
            <w:shd w:val="clear" w:color="auto" w:fill="ffffff"/>
            <w:tcBorders/>
            <w:tcMar>
              <w:left w:w="55" w:type="dxa"/>
              <w:top w:w="45" w:type="dxa"/>
              <w:right w:w="55" w:type="dxa"/>
              <w:bottom w:w="45" w:type="dxa"/>
            </w:tcMar>
            <w:tcW w:w="5331" w:type="dxa"/>
            <w:vAlign w:val="top"/>
          </w:tcPr>
          <w:p>
            <w:pPr>
              <w:pStyle w:val="1089"/>
              <w:pBdr/>
              <w:spacing/>
              <w:ind/>
              <w:rPr/>
            </w:pPr>
            <w:r>
              <w:t xml:space="preserve">Bibliographic or material source entity with orthogonal source-proximity, form and authority-relation fields.</w:t>
            </w:r>
            <w:r/>
          </w:p>
        </w:tc>
      </w:tr>
      <w:tr>
        <w:trPr>
          <w:cantSplit/>
        </w:trPr>
        <w:tc>
          <w:tcPr>
            <w:shd w:val="clear" w:color="auto" w:fill="f4f6f7"/>
            <w:tcBorders/>
            <w:tcMar>
              <w:left w:w="55" w:type="dxa"/>
              <w:top w:w="45" w:type="dxa"/>
              <w:right w:w="55" w:type="dxa"/>
              <w:bottom w:w="45" w:type="dxa"/>
            </w:tcMar>
            <w:tcW w:w="1680" w:type="dxa"/>
            <w:vAlign w:val="top"/>
          </w:tcPr>
          <w:p>
            <w:pPr>
              <w:pStyle w:val="1089"/>
              <w:pBdr/>
              <w:spacing/>
              <w:ind/>
              <w:rPr/>
            </w:pPr>
            <w:r>
              <w:t xml:space="preserve">entity:SI</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SourceInstance</w:t>
            </w:r>
            <w:r/>
          </w:p>
        </w:tc>
        <w:tc>
          <w:tcPr>
            <w:shd w:val="clear" w:color="auto" w:fill="f4f6f7"/>
            <w:tcBorders/>
            <w:tcMar>
              <w:left w:w="55" w:type="dxa"/>
              <w:top w:w="45" w:type="dxa"/>
              <w:right w:w="55" w:type="dxa"/>
              <w:bottom w:w="45" w:type="dxa"/>
            </w:tcMar>
            <w:tcW w:w="5331" w:type="dxa"/>
            <w:vAlign w:val="top"/>
          </w:tcPr>
          <w:p>
            <w:pPr>
              <w:pStyle w:val="1089"/>
              <w:pBdr/>
              <w:spacing/>
              <w:ind/>
              <w:rPr/>
            </w:pPr>
            <w:r>
              <w:t xml:space="preserve">Specific edition witness, oral/performed/interview event, recording, dataset or other event-level evidence instance.</w:t>
            </w:r>
            <w:r/>
          </w:p>
        </w:tc>
      </w:tr>
      <w:tr>
        <w:trPr>
          <w:cantSplit/>
        </w:trPr>
        <w:tc>
          <w:tcPr>
            <w:shd w:val="clear" w:color="auto" w:fill="ffffff"/>
            <w:tcBorders/>
            <w:tcMar>
              <w:left w:w="55" w:type="dxa"/>
              <w:top w:w="45" w:type="dxa"/>
              <w:right w:w="55" w:type="dxa"/>
              <w:bottom w:w="45" w:type="dxa"/>
            </w:tcMar>
            <w:tcW w:w="1680" w:type="dxa"/>
            <w:vAlign w:val="top"/>
          </w:tcPr>
          <w:p>
            <w:pPr>
              <w:pStyle w:val="1089"/>
              <w:pBdr/>
              <w:spacing/>
              <w:ind/>
              <w:rPr/>
            </w:pPr>
            <w:r>
              <w:t xml:space="preserve">entity:EV</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EvidenceLink</w:t>
            </w:r>
            <w:r/>
          </w:p>
        </w:tc>
        <w:tc>
          <w:tcPr>
            <w:shd w:val="clear" w:color="auto" w:fill="ffffff"/>
            <w:tcBorders/>
            <w:tcMar>
              <w:left w:w="55" w:type="dxa"/>
              <w:top w:w="45" w:type="dxa"/>
              <w:right w:w="55" w:type="dxa"/>
              <w:bottom w:w="45" w:type="dxa"/>
            </w:tcMar>
            <w:tcW w:w="5331" w:type="dxa"/>
            <w:vAlign w:val="top"/>
          </w:tcPr>
          <w:p>
            <w:pPr>
              <w:pStyle w:val="1089"/>
              <w:pBdr/>
              <w:spacing/>
              <w:ind/>
              <w:rPr/>
            </w:pPr>
            <w:r>
              <w:t xml:space="preserve">Typed claim-specific link to a source/source instance, including evidence role and exact locator.</w:t>
            </w:r>
            <w:r/>
          </w:p>
        </w:tc>
      </w:tr>
      <w:tr>
        <w:trPr>
          <w:cantSplit/>
        </w:trPr>
        <w:tc>
          <w:tcPr>
            <w:shd w:val="clear" w:color="auto" w:fill="f4f6f7"/>
            <w:tcBorders/>
            <w:tcMar>
              <w:left w:w="55" w:type="dxa"/>
              <w:top w:w="45" w:type="dxa"/>
              <w:right w:w="55" w:type="dxa"/>
              <w:bottom w:w="45" w:type="dxa"/>
            </w:tcMar>
            <w:tcW w:w="1680" w:type="dxa"/>
            <w:vAlign w:val="top"/>
          </w:tcPr>
          <w:p>
            <w:pPr>
              <w:pStyle w:val="1089"/>
              <w:pBdr/>
              <w:spacing/>
              <w:ind/>
              <w:rPr/>
            </w:pPr>
            <w:r>
              <w:t xml:space="preserve">entity:CP</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ComparisonEvent</w:t>
            </w:r>
            <w:r/>
          </w:p>
        </w:tc>
        <w:tc>
          <w:tcPr>
            <w:shd w:val="clear" w:color="auto" w:fill="f4f6f7"/>
            <w:tcBorders/>
            <w:tcMar>
              <w:left w:w="55" w:type="dxa"/>
              <w:top w:w="45" w:type="dxa"/>
              <w:right w:w="55" w:type="dxa"/>
              <w:bottom w:w="45" w:type="dxa"/>
            </w:tcMar>
            <w:tcW w:w="5331" w:type="dxa"/>
            <w:vAlign w:val="top"/>
          </w:tcPr>
          <w:p>
            <w:pPr>
              <w:pStyle w:val="1089"/>
              <w:pBdr/>
              <w:spacing/>
              <w:ind/>
              <w:rPr/>
            </w:pPr>
            <w:r>
              <w:t xml:space="preserve">Bounded comparison declaring comparands, claim pairs, tertium, scale, dimension, scope and normalization.</w:t>
            </w:r>
            <w:r/>
          </w:p>
        </w:tc>
      </w:tr>
      <w:tr>
        <w:trPr>
          <w:cantSplit/>
        </w:trPr>
        <w:tc>
          <w:tcPr>
            <w:shd w:val="clear" w:color="auto" w:fill="ffffff"/>
            <w:tcBorders/>
            <w:tcMar>
              <w:left w:w="55" w:type="dxa"/>
              <w:top w:w="45" w:type="dxa"/>
              <w:right w:w="55" w:type="dxa"/>
              <w:bottom w:w="45" w:type="dxa"/>
            </w:tcMar>
            <w:tcW w:w="1680" w:type="dxa"/>
            <w:vAlign w:val="top"/>
          </w:tcPr>
          <w:p>
            <w:pPr>
              <w:pStyle w:val="1089"/>
              <w:pBdr/>
              <w:spacing/>
              <w:ind/>
              <w:rPr/>
            </w:pPr>
            <w:r>
              <w:t xml:space="preserve">entity:CR</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ComparativeRelation</w:t>
            </w:r>
            <w:r/>
          </w:p>
        </w:tc>
        <w:tc>
          <w:tcPr>
            <w:shd w:val="clear" w:color="auto" w:fill="ffffff"/>
            <w:tcBorders/>
            <w:tcMar>
              <w:left w:w="55" w:type="dxa"/>
              <w:top w:w="45" w:type="dxa"/>
              <w:right w:w="55" w:type="dxa"/>
              <w:bottom w:w="45" w:type="dxa"/>
            </w:tcMar>
            <w:tcW w:w="5331" w:type="dxa"/>
            <w:vAlign w:val="top"/>
          </w:tcPr>
          <w:p>
            <w:pPr>
              <w:pStyle w:val="1089"/>
              <w:pBdr/>
              <w:spacing/>
              <w:ind/>
              <w:rPr/>
            </w:pPr>
            <w:r>
              <w:t xml:space="preserve">Exactly one typed relation inside one ComparisonEvent; relation sets are represented by multiple records.</w:t>
            </w:r>
            <w:r/>
          </w:p>
        </w:tc>
      </w:tr>
      <w:tr>
        <w:trPr>
          <w:cantSplit/>
        </w:trPr>
        <w:tc>
          <w:tcPr>
            <w:shd w:val="clear" w:color="auto" w:fill="f4f6f7"/>
            <w:tcBorders/>
            <w:tcMar>
              <w:left w:w="55" w:type="dxa"/>
              <w:top w:w="45" w:type="dxa"/>
              <w:right w:w="55" w:type="dxa"/>
              <w:bottom w:w="45" w:type="dxa"/>
            </w:tcMar>
            <w:tcW w:w="1680" w:type="dxa"/>
            <w:vAlign w:val="top"/>
          </w:tcPr>
          <w:p>
            <w:pPr>
              <w:pStyle w:val="1089"/>
              <w:pBdr/>
              <w:spacing/>
              <w:ind/>
              <w:rPr/>
            </w:pPr>
            <w:r>
              <w:t xml:space="preserve">entity:SY</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SynthesisRecord</w:t>
            </w:r>
            <w:r/>
          </w:p>
        </w:tc>
        <w:tc>
          <w:tcPr>
            <w:shd w:val="clear" w:color="auto" w:fill="f4f6f7"/>
            <w:tcBorders/>
            <w:tcMar>
              <w:left w:w="55" w:type="dxa"/>
              <w:top w:w="45" w:type="dxa"/>
              <w:right w:w="55" w:type="dxa"/>
              <w:bottom w:w="45" w:type="dxa"/>
            </w:tcMar>
            <w:tcW w:w="5331" w:type="dxa"/>
            <w:vAlign w:val="top"/>
          </w:tcPr>
          <w:p>
            <w:pPr>
              <w:pStyle w:val="1089"/>
              <w:pBdr/>
              <w:spacing/>
              <w:ind/>
              <w:rPr/>
            </w:pPr>
            <w:r>
              <w:t xml:space="preserve">Pattern, fault-line or morphology record with independent level and maturity.</w:t>
            </w:r>
            <w:r/>
          </w:p>
        </w:tc>
      </w:tr>
      <w:tr>
        <w:trPr>
          <w:cantSplit/>
        </w:trPr>
        <w:tc>
          <w:tcPr>
            <w:shd w:val="clear" w:color="auto" w:fill="ffffff"/>
            <w:tcBorders/>
            <w:tcMar>
              <w:left w:w="55" w:type="dxa"/>
              <w:top w:w="45" w:type="dxa"/>
              <w:right w:w="55" w:type="dxa"/>
              <w:bottom w:w="45" w:type="dxa"/>
            </w:tcMar>
            <w:tcW w:w="1680" w:type="dxa"/>
            <w:vAlign w:val="top"/>
          </w:tcPr>
          <w:p>
            <w:pPr>
              <w:pStyle w:val="1089"/>
              <w:pBdr/>
              <w:spacing/>
              <w:ind/>
              <w:rPr/>
            </w:pPr>
            <w:r>
              <w:t xml:space="preserve">entity:PC</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PublicationClaim</w:t>
            </w:r>
            <w:r/>
          </w:p>
        </w:tc>
        <w:tc>
          <w:tcPr>
            <w:shd w:val="clear" w:color="auto" w:fill="ffffff"/>
            <w:tcBorders/>
            <w:tcMar>
              <w:left w:w="55" w:type="dxa"/>
              <w:top w:w="45" w:type="dxa"/>
              <w:right w:w="55" w:type="dxa"/>
              <w:bottom w:w="45" w:type="dxa"/>
            </w:tcMar>
            <w:tcW w:w="5331" w:type="dxa"/>
            <w:vAlign w:val="top"/>
          </w:tcPr>
          <w:p>
            <w:pPr>
              <w:pStyle w:val="1089"/>
              <w:pBdr/>
              <w:spacing/>
              <w:ind/>
              <w:rPr/>
            </w:pPr>
            <w:r>
              <w:t xml:space="preserve">Thesis-bearing publication attribution, comparison, synthesis, limitation or editorial-decision claim linked to canonical premises.</w:t>
            </w:r>
            <w:r/>
          </w:p>
        </w:tc>
      </w:tr>
      <w:tr>
        <w:trPr>
          <w:cantSplit/>
        </w:trPr>
        <w:tc>
          <w:tcPr>
            <w:shd w:val="clear" w:color="auto" w:fill="f4f6f7"/>
            <w:tcBorders/>
            <w:tcMar>
              <w:left w:w="55" w:type="dxa"/>
              <w:top w:w="45" w:type="dxa"/>
              <w:right w:w="55" w:type="dxa"/>
              <w:bottom w:w="45" w:type="dxa"/>
            </w:tcMar>
            <w:tcW w:w="1680" w:type="dxa"/>
            <w:vAlign w:val="top"/>
          </w:tcPr>
          <w:p>
            <w:pPr>
              <w:pStyle w:val="1089"/>
              <w:pBdr/>
              <w:spacing/>
              <w:ind/>
              <w:rPr/>
            </w:pPr>
            <w:r>
              <w:t xml:space="preserve">entity:RV</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ReviewRelease</w:t>
            </w:r>
            <w:r/>
          </w:p>
        </w:tc>
        <w:tc>
          <w:tcPr>
            <w:shd w:val="clear" w:color="auto" w:fill="f4f6f7"/>
            <w:tcBorders/>
            <w:tcMar>
              <w:left w:w="55" w:type="dxa"/>
              <w:top w:w="45" w:type="dxa"/>
              <w:right w:w="55" w:type="dxa"/>
              <w:bottom w:w="45" w:type="dxa"/>
            </w:tcMar>
            <w:tcW w:w="5331" w:type="dxa"/>
            <w:vAlign w:val="top"/>
          </w:tcPr>
          <w:p>
            <w:pPr>
              <w:pStyle w:val="1089"/>
              <w:pBdr/>
              <w:spacing/>
              <w:ind/>
              <w:rPr/>
            </w:pPr>
            <w:r>
              <w:t xml:space="preserve">Review scope, reviewer, unresolved issues, criterion links, version and any authorization decision.</w:t>
            </w:r>
            <w:r/>
          </w:p>
        </w:tc>
      </w:tr>
      <w:tr>
        <w:trPr>
          <w:cantSplit/>
        </w:trPr>
        <w:tc>
          <w:tcPr>
            <w:shd w:val="clear" w:color="auto" w:fill="ffffff"/>
            <w:tcBorders/>
            <w:tcMar>
              <w:left w:w="55" w:type="dxa"/>
              <w:top w:w="45" w:type="dxa"/>
              <w:right w:w="55" w:type="dxa"/>
              <w:bottom w:w="45" w:type="dxa"/>
            </w:tcMar>
            <w:tcW w:w="1680" w:type="dxa"/>
            <w:vAlign w:val="top"/>
          </w:tcPr>
          <w:p>
            <w:pPr>
              <w:pStyle w:val="1089"/>
              <w:pBdr/>
              <w:spacing/>
              <w:ind/>
              <w:rPr/>
            </w:pPr>
            <w:r>
              <w:t xml:space="preserve">entity:CT</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CriterionResult</w:t>
            </w:r>
            <w:r/>
          </w:p>
        </w:tc>
        <w:tc>
          <w:tcPr>
            <w:shd w:val="clear" w:color="auto" w:fill="ffffff"/>
            <w:tcBorders/>
            <w:tcMar>
              <w:left w:w="55" w:type="dxa"/>
              <w:top w:w="45" w:type="dxa"/>
              <w:right w:w="55" w:type="dxa"/>
              <w:bottom w:w="45" w:type="dxa"/>
            </w:tcMar>
            <w:tcW w:w="5331" w:type="dxa"/>
            <w:vAlign w:val="top"/>
          </w:tcPr>
          <w:p>
            <w:pPr>
              <w:pStyle w:val="1089"/>
              <w:pBdr/>
              <w:spacing/>
              <w:ind/>
              <w:rPr/>
            </w:pPr>
            <w:r>
              <w:t xml:space="preserve">One R1-R9 or G1-G8 criterion outcome with evidence, role, date and rationale.</w:t>
            </w:r>
            <w:r/>
          </w:p>
        </w:tc>
      </w:tr>
      <w:tr>
        <w:trPr>
          <w:cantSplit/>
        </w:trPr>
        <w:tc>
          <w:tcPr>
            <w:shd w:val="clear" w:color="auto" w:fill="f4f6f7"/>
            <w:tcBorders/>
            <w:tcMar>
              <w:left w:w="55" w:type="dxa"/>
              <w:top w:w="45" w:type="dxa"/>
              <w:right w:w="55" w:type="dxa"/>
              <w:bottom w:w="45" w:type="dxa"/>
            </w:tcMar>
            <w:tcW w:w="1680" w:type="dxa"/>
            <w:vAlign w:val="top"/>
          </w:tcPr>
          <w:p>
            <w:pPr>
              <w:pStyle w:val="1089"/>
              <w:pBdr/>
              <w:spacing/>
              <w:ind/>
              <w:rPr/>
            </w:pPr>
            <w:r>
              <w:t xml:space="preserve">entity:GR</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GateRun</w:t>
            </w:r>
            <w:r/>
          </w:p>
        </w:tc>
        <w:tc>
          <w:tcPr>
            <w:shd w:val="clear" w:color="auto" w:fill="f4f6f7"/>
            <w:tcBorders/>
            <w:tcMar>
              <w:left w:w="55" w:type="dxa"/>
              <w:top w:w="45" w:type="dxa"/>
              <w:right w:w="55" w:type="dxa"/>
              <w:bottom w:w="45" w:type="dxa"/>
            </w:tcMar>
            <w:tcW w:w="5331" w:type="dxa"/>
            <w:vAlign w:val="top"/>
          </w:tcPr>
          <w:p>
            <w:pPr>
              <w:pStyle w:val="1089"/>
              <w:pBdr/>
              <w:spacing/>
              <w:ind/>
              <w:rPr/>
            </w:pPr>
            <w:r>
              <w:t xml:space="preserve">One gate verdict and independent evidence-maturity record for a dated run.</w:t>
            </w:r>
            <w:r/>
          </w:p>
        </w:tc>
      </w:tr>
      <w:tr>
        <w:trPr>
          <w:cantSplit/>
        </w:trPr>
        <w:tc>
          <w:tcPr>
            <w:shd w:val="clear" w:color="auto" w:fill="ffffff"/>
            <w:tcBorders/>
            <w:tcMar>
              <w:left w:w="55" w:type="dxa"/>
              <w:top w:w="45" w:type="dxa"/>
              <w:right w:w="55" w:type="dxa"/>
              <w:bottom w:w="45" w:type="dxa"/>
            </w:tcMar>
            <w:tcW w:w="1680" w:type="dxa"/>
            <w:vAlign w:val="top"/>
          </w:tcPr>
          <w:p>
            <w:pPr>
              <w:pStyle w:val="1089"/>
              <w:pBdr/>
              <w:spacing/>
              <w:ind/>
              <w:rPr/>
            </w:pPr>
            <w:r>
              <w:t xml:space="preserve">entity:RRD</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RepresentationReadiness</w:t>
            </w:r>
            <w:r/>
          </w:p>
        </w:tc>
        <w:tc>
          <w:tcPr>
            <w:shd w:val="clear" w:color="auto" w:fill="ffffff"/>
            <w:tcBorders/>
            <w:tcMar>
              <w:left w:w="55" w:type="dxa"/>
              <w:top w:w="45" w:type="dxa"/>
              <w:right w:w="55" w:type="dxa"/>
              <w:bottom w:w="45" w:type="dxa"/>
            </w:tcMar>
            <w:tcW w:w="5331" w:type="dxa"/>
            <w:vAlign w:val="top"/>
          </w:tcPr>
          <w:p>
            <w:pPr>
              <w:pStyle w:val="1089"/>
              <w:pBdr/>
              <w:spacing/>
              <w:ind/>
              <w:rPr/>
            </w:pPr>
            <w:r>
              <w:t xml:space="preserve">Independent source-grounding, specialist-review, community-governance, rights/access and release-eligibility fields.</w:t>
            </w:r>
            <w:r/>
          </w:p>
        </w:tc>
      </w:tr>
      <w:tr>
        <w:trPr>
          <w:cantSplit/>
        </w:trPr>
        <w:tc>
          <w:tcPr>
            <w:shd w:val="clear" w:color="auto" w:fill="f4f6f7"/>
            <w:tcBorders/>
            <w:tcMar>
              <w:left w:w="55" w:type="dxa"/>
              <w:top w:w="45" w:type="dxa"/>
              <w:right w:w="55" w:type="dxa"/>
              <w:bottom w:w="45" w:type="dxa"/>
            </w:tcMar>
            <w:tcW w:w="1680" w:type="dxa"/>
            <w:vAlign w:val="top"/>
          </w:tcPr>
          <w:p>
            <w:pPr>
              <w:pStyle w:val="1089"/>
              <w:pBdr/>
              <w:spacing/>
              <w:ind/>
              <w:rPr/>
            </w:pPr>
            <w:r>
              <w:t xml:space="preserve">entity:AI</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AIProvenance</w:t>
            </w:r>
            <w:r/>
          </w:p>
        </w:tc>
        <w:tc>
          <w:tcPr>
            <w:shd w:val="clear" w:color="auto" w:fill="f4f6f7"/>
            <w:tcBorders/>
            <w:tcMar>
              <w:left w:w="55" w:type="dxa"/>
              <w:top w:w="45" w:type="dxa"/>
              <w:right w:w="55" w:type="dxa"/>
              <w:bottom w:w="45" w:type="dxa"/>
            </w:tcMar>
            <w:tcW w:w="5331" w:type="dxa"/>
            <w:vAlign w:val="top"/>
          </w:tcPr>
          <w:p>
            <w:pPr>
              <w:pStyle w:val="1089"/>
              <w:pBdr/>
              <w:spacing/>
              <w:ind/>
              <w:rPr/>
            </w:pPr>
            <w:r>
              <w:t xml:space="preserve">Record of permitted AI assistance and independent human verification at object/field level.</w:t>
            </w:r>
            <w:r/>
          </w:p>
        </w:tc>
      </w:tr>
    </w:tbl>
    <w:p>
      <w:pPr>
        <w:pStyle w:val="1097"/>
        <w:pBdr/>
        <w:spacing/>
        <w:ind/>
        <w:rPr/>
      </w:pPr>
      <w:r/>
      <w:r/>
    </w:p>
    <w:p>
      <w:pPr>
        <w:pStyle w:val="1086"/>
        <w:keepNext w:val="true"/>
        <w:keepLines w:val="true"/>
        <w:pBdr/>
        <w:spacing/>
        <w:ind/>
        <w:rPr/>
      </w:pPr>
      <w:r/>
      <w:bookmarkStart w:id="110" w:name="tbl_graph_relations"/>
      <w:r>
        <w:t xml:space="preserve">Governing — Graph relations</w:t>
      </w:r>
      <w:bookmarkEnd w:id="110"/>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3871"/>
        <w:gridCol w:w="6135"/>
      </w:tblGrid>
      <w:tr>
        <w:trPr>
          <w:cantSplit/>
          <w:tblHeader/>
        </w:trPr>
        <w:tc>
          <w:tcPr>
            <w:shd w:val="clear" w:color="auto" w:fill="1f5d7a"/>
            <w:tcBorders/>
            <w:tcMar>
              <w:left w:w="55" w:type="dxa"/>
              <w:top w:w="45" w:type="dxa"/>
              <w:right w:w="55" w:type="dxa"/>
              <w:bottom w:w="45" w:type="dxa"/>
            </w:tcMar>
            <w:tcW w:w="3871" w:type="dxa"/>
            <w:vAlign w:val="top"/>
          </w:tcPr>
          <w:p>
            <w:pPr>
              <w:pStyle w:val="1090"/>
              <w:pBdr/>
              <w:spacing/>
              <w:ind/>
              <w:rPr/>
            </w:pPr>
            <w:r>
              <w:t xml:space="preserve">Relation</w:t>
            </w:r>
            <w:r/>
          </w:p>
        </w:tc>
        <w:tc>
          <w:tcPr>
            <w:shd w:val="clear" w:color="auto" w:fill="1f5d7a"/>
            <w:tcBorders/>
            <w:tcMar>
              <w:left w:w="55" w:type="dxa"/>
              <w:top w:w="45" w:type="dxa"/>
              <w:right w:w="55" w:type="dxa"/>
              <w:bottom w:w="45" w:type="dxa"/>
            </w:tcMar>
            <w:tcW w:w="6135" w:type="dxa"/>
            <w:vAlign w:val="top"/>
          </w:tcPr>
          <w:p>
            <w:pPr>
              <w:pStyle w:val="1090"/>
              <w:pBdr/>
              <w:spacing/>
              <w:ind/>
              <w:rPr/>
            </w:pPr>
            <w:r>
              <w:t xml:space="preserve">Meaning</w:t>
            </w:r>
            <w:r/>
          </w:p>
        </w:tc>
      </w:tr>
      <w:tr>
        <w:trPr>
          <w:cantSplit/>
        </w:trPr>
        <w:tc>
          <w:tcPr>
            <w:shd w:val="clear" w:color="auto" w:fill="ffffff"/>
            <w:tcBorders/>
            <w:tcMar>
              <w:left w:w="55" w:type="dxa"/>
              <w:top w:w="45" w:type="dxa"/>
              <w:right w:w="55" w:type="dxa"/>
              <w:bottom w:w="45" w:type="dxa"/>
            </w:tcMar>
            <w:tcW w:w="3871" w:type="dxa"/>
            <w:vAlign w:val="top"/>
          </w:tcPr>
          <w:p>
            <w:pPr>
              <w:pStyle w:val="1089"/>
              <w:pBdr/>
              <w:spacing/>
              <w:ind/>
              <w:rPr/>
            </w:pPr>
            <w:r>
              <w:t xml:space="preserve">is_context_for</w:t>
            </w:r>
            <w:r/>
          </w:p>
        </w:tc>
        <w:tc>
          <w:tcPr>
            <w:shd w:val="clear" w:color="auto" w:fill="ffffff"/>
            <w:tcBorders/>
            <w:tcMar>
              <w:left w:w="55" w:type="dxa"/>
              <w:top w:w="45" w:type="dxa"/>
              <w:right w:w="55" w:type="dxa"/>
              <w:bottom w:w="45" w:type="dxa"/>
            </w:tcMar>
            <w:tcW w:w="6135" w:type="dxa"/>
            <w:vAlign w:val="top"/>
          </w:tcPr>
          <w:p>
            <w:pPr>
              <w:pStyle w:val="1089"/>
              <w:pBdr/>
              <w:spacing/>
              <w:ind/>
              <w:rPr/>
            </w:pPr>
            <w:r>
              <w:t xml:space="preserve">Context entity situates an analytical entity.</w:t>
            </w:r>
            <w:r/>
          </w:p>
        </w:tc>
      </w:tr>
      <w:tr>
        <w:trPr>
          <w:cantSplit/>
        </w:trPr>
        <w:tc>
          <w:tcPr>
            <w:shd w:val="clear" w:color="auto" w:fill="f4f6f7"/>
            <w:tcBorders/>
            <w:tcMar>
              <w:left w:w="55" w:type="dxa"/>
              <w:top w:w="45" w:type="dxa"/>
              <w:right w:w="55" w:type="dxa"/>
              <w:bottom w:w="45" w:type="dxa"/>
            </w:tcMar>
            <w:tcW w:w="3871" w:type="dxa"/>
            <w:vAlign w:val="top"/>
          </w:tcPr>
          <w:p>
            <w:pPr>
              <w:pStyle w:val="1089"/>
              <w:pBdr/>
              <w:spacing/>
              <w:ind/>
              <w:rPr/>
            </w:pPr>
            <w:r>
              <w:t xml:space="preserve">expressed_in</w:t>
            </w:r>
            <w:r/>
          </w:p>
        </w:tc>
        <w:tc>
          <w:tcPr>
            <w:shd w:val="clear" w:color="auto" w:fill="f4f6f7"/>
            <w:tcBorders/>
            <w:tcMar>
              <w:left w:w="55" w:type="dxa"/>
              <w:top w:w="45" w:type="dxa"/>
              <w:right w:w="55" w:type="dxa"/>
              <w:bottom w:w="45" w:type="dxa"/>
            </w:tcMar>
            <w:tcW w:w="6135" w:type="dxa"/>
            <w:vAlign w:val="top"/>
          </w:tcPr>
          <w:p>
            <w:pPr>
              <w:pStyle w:val="1089"/>
              <w:pBdr/>
              <w:spacing/>
              <w:ind/>
              <w:rPr/>
            </w:pPr>
            <w:r>
              <w:t xml:space="preserve">Position/claim appears in a source or source instance.</w:t>
            </w:r>
            <w:r/>
          </w:p>
        </w:tc>
      </w:tr>
      <w:tr>
        <w:trPr>
          <w:cantSplit/>
        </w:trPr>
        <w:tc>
          <w:tcPr>
            <w:shd w:val="clear" w:color="auto" w:fill="ffffff"/>
            <w:tcBorders/>
            <w:tcMar>
              <w:left w:w="55" w:type="dxa"/>
              <w:top w:w="45" w:type="dxa"/>
              <w:right w:w="55" w:type="dxa"/>
              <w:bottom w:w="45" w:type="dxa"/>
            </w:tcMar>
            <w:tcW w:w="3871" w:type="dxa"/>
            <w:vAlign w:val="top"/>
          </w:tcPr>
          <w:p>
            <w:pPr>
              <w:pStyle w:val="1089"/>
              <w:pBdr/>
              <w:spacing/>
              <w:ind/>
              <w:rPr/>
            </w:pPr>
            <w:r>
              <w:t xml:space="preserve">held_by / practiced_by</w:t>
            </w:r>
            <w:r/>
          </w:p>
        </w:tc>
        <w:tc>
          <w:tcPr>
            <w:shd w:val="clear" w:color="auto" w:fill="ffffff"/>
            <w:tcBorders/>
            <w:tcMar>
              <w:left w:w="55" w:type="dxa"/>
              <w:top w:w="45" w:type="dxa"/>
              <w:right w:w="55" w:type="dxa"/>
              <w:bottom w:w="45" w:type="dxa"/>
            </w:tcMar>
            <w:tcW w:w="6135" w:type="dxa"/>
            <w:vAlign w:val="top"/>
          </w:tcPr>
          <w:p>
            <w:pPr>
              <w:pStyle w:val="1089"/>
              <w:pBdr/>
              <w:spacing/>
              <w:ind/>
              <w:rPr/>
            </w:pPr>
            <w:r>
              <w:t xml:space="preserve">Position/practice attributable to agent/community.</w:t>
            </w:r>
            <w:r/>
          </w:p>
        </w:tc>
      </w:tr>
      <w:tr>
        <w:trPr>
          <w:cantSplit/>
        </w:trPr>
        <w:tc>
          <w:tcPr>
            <w:shd w:val="clear" w:color="auto" w:fill="f4f6f7"/>
            <w:tcBorders/>
            <w:tcMar>
              <w:left w:w="55" w:type="dxa"/>
              <w:top w:w="45" w:type="dxa"/>
              <w:right w:w="55" w:type="dxa"/>
              <w:bottom w:w="45" w:type="dxa"/>
            </w:tcMar>
            <w:tcW w:w="3871" w:type="dxa"/>
            <w:vAlign w:val="top"/>
          </w:tcPr>
          <w:p>
            <w:pPr>
              <w:pStyle w:val="1089"/>
              <w:pBdr/>
              <w:spacing/>
              <w:ind/>
              <w:rPr/>
            </w:pPr>
            <w:r>
              <w:t xml:space="preserve">develops_from</w:t>
            </w:r>
            <w:r/>
          </w:p>
        </w:tc>
        <w:tc>
          <w:tcPr>
            <w:shd w:val="clear" w:color="auto" w:fill="f4f6f7"/>
            <w:tcBorders/>
            <w:tcMar>
              <w:left w:w="55" w:type="dxa"/>
              <w:top w:w="45" w:type="dxa"/>
              <w:right w:w="55" w:type="dxa"/>
              <w:bottom w:w="45" w:type="dxa"/>
            </w:tcMar>
            <w:tcW w:w="6135" w:type="dxa"/>
            <w:vAlign w:val="top"/>
          </w:tcPr>
          <w:p>
            <w:pPr>
              <w:pStyle w:val="1089"/>
              <w:pBdr/>
              <w:spacing/>
              <w:ind/>
              <w:rPr/>
            </w:pPr>
            <w:r>
              <w:t xml:space="preserve">Historical or conceptual development relation.</w:t>
            </w:r>
            <w:r/>
          </w:p>
        </w:tc>
      </w:tr>
      <w:tr>
        <w:trPr>
          <w:cantSplit/>
        </w:trPr>
        <w:tc>
          <w:tcPr>
            <w:shd w:val="clear" w:color="auto" w:fill="ffffff"/>
            <w:tcBorders/>
            <w:tcMar>
              <w:left w:w="55" w:type="dxa"/>
              <w:top w:w="45" w:type="dxa"/>
              <w:right w:w="55" w:type="dxa"/>
              <w:bottom w:w="45" w:type="dxa"/>
            </w:tcMar>
            <w:tcW w:w="3871" w:type="dxa"/>
            <w:vAlign w:val="top"/>
          </w:tcPr>
          <w:p>
            <w:pPr>
              <w:pStyle w:val="1089"/>
              <w:pBdr/>
              <w:spacing/>
              <w:ind/>
              <w:rPr/>
            </w:pPr>
            <w:r>
              <w:t xml:space="preserve">responds_to / rejects</w:t>
            </w:r>
            <w:r/>
          </w:p>
        </w:tc>
        <w:tc>
          <w:tcPr>
            <w:shd w:val="clear" w:color="auto" w:fill="ffffff"/>
            <w:tcBorders/>
            <w:tcMar>
              <w:left w:w="55" w:type="dxa"/>
              <w:top w:w="45" w:type="dxa"/>
              <w:right w:w="55" w:type="dxa"/>
              <w:bottom w:w="45" w:type="dxa"/>
            </w:tcMar>
            <w:tcW w:w="6135" w:type="dxa"/>
            <w:vAlign w:val="top"/>
          </w:tcPr>
          <w:p>
            <w:pPr>
              <w:pStyle w:val="1089"/>
              <w:pBdr/>
              <w:spacing/>
              <w:ind/>
              <w:rPr/>
            </w:pPr>
            <w:r>
              <w:t xml:space="preserve">Polemical or argumentative relation.</w:t>
            </w:r>
            <w:r/>
          </w:p>
        </w:tc>
      </w:tr>
      <w:tr>
        <w:trPr>
          <w:cantSplit/>
        </w:trPr>
        <w:tc>
          <w:tcPr>
            <w:shd w:val="clear" w:color="auto" w:fill="f4f6f7"/>
            <w:tcBorders/>
            <w:tcMar>
              <w:left w:w="55" w:type="dxa"/>
              <w:top w:w="45" w:type="dxa"/>
              <w:right w:w="55" w:type="dxa"/>
              <w:bottom w:w="45" w:type="dxa"/>
            </w:tcMar>
            <w:tcW w:w="3871" w:type="dxa"/>
            <w:vAlign w:val="top"/>
          </w:tcPr>
          <w:p>
            <w:pPr>
              <w:pStyle w:val="1089"/>
              <w:pBdr/>
              <w:spacing/>
              <w:ind/>
              <w:rPr/>
            </w:pPr>
            <w:r>
              <w:t xml:space="preserve">influenced_by</w:t>
            </w:r>
            <w:r/>
          </w:p>
        </w:tc>
        <w:tc>
          <w:tcPr>
            <w:shd w:val="clear" w:color="auto" w:fill="f4f6f7"/>
            <w:tcBorders/>
            <w:tcMar>
              <w:left w:w="55" w:type="dxa"/>
              <w:top w:w="45" w:type="dxa"/>
              <w:right w:w="55" w:type="dxa"/>
              <w:bottom w:w="45" w:type="dxa"/>
            </w:tcMar>
            <w:tcW w:w="6135" w:type="dxa"/>
            <w:vAlign w:val="top"/>
          </w:tcPr>
          <w:p>
            <w:pPr>
              <w:pStyle w:val="1089"/>
              <w:pBdr/>
              <w:spacing/>
              <w:ind/>
              <w:rPr/>
            </w:pPr>
            <w:r>
              <w:t xml:space="preserve">Genealogical influence with evidence.</w:t>
            </w:r>
            <w:r/>
          </w:p>
        </w:tc>
      </w:tr>
      <w:tr>
        <w:trPr>
          <w:cantSplit/>
        </w:trPr>
        <w:tc>
          <w:tcPr>
            <w:shd w:val="clear" w:color="auto" w:fill="ffffff"/>
            <w:tcBorders/>
            <w:tcMar>
              <w:left w:w="55" w:type="dxa"/>
              <w:top w:w="45" w:type="dxa"/>
              <w:right w:w="55" w:type="dxa"/>
              <w:bottom w:w="45" w:type="dxa"/>
            </w:tcMar>
            <w:tcW w:w="3871" w:type="dxa"/>
            <w:vAlign w:val="top"/>
          </w:tcPr>
          <w:p>
            <w:pPr>
              <w:pStyle w:val="1089"/>
              <w:pBdr/>
              <w:spacing/>
              <w:ind/>
              <w:rPr/>
            </w:pPr>
            <w:r>
              <w:t xml:space="preserve">contested_by</w:t>
            </w:r>
            <w:r/>
          </w:p>
        </w:tc>
        <w:tc>
          <w:tcPr>
            <w:shd w:val="clear" w:color="auto" w:fill="ffffff"/>
            <w:tcBorders/>
            <w:tcMar>
              <w:left w:w="55" w:type="dxa"/>
              <w:top w:w="45" w:type="dxa"/>
              <w:right w:w="55" w:type="dxa"/>
              <w:bottom w:w="45" w:type="dxa"/>
            </w:tcMar>
            <w:tcW w:w="6135" w:type="dxa"/>
            <w:vAlign w:val="top"/>
          </w:tcPr>
          <w:p>
            <w:pPr>
              <w:pStyle w:val="1089"/>
              <w:pBdr/>
              <w:spacing/>
              <w:ind/>
              <w:rPr/>
            </w:pPr>
            <w:r>
              <w:t xml:space="preserve">Internal/external disagreement.</w:t>
            </w:r>
            <w:r/>
          </w:p>
        </w:tc>
      </w:tr>
      <w:tr>
        <w:trPr>
          <w:cantSplit/>
        </w:trPr>
        <w:tc>
          <w:tcPr>
            <w:shd w:val="clear" w:color="auto" w:fill="f4f6f7"/>
            <w:tcBorders/>
            <w:tcMar>
              <w:left w:w="55" w:type="dxa"/>
              <w:top w:w="45" w:type="dxa"/>
              <w:right w:w="55" w:type="dxa"/>
              <w:bottom w:w="45" w:type="dxa"/>
            </w:tcMar>
            <w:tcW w:w="3871" w:type="dxa"/>
            <w:vAlign w:val="top"/>
          </w:tcPr>
          <w:p>
            <w:pPr>
              <w:pStyle w:val="1089"/>
              <w:pBdr/>
              <w:spacing/>
              <w:ind/>
              <w:rPr/>
            </w:pPr>
            <w:r>
              <w:t xml:space="preserve">interpreted_as</w:t>
            </w:r>
            <w:r/>
          </w:p>
        </w:tc>
        <w:tc>
          <w:tcPr>
            <w:shd w:val="clear" w:color="auto" w:fill="f4f6f7"/>
            <w:tcBorders/>
            <w:tcMar>
              <w:left w:w="55" w:type="dxa"/>
              <w:top w:w="45" w:type="dxa"/>
              <w:right w:w="55" w:type="dxa"/>
              <w:bottom w:w="45" w:type="dxa"/>
            </w:tcMar>
            <w:tcW w:w="6135" w:type="dxa"/>
            <w:vAlign w:val="top"/>
          </w:tcPr>
          <w:p>
            <w:pPr>
              <w:pStyle w:val="1089"/>
              <w:pBdr/>
              <w:spacing/>
              <w:ind/>
              <w:rPr/>
            </w:pPr>
            <w:r>
              <w:t xml:space="preserve">Links source evidence to interpretation.</w:t>
            </w:r>
            <w:r/>
          </w:p>
        </w:tc>
      </w:tr>
      <w:tr>
        <w:trPr>
          <w:cantSplit/>
        </w:trPr>
        <w:tc>
          <w:tcPr>
            <w:shd w:val="clear" w:color="auto" w:fill="ffffff"/>
            <w:tcBorders/>
            <w:tcMar>
              <w:left w:w="55" w:type="dxa"/>
              <w:top w:w="45" w:type="dxa"/>
              <w:right w:w="55" w:type="dxa"/>
              <w:bottom w:w="45" w:type="dxa"/>
            </w:tcMar>
            <w:tcW w:w="3871" w:type="dxa"/>
            <w:vAlign w:val="top"/>
          </w:tcPr>
          <w:p>
            <w:pPr>
              <w:pStyle w:val="1089"/>
              <w:pBdr/>
              <w:spacing/>
              <w:ind/>
              <w:rPr/>
            </w:pPr>
            <w:r>
              <w:t xml:space="preserve">supports / counters / contextualizes / exemplifies / disputes</w:t>
            </w:r>
            <w:r/>
          </w:p>
        </w:tc>
        <w:tc>
          <w:tcPr>
            <w:shd w:val="clear" w:color="auto" w:fill="ffffff"/>
            <w:tcBorders/>
            <w:tcMar>
              <w:left w:w="55" w:type="dxa"/>
              <w:top w:w="45" w:type="dxa"/>
              <w:right w:w="55" w:type="dxa"/>
              <w:bottom w:w="45" w:type="dxa"/>
            </w:tcMar>
            <w:tcW w:w="6135" w:type="dxa"/>
            <w:vAlign w:val="top"/>
          </w:tcPr>
          <w:p>
            <w:pPr>
              <w:pStyle w:val="1089"/>
              <w:pBdr/>
              <w:spacing/>
              <w:ind/>
              <w:rPr/>
            </w:pPr>
            <w:r>
              <w:t xml:space="preserve">EvidenceLink roles connecting evidence to a claim.</w:t>
            </w:r>
            <w:r/>
          </w:p>
        </w:tc>
      </w:tr>
      <w:tr>
        <w:trPr>
          <w:cantSplit/>
        </w:trPr>
        <w:tc>
          <w:tcPr>
            <w:shd w:val="clear" w:color="auto" w:fill="f4f6f7"/>
            <w:tcBorders/>
            <w:tcMar>
              <w:left w:w="55" w:type="dxa"/>
              <w:top w:w="45" w:type="dxa"/>
              <w:right w:w="55" w:type="dxa"/>
              <w:bottom w:w="45" w:type="dxa"/>
            </w:tcMar>
            <w:tcW w:w="3871" w:type="dxa"/>
            <w:vAlign w:val="top"/>
          </w:tcPr>
          <w:p>
            <w:pPr>
              <w:pStyle w:val="1089"/>
              <w:pBdr/>
              <w:spacing/>
              <w:ind/>
              <w:rPr/>
            </w:pPr>
            <w:r>
              <w:t xml:space="preserve">answers / reframes / leaves_open / varies</w:t>
            </w:r>
            <w:r/>
          </w:p>
        </w:tc>
        <w:tc>
          <w:tcPr>
            <w:shd w:val="clear" w:color="auto" w:fill="f4f6f7"/>
            <w:tcBorders/>
            <w:tcMar>
              <w:left w:w="55" w:type="dxa"/>
              <w:top w:w="45" w:type="dxa"/>
              <w:right w:w="55" w:type="dxa"/>
              <w:bottom w:w="45" w:type="dxa"/>
            </w:tcMar>
            <w:tcW w:w="6135" w:type="dxa"/>
            <w:vAlign w:val="top"/>
          </w:tcPr>
          <w:p>
            <w:pPr>
              <w:pStyle w:val="1089"/>
              <w:pBdr/>
              <w:spacing/>
              <w:ind/>
              <w:rPr/>
            </w:pPr>
            <w:r>
              <w:t xml:space="preserve">QuestionResponse semantics.</w:t>
            </w:r>
            <w:r/>
          </w:p>
        </w:tc>
      </w:tr>
      <w:tr>
        <w:trPr>
          <w:cantSplit/>
        </w:trPr>
        <w:tc>
          <w:tcPr>
            <w:shd w:val="clear" w:color="auto" w:fill="ffffff"/>
            <w:tcBorders/>
            <w:tcMar>
              <w:left w:w="55" w:type="dxa"/>
              <w:top w:w="45" w:type="dxa"/>
              <w:right w:w="55" w:type="dxa"/>
              <w:bottom w:w="45" w:type="dxa"/>
            </w:tcMar>
            <w:tcW w:w="3871" w:type="dxa"/>
            <w:vAlign w:val="top"/>
          </w:tcPr>
          <w:p>
            <w:pPr>
              <w:pStyle w:val="1089"/>
              <w:pBdr/>
              <w:spacing/>
              <w:ind/>
              <w:rPr/>
            </w:pPr>
            <w:r>
              <w:t xml:space="preserve">compared_with</w:t>
            </w:r>
            <w:r/>
          </w:p>
        </w:tc>
        <w:tc>
          <w:tcPr>
            <w:shd w:val="clear" w:color="auto" w:fill="ffffff"/>
            <w:tcBorders/>
            <w:tcMar>
              <w:left w:w="55" w:type="dxa"/>
              <w:top w:w="45" w:type="dxa"/>
              <w:right w:w="55" w:type="dxa"/>
              <w:bottom w:w="45" w:type="dxa"/>
            </w:tcMar>
            <w:tcW w:w="6135" w:type="dxa"/>
            <w:vAlign w:val="top"/>
          </w:tcPr>
          <w:p>
            <w:pPr>
              <w:pStyle w:val="1089"/>
              <w:pBdr/>
              <w:spacing/>
              <w:ind/>
              <w:rPr/>
            </w:pPr>
            <w:r>
              <w:t xml:space="preserve">Creates a ComparisonEvent with declared tertium and claim pair.</w:t>
            </w:r>
            <w:r/>
          </w:p>
        </w:tc>
      </w:tr>
      <w:tr>
        <w:trPr>
          <w:cantSplit/>
        </w:trPr>
        <w:tc>
          <w:tcPr>
            <w:shd w:val="clear" w:color="auto" w:fill="f4f6f7"/>
            <w:tcBorders/>
            <w:tcMar>
              <w:left w:w="55" w:type="dxa"/>
              <w:top w:w="45" w:type="dxa"/>
              <w:right w:w="55" w:type="dxa"/>
              <w:bottom w:w="45" w:type="dxa"/>
            </w:tcMar>
            <w:tcW w:w="3871" w:type="dxa"/>
            <w:vAlign w:val="top"/>
          </w:tcPr>
          <w:p>
            <w:pPr>
              <w:pStyle w:val="1089"/>
              <w:pBdr/>
              <w:spacing/>
              <w:ind/>
              <w:rPr/>
            </w:pPr>
            <w:r>
              <w:t xml:space="preserve">premise_for</w:t>
            </w:r>
            <w:r/>
          </w:p>
        </w:tc>
        <w:tc>
          <w:tcPr>
            <w:shd w:val="clear" w:color="auto" w:fill="f4f6f7"/>
            <w:tcBorders/>
            <w:tcMar>
              <w:left w:w="55" w:type="dxa"/>
              <w:top w:w="45" w:type="dxa"/>
              <w:right w:w="55" w:type="dxa"/>
              <w:bottom w:w="45" w:type="dxa"/>
            </w:tcMar>
            <w:tcW w:w="6135" w:type="dxa"/>
            <w:vAlign w:val="top"/>
          </w:tcPr>
          <w:p>
            <w:pPr>
              <w:pStyle w:val="1089"/>
              <w:pBdr/>
              <w:spacing/>
              <w:ind/>
              <w:rPr/>
            </w:pPr>
            <w:r>
              <w:t xml:space="preserve">Links canonical records to a PublicationClaim.</w:t>
            </w:r>
            <w:r/>
          </w:p>
        </w:tc>
      </w:tr>
      <w:tr>
        <w:trPr>
          <w:cantSplit/>
        </w:trPr>
        <w:tc>
          <w:tcPr>
            <w:shd w:val="clear" w:color="auto" w:fill="ffffff"/>
            <w:tcBorders/>
            <w:tcMar>
              <w:left w:w="55" w:type="dxa"/>
              <w:top w:w="45" w:type="dxa"/>
              <w:right w:w="55" w:type="dxa"/>
              <w:bottom w:w="45" w:type="dxa"/>
            </w:tcMar>
            <w:tcW w:w="3871" w:type="dxa"/>
            <w:vAlign w:val="top"/>
          </w:tcPr>
          <w:p>
            <w:pPr>
              <w:pStyle w:val="1089"/>
              <w:pBdr/>
              <w:spacing/>
              <w:ind/>
              <w:rPr/>
            </w:pPr>
            <w:r>
              <w:t xml:space="preserve">reviewed_by / satisfies_criterion</w:t>
            </w:r>
            <w:r/>
          </w:p>
        </w:tc>
        <w:tc>
          <w:tcPr>
            <w:shd w:val="clear" w:color="auto" w:fill="ffffff"/>
            <w:tcBorders/>
            <w:tcMar>
              <w:left w:w="55" w:type="dxa"/>
              <w:top w:w="45" w:type="dxa"/>
              <w:right w:w="55" w:type="dxa"/>
              <w:bottom w:w="45" w:type="dxa"/>
            </w:tcMar>
            <w:tcW w:w="6135" w:type="dxa"/>
            <w:vAlign w:val="top"/>
          </w:tcPr>
          <w:p>
            <w:pPr>
              <w:pStyle w:val="1089"/>
              <w:pBdr/>
              <w:spacing/>
              <w:ind/>
              <w:rPr/>
            </w:pPr>
            <w:r>
              <w:t xml:space="preserve">Links records, reviews and CriterionResults.</w:t>
            </w:r>
            <w:r/>
          </w:p>
        </w:tc>
      </w:tr>
      <w:tr>
        <w:trPr>
          <w:cantSplit/>
        </w:trPr>
        <w:tc>
          <w:tcPr>
            <w:shd w:val="clear" w:color="auto" w:fill="f4f6f7"/>
            <w:tcBorders/>
            <w:tcMar>
              <w:left w:w="55" w:type="dxa"/>
              <w:top w:w="45" w:type="dxa"/>
              <w:right w:w="55" w:type="dxa"/>
              <w:bottom w:w="45" w:type="dxa"/>
            </w:tcMar>
            <w:tcW w:w="3871" w:type="dxa"/>
            <w:vAlign w:val="top"/>
          </w:tcPr>
          <w:p>
            <w:pPr>
              <w:pStyle w:val="1089"/>
              <w:pBdr/>
              <w:spacing/>
              <w:ind/>
              <w:rPr/>
            </w:pPr>
            <w:r>
              <w:t xml:space="preserve">revises / supersedes</w:t>
            </w:r>
            <w:r/>
          </w:p>
        </w:tc>
        <w:tc>
          <w:tcPr>
            <w:shd w:val="clear" w:color="auto" w:fill="f4f6f7"/>
            <w:tcBorders/>
            <w:tcMar>
              <w:left w:w="55" w:type="dxa"/>
              <w:top w:w="45" w:type="dxa"/>
              <w:right w:w="55" w:type="dxa"/>
              <w:bottom w:w="45" w:type="dxa"/>
            </w:tcMar>
            <w:tcW w:w="6135" w:type="dxa"/>
            <w:vAlign w:val="top"/>
          </w:tcPr>
          <w:p>
            <w:pPr>
              <w:pStyle w:val="1089"/>
              <w:pBdr/>
              <w:spacing/>
              <w:ind/>
              <w:rPr/>
            </w:pPr>
            <w:r>
              <w:t xml:space="preserve">Version relation preserving prior records.</w:t>
            </w:r>
            <w:r/>
          </w:p>
        </w:tc>
      </w:tr>
    </w:tbl>
    <w:p>
      <w:pPr>
        <w:pStyle w:val="1097"/>
        <w:pBdr/>
        <w:spacing/>
        <w:ind/>
        <w:rPr/>
      </w:pPr>
      <w:r/>
      <w:r/>
    </w:p>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Graph rule</w:t>
            </w:r>
            <w:r/>
          </w:p>
          <w:p>
            <w:pPr>
              <w:pStyle w:val="1092"/>
              <w:pBdr/>
              <w:spacing/>
              <w:ind/>
              <w:rPr/>
            </w:pPr>
            <w:r>
              <w:t xml:space="preserve">No entity is required to have one parent. Hybridization, transmission, polemic, multiple authority streams and overlapping communities MUST remain representable without forced single-parent hierarchies.</w:t>
            </w:r>
            <w:r/>
          </w:p>
        </w:tc>
      </w:tr>
    </w:tbl>
    <w:p>
      <w:pPr>
        <w:pStyle w:val="1097"/>
        <w:pBdr/>
        <w:spacing/>
        <w:ind/>
        <w:rPr/>
      </w:pPr>
      <w:r/>
      <w:r/>
    </w:p>
    <w:p>
      <w:pPr>
        <w:pStyle w:val="923"/>
        <w:keepNext w:val="true"/>
        <w:keepLines w:val="true"/>
        <w:pBdr/>
        <w:spacing/>
        <w:ind/>
        <w:rPr/>
      </w:pPr>
      <w:r/>
      <w:bookmarkStart w:id="111" w:name="annex_b2_schemas"/>
      <w:r>
        <w:t xml:space="preserve">B2. Core record schemas</w:t>
      </w:r>
      <w:bookmarkEnd w:id="111"/>
      <w:r/>
      <w:r/>
    </w:p>
    <w:p>
      <w:pPr>
        <w:pStyle w:val="924"/>
        <w:keepNext w:val="true"/>
        <w:keepLines w:val="true"/>
        <w:pBdr/>
        <w:spacing/>
        <w:ind/>
        <w:rPr/>
      </w:pPr>
      <w:r/>
      <w:bookmarkStart w:id="112" w:name="tbl_schema_position_heading"/>
      <w:r>
        <w:t xml:space="preserve">B2.1 PositionRecord</w:t>
      </w:r>
      <w:bookmarkEnd w:id="112"/>
      <w:r/>
      <w:r/>
    </w:p>
    <w:p>
      <w:pPr>
        <w:pStyle w:val="1086"/>
        <w:keepNext w:val="true"/>
        <w:keepLines w:val="true"/>
        <w:pBdr/>
        <w:spacing/>
        <w:ind/>
        <w:rPr/>
      </w:pPr>
      <w:r/>
      <w:bookmarkStart w:id="113" w:name="tbl_schema_position"/>
      <w:r>
        <w:t xml:space="preserve">Governing — PositionRecord minimum schema</w:t>
      </w:r>
      <w:bookmarkEnd w:id="113"/>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410"/>
        <w:gridCol w:w="1168"/>
        <w:gridCol w:w="6427"/>
      </w:tblGrid>
      <w:tr>
        <w:trPr>
          <w:cantSplit/>
          <w:tblHeader/>
        </w:trPr>
        <w:tc>
          <w:tcPr>
            <w:shd w:val="clear" w:color="auto" w:fill="1f5d7a"/>
            <w:tcBorders/>
            <w:tcMar>
              <w:left w:w="55" w:type="dxa"/>
              <w:top w:w="45" w:type="dxa"/>
              <w:right w:w="55" w:type="dxa"/>
              <w:bottom w:w="45" w:type="dxa"/>
            </w:tcMar>
            <w:tcW w:w="2410"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1168"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6427"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position_id</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Persistent opaque/stable identifier; no mutable taxonomy semantics.</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preferred_label</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Research label; distinguish emic self-designation where available.</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self_designation</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Native/community/self-identification where applicable.</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scope_statement</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Boundary by period, corpus, school, thinker, community, thesis or other declared criterion.</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boundary_assessment</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Why the declared unit is analytically coherent and when subpositions are required.</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context_links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Links to relevant context entities.</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principal_sources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Source dossier links.</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emic_orientation</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Concise source-grounded problem-space before Atlas encoding.</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representation_readiness_id</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Link to independent readiness component fields.</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source_community_coverage</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Required where applicable; structured record.</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version_review</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Current version, reviewers and change history.</w:t>
            </w:r>
            <w:r/>
          </w:p>
        </w:tc>
      </w:tr>
    </w:tbl>
    <w:p>
      <w:pPr>
        <w:pStyle w:val="1097"/>
        <w:pBdr/>
        <w:spacing/>
        <w:ind/>
        <w:rPr/>
      </w:pPr>
      <w:r/>
      <w:r/>
    </w:p>
    <w:p>
      <w:pPr>
        <w:pStyle w:val="924"/>
        <w:keepNext w:val="true"/>
        <w:keepLines w:val="true"/>
        <w:pBdr/>
        <w:spacing/>
        <w:ind/>
        <w:rPr/>
      </w:pPr>
      <w:r/>
      <w:bookmarkStart w:id="114" w:name="tbl_schema_qr_heading"/>
      <w:r>
        <w:t xml:space="preserve">B2.2 QuestionResponseRecord</w:t>
      </w:r>
      <w:bookmarkEnd w:id="114"/>
      <w:r/>
      <w:r/>
    </w:p>
    <w:p>
      <w:pPr>
        <w:pStyle w:val="1086"/>
        <w:keepNext w:val="true"/>
        <w:keepLines w:val="true"/>
        <w:pBdr/>
        <w:spacing/>
        <w:ind/>
        <w:rPr/>
      </w:pPr>
      <w:r/>
      <w:bookmarkStart w:id="115" w:name="tbl_schema_qr"/>
      <w:r>
        <w:t xml:space="preserve">Governing — QuestionResponseRecord minimum schema</w:t>
      </w:r>
      <w:bookmarkEnd w:id="115"/>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410"/>
        <w:gridCol w:w="1168"/>
        <w:gridCol w:w="6427"/>
      </w:tblGrid>
      <w:tr>
        <w:trPr>
          <w:cantSplit/>
          <w:tblHeader/>
        </w:trPr>
        <w:tc>
          <w:tcPr>
            <w:shd w:val="clear" w:color="auto" w:fill="1f5d7a"/>
            <w:tcBorders/>
            <w:tcMar>
              <w:left w:w="55" w:type="dxa"/>
              <w:top w:w="45" w:type="dxa"/>
              <w:right w:w="55" w:type="dxa"/>
              <w:bottom w:w="45" w:type="dxa"/>
            </w:tcMar>
            <w:tcW w:w="2410"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1168"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6427"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response_id</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Persistent ID.</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position_id</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Exactly one bounded Position.</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question_id</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Exactly one Atlas question.</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primary_status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Exactly one response_state:ANS/DEN/REF/NSA/VAR/UND/IND/INS.</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category_warnings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CategoryWarning records; response_modifier:CAT is orthogonal.</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summary</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Concise response or non-response description.</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claim_links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Mandatory for ANS/DEN/REF/VAR unless a justified edge case is recorded.</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status_rationale</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Why this state rather than adjacent states; critical for NSA/UND/IND/INS.</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boundary_assessment</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0..1</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Required when VAR is considered or boundary adequacy is disputed.</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variation_basis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Required for VAR; why plurality is constitutive of the unit.</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subposition_links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Required for VAR where bounded subpositions exist; claim links otherwise.</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internal_variation_links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Competing claims, periods or communities if contested.</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review_version</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Reviewer and revision data.</w:t>
            </w:r>
            <w:r/>
          </w:p>
        </w:tc>
      </w:tr>
    </w:tbl>
    <w:p>
      <w:pPr>
        <w:pStyle w:val="1097"/>
        <w:pBdr/>
        <w:spacing/>
        <w:ind/>
        <w:rPr/>
      </w:pPr>
      <w:r/>
      <w:r/>
    </w:p>
    <w:p>
      <w:pPr>
        <w:pStyle w:val="924"/>
        <w:keepNext w:val="true"/>
        <w:keepLines w:val="true"/>
        <w:pBdr/>
        <w:spacing/>
        <w:ind/>
        <w:rPr/>
      </w:pPr>
      <w:r/>
      <w:bookmarkStart w:id="116" w:name="tbl_schema_warning_heading"/>
      <w:r>
        <w:t xml:space="preserve">B2.3 CategoryWarningRecord</w:t>
      </w:r>
      <w:bookmarkEnd w:id="116"/>
      <w:r/>
      <w:r/>
    </w:p>
    <w:p>
      <w:pPr>
        <w:pStyle w:val="1086"/>
        <w:keepNext w:val="true"/>
        <w:keepLines w:val="true"/>
        <w:pBdr/>
        <w:spacing/>
        <w:ind/>
        <w:rPr/>
      </w:pPr>
      <w:r/>
      <w:bookmarkStart w:id="117" w:name="tbl_schema_warning"/>
      <w:r>
        <w:t xml:space="preserve">Governing — CategoryWarningRecord minimum schema</w:t>
      </w:r>
      <w:bookmarkEnd w:id="117"/>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556"/>
        <w:gridCol w:w="1168"/>
        <w:gridCol w:w="6281"/>
      </w:tblGrid>
      <w:tr>
        <w:trPr>
          <w:cantSplit/>
          <w:tblHeader/>
        </w:trPr>
        <w:tc>
          <w:tcPr>
            <w:shd w:val="clear" w:color="auto" w:fill="1f5d7a"/>
            <w:tcBorders/>
            <w:tcMar>
              <w:left w:w="55" w:type="dxa"/>
              <w:top w:w="45" w:type="dxa"/>
              <w:right w:w="55" w:type="dxa"/>
              <w:bottom w:w="45" w:type="dxa"/>
            </w:tcMar>
            <w:tcW w:w="2556"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1168"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6281"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warning_id</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Persistent opaque ID.</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response_id</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Parent QuestionResponse.</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warning_scope</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Exact term, question, partition or translation affected.</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distortion_description</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What the Atlas framing risks importing, obscuring or falsely partitioning.</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concept_links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Relevant concepts.</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handling_instruction</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How coding, translation and comparison preserve the warning.</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review_version</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Reviewer/date/version.</w:t>
            </w:r>
            <w:r/>
          </w:p>
        </w:tc>
      </w:tr>
    </w:tbl>
    <w:p>
      <w:pPr>
        <w:pStyle w:val="1097"/>
        <w:pBdr/>
        <w:spacing/>
        <w:ind/>
        <w:rPr/>
      </w:pPr>
      <w:r/>
      <w:r/>
    </w:p>
    <w:p>
      <w:pPr>
        <w:pStyle w:val="924"/>
        <w:keepNext w:val="true"/>
        <w:keepLines w:val="true"/>
        <w:pBdr/>
        <w:spacing/>
        <w:ind/>
        <w:rPr/>
      </w:pPr>
      <w:r/>
      <w:bookmarkStart w:id="118" w:name="tbl_schema_claim_heading"/>
      <w:r>
        <w:t xml:space="preserve">B2.4 ClaimRecord</w:t>
      </w:r>
      <w:bookmarkEnd w:id="118"/>
      <w:r/>
      <w:r/>
    </w:p>
    <w:p>
      <w:pPr>
        <w:pStyle w:val="1086"/>
        <w:keepNext w:val="true"/>
        <w:keepLines w:val="true"/>
        <w:pBdr/>
        <w:spacing/>
        <w:ind/>
        <w:rPr/>
      </w:pPr>
      <w:r/>
      <w:bookmarkStart w:id="119" w:name="tbl_schema_claim"/>
      <w:r>
        <w:t xml:space="preserve">Governing — ClaimRecord minimum schema</w:t>
      </w:r>
      <w:bookmarkEnd w:id="119"/>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410"/>
        <w:gridCol w:w="1168"/>
        <w:gridCol w:w="6427"/>
      </w:tblGrid>
      <w:tr>
        <w:trPr>
          <w:cantSplit/>
          <w:tblHeader/>
        </w:trPr>
        <w:tc>
          <w:tcPr>
            <w:shd w:val="clear" w:color="auto" w:fill="1f5d7a"/>
            <w:tcBorders/>
            <w:tcMar>
              <w:left w:w="55" w:type="dxa"/>
              <w:top w:w="45" w:type="dxa"/>
              <w:right w:w="55" w:type="dxa"/>
              <w:bottom w:w="45" w:type="dxa"/>
            </w:tcMar>
            <w:tcW w:w="2410"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1168"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6427"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claim_id</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Persistent ID.</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position_id</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Attributed bounded Position.</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claim_text</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Concise Atlas paraphrase; quotations stored separately and sparingly.</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attachment</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claim_attachment:DEF/EXP/DER/CTX.</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claim_function</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One qualified claim_function value.</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concept_links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Source-language or technical concepts materially implicated.</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claim_origin</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claim_origin:SOURCE_GROUNDED / ATLAS_INFERENCE.</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evidence_links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SOURCE_GROUNDED release claims require fit-for-purpose EvidenceLink(s) with exact locator.</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derived_from_claims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Required for DER and ATLAS_INFERENCE as applicable; ultimately source-grounded.</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inference_rationale</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Required for DER or ATLAS_INFERENCE.</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consensus_status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One scholarly_status value from Annex A §A4; independent of confidence and evidence completeness.</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confidence</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confidence:HIGH / MODERATE / LOW from Annex A §A4, meaning attribution confidence for this Claim; not truth, consensus or release eligibility.</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evidence_completeness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evidence_completeness:ADEQUATE/PARTIAL/SPARSE/INACCESSIBLE.</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interpretive_dependence</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interpretive_dependence:DIRECT/LOW_INFERENCE/MODERATE_INFERENCE/HIGH_RECONSTRUCTION.</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internal_variation</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Known exceptions or alternate Positions.</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interpretive_notes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Translation, category or philological cautions.</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review_version</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Reviewer, date and version history.</w:t>
            </w:r>
            <w:r/>
          </w:p>
        </w:tc>
      </w:tr>
    </w:tbl>
    <w:p>
      <w:pPr>
        <w:pStyle w:val="1097"/>
        <w:pBdr/>
        <w:spacing/>
        <w:ind/>
        <w:rPr/>
      </w:pPr>
      <w:r/>
      <w:r/>
    </w:p>
    <w:p>
      <w:pPr>
        <w:pStyle w:val="924"/>
        <w:keepNext w:val="true"/>
        <w:keepLines w:val="true"/>
        <w:pBdr/>
        <w:spacing/>
        <w:ind/>
        <w:rPr/>
      </w:pPr>
      <w:r/>
      <w:bookmarkStart w:id="120" w:name="tbl_schema_concept_heading"/>
      <w:r>
        <w:t xml:space="preserve">B2.5 ConceptRecord</w:t>
      </w:r>
      <w:bookmarkEnd w:id="120"/>
      <w:r/>
      <w:r/>
    </w:p>
    <w:p>
      <w:pPr>
        <w:pStyle w:val="1086"/>
        <w:keepNext w:val="true"/>
        <w:keepLines w:val="true"/>
        <w:pBdr/>
        <w:spacing/>
        <w:ind/>
        <w:rPr/>
      </w:pPr>
      <w:r/>
      <w:bookmarkStart w:id="121" w:name="tbl_schema_concept"/>
      <w:r>
        <w:t xml:space="preserve">Governing — ConceptRecord minimum schema</w:t>
      </w:r>
      <w:bookmarkEnd w:id="121"/>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3141"/>
        <w:gridCol w:w="6865"/>
      </w:tblGrid>
      <w:tr>
        <w:trPr>
          <w:cantSplit/>
          <w:tblHeader/>
        </w:trPr>
        <w:tc>
          <w:tcPr>
            <w:shd w:val="clear" w:color="auto" w:fill="1f5d7a"/>
            <w:tcBorders/>
            <w:tcMar>
              <w:left w:w="55" w:type="dxa"/>
              <w:top w:w="45" w:type="dxa"/>
              <w:right w:w="55" w:type="dxa"/>
              <w:bottom w:w="45" w:type="dxa"/>
            </w:tcMar>
            <w:tcW w:w="3141"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6865" w:type="dxa"/>
            <w:vAlign w:val="top"/>
          </w:tcPr>
          <w:p>
            <w:pPr>
              <w:pStyle w:val="1090"/>
              <w:pBdr/>
              <w:spacing/>
              <w:ind/>
              <w:rPr/>
            </w:pPr>
            <w:r>
              <w:t xml:space="preserve">Requirement</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concept_id</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Persistent identifier.</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original_term_script</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Source-language form; multiple orthographies/witnesses permitted.</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transliteration</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Named system where relevant.</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literal_gloss</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Minimal lexical gloss, explicitly not final philosophical interpretation.</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translation_candidates</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Established alternatives with source/support.</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semantic_range</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Genre/period/school/context-specific range.</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grammar_notes</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Morphology/syntax/lexical category where philosophically material.</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historical_development</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Change through time or schools.</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source_anchors</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Representative uses with exact locators.</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specialist_interpretations</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Major readings and disputes.</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false_friend_warnings</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English/cross-traditional terms that invite illicit equivalence.</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translation_confidence</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High / Moderate / Low plus reason.</w:t>
            </w:r>
            <w:r/>
          </w:p>
        </w:tc>
      </w:tr>
    </w:tbl>
    <w:p>
      <w:pPr>
        <w:pStyle w:val="1097"/>
        <w:pBdr/>
        <w:spacing/>
        <w:ind/>
        <w:rPr/>
      </w:pPr>
      <w:r/>
      <w:r/>
    </w:p>
    <w:p>
      <w:pPr>
        <w:pStyle w:val="924"/>
        <w:keepNext w:val="true"/>
        <w:keepLines w:val="true"/>
        <w:pBdr/>
        <w:spacing/>
        <w:ind/>
        <w:rPr/>
      </w:pPr>
      <w:r/>
      <w:bookmarkStart w:id="122" w:name="schema_source_records"/>
      <w:r>
        <w:t xml:space="preserve">B2.6 SourceRecord, SourceInstance and EvidenceLink</w:t>
      </w:r>
      <w:bookmarkEnd w:id="122"/>
      <w:r/>
      <w:r/>
    </w:p>
    <w:p>
      <w:pPr>
        <w:pStyle w:val="1086"/>
        <w:keepNext w:val="true"/>
        <w:keepLines w:val="true"/>
        <w:pBdr/>
        <w:spacing/>
        <w:ind/>
        <w:rPr/>
      </w:pPr>
      <w:r/>
      <w:bookmarkStart w:id="123" w:name="tbl_schema_source"/>
      <w:r>
        <w:t xml:space="preserve">Governing — SourceRecord minimum schema</w:t>
      </w:r>
      <w:bookmarkEnd w:id="123"/>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410"/>
        <w:gridCol w:w="1461"/>
        <w:gridCol w:w="6134"/>
      </w:tblGrid>
      <w:tr>
        <w:trPr>
          <w:cantSplit/>
          <w:tblHeader/>
        </w:trPr>
        <w:tc>
          <w:tcPr>
            <w:shd w:val="clear" w:color="auto" w:fill="1f5d7a"/>
            <w:tcBorders/>
            <w:tcMar>
              <w:left w:w="55" w:type="dxa"/>
              <w:top w:w="45" w:type="dxa"/>
              <w:right w:w="55" w:type="dxa"/>
              <w:bottom w:w="45" w:type="dxa"/>
            </w:tcMar>
            <w:tcW w:w="2410"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1461"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6134"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source_id</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134" w:type="dxa"/>
            <w:vAlign w:val="top"/>
          </w:tcPr>
          <w:p>
            <w:pPr>
              <w:pStyle w:val="1089"/>
              <w:pBdr/>
              <w:spacing/>
              <w:ind/>
              <w:rPr/>
            </w:pPr>
            <w:r>
              <w:t xml:space="preserve">Persistent opaque identifier.</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source_proximity</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134" w:type="dxa"/>
            <w:vAlign w:val="top"/>
          </w:tcPr>
          <w:p>
            <w:pPr>
              <w:pStyle w:val="1089"/>
              <w:pBdr/>
              <w:spacing/>
              <w:ind/>
              <w:rPr/>
            </w:pPr>
            <w:r>
              <w:t xml:space="preserve">One qualified proximity value.</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source_form</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134" w:type="dxa"/>
            <w:vAlign w:val="top"/>
          </w:tcPr>
          <w:p>
            <w:pPr>
              <w:pStyle w:val="1089"/>
              <w:pBdr/>
              <w:spacing/>
              <w:ind/>
              <w:rPr/>
            </w:pPr>
            <w:r>
              <w:t xml:space="preserve">One or more material or communicative forms.</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authority_relation</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134" w:type="dxa"/>
            <w:vAlign w:val="top"/>
          </w:tcPr>
          <w:p>
            <w:pPr>
              <w:pStyle w:val="1089"/>
              <w:pBdr/>
              <w:spacing/>
              <w:ind/>
              <w:rPr/>
            </w:pPr>
            <w:r>
              <w:t xml:space="preserve">Relationship of creator or institution to represented subject.</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full_citation</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134" w:type="dxa"/>
            <w:vAlign w:val="top"/>
          </w:tcPr>
          <w:p>
            <w:pPr>
              <w:pStyle w:val="1089"/>
              <w:pBdr/>
              <w:spacing/>
              <w:ind/>
              <w:rPr/>
            </w:pPr>
            <w:r>
              <w:t xml:space="preserve">Complete human-readable citation or material description.</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creator/date/language</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134" w:type="dxa"/>
            <w:vAlign w:val="top"/>
          </w:tcPr>
          <w:p>
            <w:pPr>
              <w:pStyle w:val="1089"/>
              <w:pBdr/>
              <w:spacing/>
              <w:ind/>
              <w:rPr/>
            </w:pPr>
            <w:r>
              <w:t xml:space="preserve">Structured source-description entries covering creator(s), date or period, a</w:t>
            </w:r>
            <w:r>
              <w:t xml:space="preserve">nd language where the source is language-bearing. Unknown or disputed values are explicitly qualified; absence of language in a wholly non-linguistic source is stated rather than supplied. Instance-specific evidence is bounded separately in SourceInstance.</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edition_or_version</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0..1</w:t>
            </w:r>
            <w:r/>
          </w:p>
        </w:tc>
        <w:tc>
          <w:tcPr>
            <w:shd w:val="clear" w:color="auto" w:fill="ffffff"/>
            <w:tcBorders/>
            <w:tcMar>
              <w:left w:w="55" w:type="dxa"/>
              <w:top w:w="45" w:type="dxa"/>
              <w:right w:w="55" w:type="dxa"/>
              <w:bottom w:w="45" w:type="dxa"/>
            </w:tcMar>
            <w:tcW w:w="6134" w:type="dxa"/>
            <w:vAlign w:val="top"/>
          </w:tcPr>
          <w:p>
            <w:pPr>
              <w:pStyle w:val="1089"/>
              <w:pBdr/>
              <w:spacing/>
              <w:ind/>
              <w:rPr/>
            </w:pPr>
            <w:r>
              <w:t xml:space="preserve">Edition, witness, archive, dataset or publication version.</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stable_identifier</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6134" w:type="dxa"/>
            <w:vAlign w:val="top"/>
          </w:tcPr>
          <w:p>
            <w:pPr>
              <w:pStyle w:val="1089"/>
              <w:pBdr/>
              <w:spacing/>
              <w:ind/>
              <w:rPr/>
            </w:pPr>
            <w:r>
              <w:t xml:space="preserve">URL, DOI, repository or persistent identifier; web access date where applicable.</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source_limitations</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6134" w:type="dxa"/>
            <w:vAlign w:val="top"/>
          </w:tcPr>
          <w:p>
            <w:pPr>
              <w:pStyle w:val="1089"/>
              <w:pBdr/>
              <w:spacing/>
              <w:ind/>
              <w:rPr/>
            </w:pPr>
            <w:r>
              <w:t xml:space="preserve">Dating, mediation, authority, completeness, access or interpretive limitations.</w:t>
            </w:r>
            <w:r/>
          </w:p>
        </w:tc>
      </w:tr>
    </w:tbl>
    <w:p>
      <w:pPr>
        <w:pStyle w:val="1097"/>
        <w:pBdr/>
        <w:spacing/>
        <w:ind/>
        <w:rPr/>
      </w:pPr>
      <w:r/>
      <w:r/>
    </w:p>
    <w:p>
      <w:pPr>
        <w:pStyle w:val="1086"/>
        <w:keepNext w:val="true"/>
        <w:keepLines w:val="true"/>
        <w:pBdr/>
        <w:spacing/>
        <w:ind/>
        <w:rPr/>
      </w:pPr>
      <w:r/>
      <w:bookmarkStart w:id="186" w:name="source_instance_identity_contract"/>
      <w:r>
        <w:t xml:space="preserve">Governing — SourceInstance common identity contract</w:t>
      </w:r>
      <w:bookmarkEnd w:id="186"/>
      <w:r/>
      <w:r/>
    </w:p>
    <w:p>
      <w:pPr>
        <w:pStyle w:val="1083"/>
        <w:pBdr/>
        <w:spacing/>
        <w:ind/>
        <w:rPr/>
      </w:pPr>
      <w:r>
        <w:t xml:space="preserve">Every SourceInstance has a persistent opaq</w:t>
      </w:r>
      <w:r>
        <w:t xml:space="preserve">ue source_instance_id and resolvable linkage to the SourceRecords that identify its source context. Event-specific requirements apply in addition to the common identity and version contract. Bibliographic identity alone is not an event or witness identity.</w:t>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410"/>
        <w:gridCol w:w="1461"/>
        <w:gridCol w:w="6134"/>
      </w:tblGrid>
      <w:tr>
        <w:trPr>
          <w:cantSplit/>
          <w:tblHeader/>
        </w:trPr>
        <w:tc>
          <w:tcPr>
            <w:shd w:val="clear" w:color="auto" w:fill="1f5d7a"/>
            <w:tcBorders/>
            <w:tcMar>
              <w:left w:w="55" w:type="dxa"/>
              <w:top w:w="45" w:type="dxa"/>
              <w:right w:w="55" w:type="dxa"/>
              <w:bottom w:w="45" w:type="dxa"/>
            </w:tcMar>
            <w:tcW w:w="2410"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1461"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6134"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source_instance_id</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134" w:type="dxa"/>
            <w:vAlign w:val="top"/>
          </w:tcPr>
          <w:p>
            <w:pPr>
              <w:pStyle w:val="1089"/>
              <w:pBdr/>
              <w:spacing/>
              <w:ind/>
              <w:rPr/>
            </w:pPr>
            <w:r>
              <w:t xml:space="preserve">Persistent opaque, version-neutral identifier for the bounded evidence instance. EvidenceLink.source_instance_id and artifact references use or resolve to this identifier.</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source_ids</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134" w:type="dxa"/>
            <w:vAlign w:val="top"/>
          </w:tcPr>
          <w:p>
            <w:pPr>
              <w:pStyle w:val="1089"/>
              <w:pBdr/>
              <w:spacing/>
              <w:ind/>
              <w:rPr/>
            </w:pPr>
            <w:r>
              <w:t xml:space="preserve">Resolvable SourceRecord.source_id values identifying all source contexts material to this instance. Multiple parent sources are permitted; linkage must not force a single-parent hierarchy.</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instance_scope</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134" w:type="dxa"/>
            <w:vAlign w:val="top"/>
          </w:tcPr>
          <w:p>
            <w:pPr>
              <w:pStyle w:val="1089"/>
              <w:pBdr/>
              <w:spacing/>
              <w:ind/>
              <w:rPr/>
            </w:pPr>
            <w:r>
              <w:t xml:space="preserve">Exact edition, witness, recording, event, dataset version or other evidence-instance boundary; state the distinguishing identifiers and context. Record supported uncertainty without collapsing distinct instances.</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review_version</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134" w:type="dxa"/>
            <w:vAlign w:val="top"/>
          </w:tcPr>
          <w:p>
            <w:pPr>
              <w:pStyle w:val="1089"/>
              <w:pBdr/>
              <w:spacing/>
              <w:ind/>
              <w:rPr/>
            </w:pPr>
            <w:r>
              <w:t xml:space="preserve">Structured version/review envelope defined below. The pair source_instance_id + record_version identifies an immutable record version; citations and audits resolve the version actually used.</w:t>
            </w:r>
            <w:r/>
          </w:p>
        </w:tc>
      </w:tr>
    </w:tbl>
    <w:p>
      <w:pPr>
        <w:pStyle w:val="1086"/>
        <w:keepNext w:val="true"/>
        <w:keepLines w:val="true"/>
        <w:pBdr/>
        <w:spacing/>
        <w:ind/>
        <w:rPr/>
      </w:pPr>
      <w:r>
        <w:t xml:space="preserve">Governing — SourceInstance version and review envelope</w:t>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410"/>
        <w:gridCol w:w="1461"/>
        <w:gridCol w:w="6134"/>
      </w:tblGrid>
      <w:tr>
        <w:trPr>
          <w:cantSplit/>
          <w:tblHeader/>
        </w:trPr>
        <w:tc>
          <w:tcPr>
            <w:shd w:val="clear" w:color="auto" w:fill="1f5d7a"/>
            <w:tcBorders/>
            <w:tcMar>
              <w:left w:w="55" w:type="dxa"/>
              <w:top w:w="45" w:type="dxa"/>
              <w:right w:w="55" w:type="dxa"/>
              <w:bottom w:w="45" w:type="dxa"/>
            </w:tcMar>
            <w:tcW w:w="2410" w:type="dxa"/>
            <w:vAlign w:val="top"/>
          </w:tcPr>
          <w:p>
            <w:pPr>
              <w:pStyle w:val="1090"/>
              <w:pBdr/>
              <w:spacing/>
              <w:ind/>
              <w:rPr/>
            </w:pPr>
            <w:r>
              <w:t xml:space="preserve">Field within review_version</w:t>
            </w:r>
            <w:r/>
          </w:p>
        </w:tc>
        <w:tc>
          <w:tcPr>
            <w:shd w:val="clear" w:color="auto" w:fill="1f5d7a"/>
            <w:tcBorders/>
            <w:tcMar>
              <w:left w:w="55" w:type="dxa"/>
              <w:top w:w="45" w:type="dxa"/>
              <w:right w:w="55" w:type="dxa"/>
              <w:bottom w:w="45" w:type="dxa"/>
            </w:tcMar>
            <w:tcW w:w="1461"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6134"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record_version</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134" w:type="dxa"/>
            <w:vAlign w:val="top"/>
          </w:tcPr>
          <w:p>
            <w:pPr>
              <w:pStyle w:val="1089"/>
              <w:pBdr/>
              <w:spacing/>
              <w:ind/>
              <w:rPr/>
            </w:pPr>
            <w:r>
              <w:t xml:space="preserve">Non-empty immutable version token, unique within source_instance_id. It identifies the record version, not the source’s edition or dataset version.</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recorded_at</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134" w:type="dxa"/>
            <w:vAlign w:val="top"/>
          </w:tcPr>
          <w:p>
            <w:pPr>
              <w:pStyle w:val="1089"/>
              <w:pBdr/>
              <w:spacing/>
              <w:ind/>
              <w:rPr/>
            </w:pPr>
            <w:r>
              <w:t xml:space="preserve">ISO 8601 date/time of this record version, with time-zone offset. It is not a claimed date of the source event or review.</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responsible_agent_ids</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134" w:type="dxa"/>
            <w:vAlign w:val="top"/>
          </w:tcPr>
          <w:p>
            <w:pPr>
              <w:pStyle w:val="1089"/>
              <w:pBdr/>
              <w:spacing/>
              <w:ind/>
              <w:rPr/>
            </w:pPr>
            <w:r>
              <w:t xml:space="preserve">Resolvable Agent identifiers for those responsible for recording this version. Responsibility does not by itself establish independent review.</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review_ids</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6134" w:type="dxa"/>
            <w:vAlign w:val="top"/>
          </w:tcPr>
          <w:p>
            <w:pPr>
              <w:pStyle w:val="1089"/>
              <w:pBdr/>
              <w:spacing/>
              <w:ind/>
              <w:rPr/>
            </w:pPr>
            <w:r>
              <w:t xml:space="preserve">Resolvable ReviewRelease.review_id values tied to this exact record version and scope. At release, one or more completed applicable reviews are required; all required review types must be covered.</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supersedes</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6134" w:type="dxa"/>
            <w:vAlign w:val="top"/>
          </w:tcPr>
          <w:p>
            <w:pPr>
              <w:pStyle w:val="1089"/>
              <w:pBdr/>
              <w:spacing/>
              <w:ind/>
              <w:rPr/>
            </w:pPr>
            <w:r>
              <w:t xml:space="preserve">Exact source_instance_id + record_version references for any replaced record versions. Empty only where no version is replaced; every referenced version remains addressable.</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change_note</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134" w:type="dxa"/>
            <w:vAlign w:val="top"/>
          </w:tcPr>
          <w:p>
            <w:pPr>
              <w:pStyle w:val="1089"/>
              <w:pBdr/>
              <w:spacing/>
              <w:ind/>
              <w:rPr/>
            </w:pPr>
            <w:r>
              <w:t xml:space="preserve">Factual account of initial definition or the change in this version, including material scope and review consequences; no destructive overwrite.</w:t>
            </w:r>
            <w:r/>
          </w:p>
        </w:tc>
      </w:tr>
    </w:tbl>
    <w:p>
      <w:pPr>
        <w:pStyle w:val="1083"/>
        <w:pBdr/>
        <w:spacing/>
        <w:ind/>
        <w:rPr/>
      </w:pPr>
      <w:r>
        <w:t xml:space="preserve">A metadata correction ret</w:t>
      </w:r>
      <w:r>
        <w:t xml:space="preserve">ains source_instance_id and creates a new record_version. A different evidence-bearing edition, witness, recording, event or dataset version is a distinct SourceInstance, even when it shares a SourceRecord; record supersession where it replaces a cited ins</w:t>
      </w:r>
      <w:r>
        <w:t xml:space="preserve">tance. Uncertain place, date or attribution must remain explicit and must still permit a reviewer to distinguish the cited instance. If identity, source linkage, evidence scope or required review cannot be established, the instance is not release-eligible.</w:t>
      </w:r>
      <w:r/>
    </w:p>
    <w:p>
      <w:pPr>
        <w:pStyle w:val="1083"/>
        <w:pBdr/>
        <w:spacing/>
        <w:ind/>
        <w:rPr/>
      </w:pPr>
      <w:r>
        <w:t xml:space="preserve">For the event fields below, 0..1 is the maximum cardinalit</w:t>
      </w:r>
      <w:r>
        <w:t xml:space="preserve">y across all source forms; each stated trigger makes exactly one structured value mandatory. That value may contain multiple documented participants or artifacts without merging distinct events. The release consequences in Annex B §B3 apply field by field.</w:t>
      </w:r>
      <w:r/>
    </w:p>
    <w:p>
      <w:pPr>
        <w:pStyle w:val="1086"/>
        <w:keepNext w:val="true"/>
        <w:keepLines w:val="true"/>
        <w:pBdr/>
        <w:spacing/>
        <w:ind/>
        <w:rPr/>
      </w:pPr>
      <w:r/>
      <w:bookmarkStart w:id="124" w:name="tbl_schema_sourceinstance"/>
      <w:r>
        <w:t xml:space="preserve">Governing — SourceInstance event, performance and interview fields</w:t>
      </w:r>
      <w:bookmarkEnd w:id="124"/>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556"/>
        <w:gridCol w:w="1534"/>
        <w:gridCol w:w="5915"/>
      </w:tblGrid>
      <w:tr>
        <w:trPr>
          <w:cantSplit/>
          <w:tblHeader/>
        </w:trPr>
        <w:tc>
          <w:tcPr>
            <w:shd w:val="clear" w:color="auto" w:fill="1f5d7a"/>
            <w:tcBorders/>
            <w:tcMar>
              <w:left w:w="55" w:type="dxa"/>
              <w:top w:w="45" w:type="dxa"/>
              <w:right w:w="55" w:type="dxa"/>
              <w:bottom w:w="45" w:type="dxa"/>
            </w:tcMar>
            <w:tcW w:w="2556"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1534"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5915"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performer_or_interviewee</w:t>
            </w:r>
            <w:r/>
          </w:p>
        </w:tc>
        <w:tc>
          <w:tcPr>
            <w:shd w:val="clear" w:color="auto" w:fill="ffffff"/>
            <w:tcBorders/>
            <w:tcMar>
              <w:left w:w="55" w:type="dxa"/>
              <w:top w:w="45" w:type="dxa"/>
              <w:right w:w="55" w:type="dxa"/>
              <w:bottom w:w="45" w:type="dxa"/>
            </w:tcMar>
            <w:tcW w:w="1534" w:type="dxa"/>
            <w:vAlign w:val="top"/>
          </w:tcPr>
          <w:p>
            <w:pPr>
              <w:pStyle w:val="1089"/>
              <w:pBdr/>
              <w:spacing/>
              <w:ind/>
              <w:rPr/>
            </w:pPr>
            <w:r>
              <w:t xml:space="preserve">0..1</w:t>
            </w:r>
            <w:r/>
          </w:p>
        </w:tc>
        <w:tc>
          <w:tcPr>
            <w:shd w:val="clear" w:color="auto" w:fill="ffffff"/>
            <w:tcBorders/>
            <w:tcMar>
              <w:left w:w="55" w:type="dxa"/>
              <w:top w:w="45" w:type="dxa"/>
              <w:right w:w="55" w:type="dxa"/>
              <w:bottom w:w="45" w:type="dxa"/>
            </w:tcMar>
            <w:tcW w:w="5915" w:type="dxa"/>
            <w:vAlign w:val="top"/>
          </w:tcPr>
          <w:p>
            <w:pPr>
              <w:pStyle w:val="1089"/>
              <w:pBdr/>
              <w:spacing/>
              <w:ind/>
              <w:rPr/>
            </w:pPr>
            <w:r>
              <w:t xml:space="preserve">Required (1) for oral/performed/interview evidence. Ident</w:t>
            </w:r>
            <w:r>
              <w:t xml:space="preserve">ify the relevant performer, reciter, diviner, narrator, interviewee or other source agent(s), or record the ethical-restriction rationale and lawful verification route. Unknown identity is not ethical restriction and must not be guessed from transcription.</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role_and_affiliation</w:t>
            </w:r>
            <w:r/>
          </w:p>
        </w:tc>
        <w:tc>
          <w:tcPr>
            <w:shd w:val="clear" w:color="auto" w:fill="f4f6f7"/>
            <w:tcBorders/>
            <w:tcMar>
              <w:left w:w="55" w:type="dxa"/>
              <w:top w:w="45" w:type="dxa"/>
              <w:right w:w="55" w:type="dxa"/>
              <w:bottom w:w="45" w:type="dxa"/>
            </w:tcMar>
            <w:tcW w:w="1534"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5915" w:type="dxa"/>
            <w:vAlign w:val="top"/>
          </w:tcPr>
          <w:p>
            <w:pPr>
              <w:pStyle w:val="1089"/>
              <w:pBdr/>
              <w:spacing/>
              <w:ind/>
              <w:rPr/>
            </w:pPr>
            <w:r>
              <w:t xml:space="preserve">Required (1) for oral/performed/interv</w:t>
            </w:r>
            <w:r>
              <w:t xml:space="preserve">iew evidence. State each relevant participant’s role and supported community, lineage or institutional affiliation; retain self-designation where documented. Record uncertainty or the permitted ethical restriction, not an invented authority or affiliation.</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event_context</w:t>
            </w:r>
            <w:r/>
          </w:p>
        </w:tc>
        <w:tc>
          <w:tcPr>
            <w:shd w:val="clear" w:color="auto" w:fill="ffffff"/>
            <w:tcBorders/>
            <w:tcMar>
              <w:left w:w="55" w:type="dxa"/>
              <w:top w:w="45" w:type="dxa"/>
              <w:right w:w="55" w:type="dxa"/>
              <w:bottom w:w="45" w:type="dxa"/>
            </w:tcMar>
            <w:tcW w:w="1534" w:type="dxa"/>
            <w:vAlign w:val="top"/>
          </w:tcPr>
          <w:p>
            <w:pPr>
              <w:pStyle w:val="1089"/>
              <w:pBdr/>
              <w:spacing/>
              <w:ind/>
              <w:rPr/>
            </w:pPr>
            <w:r>
              <w:t xml:space="preserve">0..1</w:t>
            </w:r>
            <w:r/>
          </w:p>
        </w:tc>
        <w:tc>
          <w:tcPr>
            <w:shd w:val="clear" w:color="auto" w:fill="ffffff"/>
            <w:tcBorders/>
            <w:tcMar>
              <w:left w:w="55" w:type="dxa"/>
              <w:top w:w="45" w:type="dxa"/>
              <w:right w:w="55" w:type="dxa"/>
              <w:bottom w:w="45" w:type="dxa"/>
            </w:tcMar>
            <w:tcW w:w="5915" w:type="dxa"/>
            <w:vAlign w:val="top"/>
          </w:tcPr>
          <w:p>
            <w:pPr>
              <w:pStyle w:val="1089"/>
              <w:pBdr/>
              <w:spacing/>
              <w:ind/>
              <w:rPr/>
            </w:pPr>
            <w:r>
              <w:t xml:space="preserve">Required (1) for oral/performed/interview evidence. Identify the performance, ritual, divination, interview, elicitation, sermon, teaching or collection context and its relation to the cited artifact. Missing context is an unresolved requirement.</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place_date</w:t>
            </w:r>
            <w:r/>
          </w:p>
        </w:tc>
        <w:tc>
          <w:tcPr>
            <w:shd w:val="clear" w:color="auto" w:fill="f4f6f7"/>
            <w:tcBorders/>
            <w:tcMar>
              <w:left w:w="55" w:type="dxa"/>
              <w:top w:w="45" w:type="dxa"/>
              <w:right w:w="55" w:type="dxa"/>
              <w:bottom w:w="45" w:type="dxa"/>
            </w:tcMar>
            <w:tcW w:w="1534"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5915" w:type="dxa"/>
            <w:vAlign w:val="top"/>
          </w:tcPr>
          <w:p>
            <w:pPr>
              <w:pStyle w:val="1089"/>
              <w:pBdr/>
              <w:spacing/>
              <w:ind/>
              <w:rPr/>
            </w:pPr>
            <w:r>
              <w:t xml:space="preserve">Required (1) for oral</w:t>
            </w:r>
            <w:r>
              <w:t xml:space="preserve">/performed/interview evidence. Record documented event/collection place and date or period, with explicit uncertainty, disagreement or precision limits. Lack of exact precision is not permission to invent it; inadequate event identification blocks release.</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collector_recorder</w:t>
            </w:r>
            <w:r/>
          </w:p>
        </w:tc>
        <w:tc>
          <w:tcPr>
            <w:shd w:val="clear" w:color="auto" w:fill="ffffff"/>
            <w:tcBorders/>
            <w:tcMar>
              <w:left w:w="55" w:type="dxa"/>
              <w:top w:w="45" w:type="dxa"/>
              <w:right w:w="55" w:type="dxa"/>
              <w:bottom w:w="45" w:type="dxa"/>
            </w:tcMar>
            <w:tcW w:w="1534" w:type="dxa"/>
            <w:vAlign w:val="top"/>
          </w:tcPr>
          <w:p>
            <w:pPr>
              <w:pStyle w:val="1089"/>
              <w:pBdr/>
              <w:spacing/>
              <w:ind/>
              <w:rPr/>
            </w:pPr>
            <w:r>
              <w:t xml:space="preserve">0..1</w:t>
            </w:r>
            <w:r/>
          </w:p>
        </w:tc>
        <w:tc>
          <w:tcPr>
            <w:shd w:val="clear" w:color="auto" w:fill="ffffff"/>
            <w:tcBorders/>
            <w:tcMar>
              <w:left w:w="55" w:type="dxa"/>
              <w:top w:w="45" w:type="dxa"/>
              <w:right w:w="55" w:type="dxa"/>
              <w:bottom w:w="45" w:type="dxa"/>
            </w:tcMar>
            <w:tcW w:w="5915" w:type="dxa"/>
            <w:vAlign w:val="top"/>
          </w:tcPr>
          <w:p>
            <w:pPr>
              <w:pStyle w:val="1089"/>
              <w:pBdr/>
              <w:spacing/>
              <w:ind/>
              <w:rPr/>
            </w:pPr>
            <w:r>
              <w:t xml:space="preserve">Re</w:t>
            </w:r>
            <w:r>
              <w:t xml:space="preserve">quired (1) for oral/performed/interview evidence. Name the collector, interviewer, recorder or documenting institution and its role, or retain a justified ethical restriction with an authorized verification route. Unavailable provenance remains unresolved.</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oral_unit_id</w:t>
            </w:r>
            <w:r/>
          </w:p>
        </w:tc>
        <w:tc>
          <w:tcPr>
            <w:shd w:val="clear" w:color="auto" w:fill="f4f6f7"/>
            <w:tcBorders/>
            <w:tcMar>
              <w:left w:w="55" w:type="dxa"/>
              <w:top w:w="45" w:type="dxa"/>
              <w:right w:w="55" w:type="dxa"/>
              <w:bottom w:w="45" w:type="dxa"/>
            </w:tcMar>
            <w:tcW w:w="1534"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5915" w:type="dxa"/>
            <w:vAlign w:val="top"/>
          </w:tcPr>
          <w:p>
            <w:pPr>
              <w:pStyle w:val="1089"/>
              <w:pBdr/>
              <w:spacing/>
              <w:ind/>
              <w:rPr/>
            </w:pPr>
            <w:r>
              <w:t xml:space="preserve">Required (1) when the source system provides a native oral-unit identifier for the cited unit. Otherwise omit and document that no such identifier system applies in event_context. A missing known identifier cannot be treated as not applicable.</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language_dialect</w:t>
            </w:r>
            <w:r/>
          </w:p>
        </w:tc>
        <w:tc>
          <w:tcPr>
            <w:shd w:val="clear" w:color="auto" w:fill="ffffff"/>
            <w:tcBorders/>
            <w:tcMar>
              <w:left w:w="55" w:type="dxa"/>
              <w:top w:w="45" w:type="dxa"/>
              <w:right w:w="55" w:type="dxa"/>
              <w:bottom w:w="45" w:type="dxa"/>
            </w:tcMar>
            <w:tcW w:w="1534" w:type="dxa"/>
            <w:vAlign w:val="top"/>
          </w:tcPr>
          <w:p>
            <w:pPr>
              <w:pStyle w:val="1089"/>
              <w:pBdr/>
              <w:spacing/>
              <w:ind/>
              <w:rPr/>
            </w:pPr>
            <w:r>
              <w:t xml:space="preserve">0..1</w:t>
            </w:r>
            <w:r/>
          </w:p>
        </w:tc>
        <w:tc>
          <w:tcPr>
            <w:shd w:val="clear" w:color="auto" w:fill="ffffff"/>
            <w:tcBorders/>
            <w:tcMar>
              <w:left w:w="55" w:type="dxa"/>
              <w:top w:w="45" w:type="dxa"/>
              <w:right w:w="55" w:type="dxa"/>
              <w:bottom w:w="45" w:type="dxa"/>
            </w:tcMar>
            <w:tcW w:w="5915" w:type="dxa"/>
            <w:vAlign w:val="top"/>
          </w:tcPr>
          <w:p>
            <w:pPr>
              <w:pStyle w:val="1089"/>
              <w:pBdr/>
              <w:spacing/>
              <w:ind/>
              <w:rPr/>
            </w:pPr>
            <w:r>
              <w:t xml:space="preserve">Required (1) whenever the instance contai</w:t>
            </w:r>
            <w:r>
              <w:t xml:space="preserve">ns language-bearing evidence. Record documented language(s), dialect/variety and relevant script, with uncertainty where supported. For a wholly non-linguistic performance, document that determination in event_context; it does not waive performance review.</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transcription</w:t>
            </w:r>
            <w:r/>
          </w:p>
        </w:tc>
        <w:tc>
          <w:tcPr>
            <w:shd w:val="clear" w:color="auto" w:fill="f4f6f7"/>
            <w:tcBorders/>
            <w:tcMar>
              <w:left w:w="55" w:type="dxa"/>
              <w:top w:w="45" w:type="dxa"/>
              <w:right w:w="55" w:type="dxa"/>
              <w:bottom w:w="45" w:type="dxa"/>
            </w:tcMar>
            <w:tcW w:w="1534"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5915" w:type="dxa"/>
            <w:vAlign w:val="top"/>
          </w:tcPr>
          <w:p>
            <w:pPr>
              <w:pStyle w:val="1089"/>
              <w:pBdr/>
              <w:spacing/>
              <w:ind/>
              <w:rPr/>
            </w:pPr>
            <w:r>
              <w:t xml:space="preserve">Required (1) when a transcription exists or is used, and for spoken, sung or recited content on which a textual attribution, coding or compa</w:t>
            </w:r>
            <w:r>
              <w:t xml:space="preserve">rison relies. Identify artifact, standard, responsible transcriber and version, with disputed readings. A solely non-linguistic performance may omit it with a reason in event_context and direct artifact review; a missing required transcript blocks release.</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translation</w:t>
            </w:r>
            <w:r/>
          </w:p>
        </w:tc>
        <w:tc>
          <w:tcPr>
            <w:shd w:val="clear" w:color="auto" w:fill="ffffff"/>
            <w:tcBorders/>
            <w:tcMar>
              <w:left w:w="55" w:type="dxa"/>
              <w:top w:w="45" w:type="dxa"/>
              <w:right w:w="55" w:type="dxa"/>
              <w:bottom w:w="45" w:type="dxa"/>
            </w:tcMar>
            <w:tcW w:w="1534" w:type="dxa"/>
            <w:vAlign w:val="top"/>
          </w:tcPr>
          <w:p>
            <w:pPr>
              <w:pStyle w:val="1089"/>
              <w:pBdr/>
              <w:spacing/>
              <w:ind/>
              <w:rPr/>
            </w:pPr>
            <w:r>
              <w:t xml:space="preserve">0..1</w:t>
            </w:r>
            <w:r/>
          </w:p>
        </w:tc>
        <w:tc>
          <w:tcPr>
            <w:shd w:val="clear" w:color="auto" w:fill="ffffff"/>
            <w:tcBorders/>
            <w:tcMar>
              <w:left w:w="55" w:type="dxa"/>
              <w:top w:w="45" w:type="dxa"/>
              <w:right w:w="55" w:type="dxa"/>
              <w:bottom w:w="45" w:type="dxa"/>
            </w:tcMar>
            <w:tcW w:w="5915" w:type="dxa"/>
            <w:vAlign w:val="top"/>
          </w:tcPr>
          <w:p>
            <w:pPr>
              <w:pStyle w:val="1089"/>
              <w:pBdr/>
              <w:spacing/>
              <w:ind/>
              <w:rPr/>
            </w:pPr>
            <w:r>
              <w:t xml:space="preserve">Required (1) when translation or a translated gloss is used in attribution, comparison, review or publication. Identify translator, langu</w:t>
            </w:r>
            <w:r>
              <w:t xml:space="preserve">age pair, method, artifact/version and material alternatives. Original-language-only use may omit it only where no translation is needed for the intended use or competent review, with a documented rationale; unavailable required translation blocks release.</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authorization_rights</w:t>
            </w:r>
            <w:r/>
          </w:p>
        </w:tc>
        <w:tc>
          <w:tcPr>
            <w:shd w:val="clear" w:color="auto" w:fill="f4f6f7"/>
            <w:tcBorders/>
            <w:tcMar>
              <w:left w:w="55" w:type="dxa"/>
              <w:top w:w="45" w:type="dxa"/>
              <w:right w:w="55" w:type="dxa"/>
              <w:bottom w:w="45" w:type="dxa"/>
            </w:tcMar>
            <w:tcW w:w="1534"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5915" w:type="dxa"/>
            <w:vAlign w:val="top"/>
          </w:tcPr>
          <w:p>
            <w:pPr>
              <w:pStyle w:val="1089"/>
              <w:pBdr/>
              <w:spacing/>
              <w:ind/>
              <w:rPr/>
            </w:pPr>
            <w:r>
              <w:t xml:space="preserve">Required (1) for every release-candidate oral/performed/interview instance and whenever another cited instanc</w:t>
            </w:r>
            <w:r>
              <w:t xml:space="preserve">e has use-specific rights or protocols. Record consent/authorization or other applicable lawful rights basis, restrictions, embargoes, community protocols and permitted uses. Public availability is not consent; absent required authorization blocks release.</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artifact_locator</w:t>
            </w:r>
            <w:r/>
          </w:p>
        </w:tc>
        <w:tc>
          <w:tcPr>
            <w:shd w:val="clear" w:color="auto" w:fill="ffffff"/>
            <w:tcBorders/>
            <w:tcMar>
              <w:left w:w="55" w:type="dxa"/>
              <w:top w:w="45" w:type="dxa"/>
              <w:right w:w="55" w:type="dxa"/>
              <w:bottom w:w="45" w:type="dxa"/>
            </w:tcMar>
            <w:tcW w:w="1534" w:type="dxa"/>
            <w:vAlign w:val="top"/>
          </w:tcPr>
          <w:p>
            <w:pPr>
              <w:pStyle w:val="1089"/>
              <w:pBdr/>
              <w:spacing/>
              <w:ind/>
              <w:rPr/>
            </w:pPr>
            <w:r>
              <w:t xml:space="preserve">0..1</w:t>
            </w:r>
            <w:r/>
          </w:p>
        </w:tc>
        <w:tc>
          <w:tcPr>
            <w:shd w:val="clear" w:color="auto" w:fill="ffffff"/>
            <w:tcBorders/>
            <w:tcMar>
              <w:left w:w="55" w:type="dxa"/>
              <w:top w:w="45" w:type="dxa"/>
              <w:right w:w="55" w:type="dxa"/>
              <w:bottom w:w="45" w:type="dxa"/>
            </w:tcMar>
            <w:tcW w:w="5915" w:type="dxa"/>
            <w:vAlign w:val="top"/>
          </w:tcPr>
          <w:p>
            <w:pPr>
              <w:pStyle w:val="1089"/>
              <w:pBdr/>
              <w:spacing/>
              <w:ind/>
              <w:rPr/>
            </w:pPr>
            <w:r>
              <w:t xml:space="preserve">Required (1) for oral/performed/interview and audiovisual evidence; also when another eviden</w:t>
            </w:r>
            <w:r>
              <w:t xml:space="preserve">ce form requires an instance-level artifact to satisfy §5.3. Give human-verifiable artifact ID and timestamp/segment or exact textual locator, resolving source_instance_id and the cited record version. An inaccessible mandatory chain is not not-applicable.</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editorial_history</w:t>
            </w:r>
            <w:r/>
          </w:p>
        </w:tc>
        <w:tc>
          <w:tcPr>
            <w:shd w:val="clear" w:color="auto" w:fill="f4f6f7"/>
            <w:tcBorders/>
            <w:tcMar>
              <w:left w:w="55" w:type="dxa"/>
              <w:top w:w="45" w:type="dxa"/>
              <w:right w:w="55" w:type="dxa"/>
              <w:bottom w:w="45" w:type="dxa"/>
            </w:tcMar>
            <w:tcW w:w="1534"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5915" w:type="dxa"/>
            <w:vAlign w:val="top"/>
          </w:tcPr>
          <w:p>
            <w:pPr>
              <w:pStyle w:val="1089"/>
              <w:pBdr/>
              <w:spacing/>
              <w:ind/>
              <w:rPr/>
            </w:pPr>
            <w:r>
              <w:t xml:space="preserve">Required (1) for oral/performed/interview evidence and wherever editing, normalization, translation, excerpting, redaction or publication transformatio</w:t>
            </w:r>
            <w:r>
              <w:t xml:space="preserve">ns materially affect a cited instance. Record known transformations and their responsible agents/versions, or a supported finding that none occurred. Unknown history remains a limitation; uncertainty material to attribution or authorization blocks release.</w:t>
            </w:r>
            <w:r/>
          </w:p>
        </w:tc>
      </w:tr>
    </w:tbl>
    <w:p>
      <w:pPr>
        <w:pStyle w:val="1097"/>
        <w:pBdr/>
        <w:spacing/>
        <w:ind/>
        <w:rPr/>
      </w:pPr>
      <w:r/>
      <w:r/>
    </w:p>
    <w:p>
      <w:pPr>
        <w:pStyle w:val="1086"/>
        <w:keepNext w:val="true"/>
        <w:keepLines w:val="true"/>
        <w:pBdr/>
        <w:spacing/>
        <w:ind/>
        <w:rPr/>
      </w:pPr>
      <w:r/>
      <w:bookmarkStart w:id="125" w:name="tbl_schema_evidence"/>
      <w:r>
        <w:t xml:space="preserve">Governing — EvidenceLink minimum schema</w:t>
      </w:r>
      <w:bookmarkEnd w:id="125"/>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629"/>
        <w:gridCol w:w="1461"/>
        <w:gridCol w:w="5915"/>
      </w:tblGrid>
      <w:tr>
        <w:trPr>
          <w:cantSplit/>
          <w:tblHeader/>
        </w:trPr>
        <w:tc>
          <w:tcPr>
            <w:shd w:val="clear" w:color="auto" w:fill="1f5d7a"/>
            <w:tcBorders/>
            <w:tcMar>
              <w:left w:w="55" w:type="dxa"/>
              <w:top w:w="45" w:type="dxa"/>
              <w:right w:w="55" w:type="dxa"/>
              <w:bottom w:w="45" w:type="dxa"/>
            </w:tcMar>
            <w:tcW w:w="2629"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1461"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5915"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629" w:type="dxa"/>
            <w:vAlign w:val="top"/>
          </w:tcPr>
          <w:p>
            <w:pPr>
              <w:pStyle w:val="1089"/>
              <w:pBdr/>
              <w:spacing/>
              <w:ind/>
              <w:rPr/>
            </w:pPr>
            <w:r>
              <w:t xml:space="preserve">evidence_id</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5915" w:type="dxa"/>
            <w:vAlign w:val="top"/>
          </w:tcPr>
          <w:p>
            <w:pPr>
              <w:pStyle w:val="1089"/>
              <w:pBdr/>
              <w:spacing/>
              <w:ind/>
              <w:rPr/>
            </w:pPr>
            <w:r>
              <w:t xml:space="preserve">Persistent identifier.</w:t>
            </w:r>
            <w:r/>
          </w:p>
        </w:tc>
      </w:tr>
      <w:tr>
        <w:trPr>
          <w:cantSplit/>
        </w:trPr>
        <w:tc>
          <w:tcPr>
            <w:shd w:val="clear" w:color="auto" w:fill="f4f6f7"/>
            <w:tcBorders/>
            <w:tcMar>
              <w:left w:w="55" w:type="dxa"/>
              <w:top w:w="45" w:type="dxa"/>
              <w:right w:w="55" w:type="dxa"/>
              <w:bottom w:w="45" w:type="dxa"/>
            </w:tcMar>
            <w:tcW w:w="2629" w:type="dxa"/>
            <w:vAlign w:val="top"/>
          </w:tcPr>
          <w:p>
            <w:pPr>
              <w:pStyle w:val="1089"/>
              <w:pBdr/>
              <w:spacing/>
              <w:ind/>
              <w:rPr/>
            </w:pPr>
            <w:r>
              <w:t xml:space="preserve">claim_or_interpretation_id</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5915" w:type="dxa"/>
            <w:vAlign w:val="top"/>
          </w:tcPr>
          <w:p>
            <w:pPr>
              <w:pStyle w:val="1089"/>
              <w:pBdr/>
              <w:spacing/>
              <w:ind/>
              <w:rPr/>
            </w:pPr>
            <w:r>
              <w:t xml:space="preserve">Claim-specific target.</w:t>
            </w:r>
            <w:r/>
          </w:p>
        </w:tc>
      </w:tr>
      <w:tr>
        <w:trPr>
          <w:cantSplit/>
        </w:trPr>
        <w:tc>
          <w:tcPr>
            <w:shd w:val="clear" w:color="auto" w:fill="ffffff"/>
            <w:tcBorders/>
            <w:tcMar>
              <w:left w:w="55" w:type="dxa"/>
              <w:top w:w="45" w:type="dxa"/>
              <w:right w:w="55" w:type="dxa"/>
              <w:bottom w:w="45" w:type="dxa"/>
            </w:tcMar>
            <w:tcW w:w="2629" w:type="dxa"/>
            <w:vAlign w:val="top"/>
          </w:tcPr>
          <w:p>
            <w:pPr>
              <w:pStyle w:val="1089"/>
              <w:pBdr/>
              <w:spacing/>
              <w:ind/>
              <w:rPr/>
            </w:pPr>
            <w:r>
              <w:t xml:space="preserve">source_id</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5915" w:type="dxa"/>
            <w:vAlign w:val="top"/>
          </w:tcPr>
          <w:p>
            <w:pPr>
              <w:pStyle w:val="1089"/>
              <w:pBdr/>
              <w:spacing/>
              <w:ind/>
              <w:rPr/>
            </w:pPr>
            <w:r>
              <w:t xml:space="preserve">Resolvable SourceRecord links. At least one source_id or source_instance_id is required across the two link fields. Direct source-only linkage is permitted only where §5.3 is fully satisfied without a mandatory instance.</w:t>
            </w:r>
            <w:r/>
          </w:p>
        </w:tc>
      </w:tr>
      <w:tr>
        <w:trPr>
          <w:cantSplit/>
        </w:trPr>
        <w:tc>
          <w:tcPr>
            <w:shd w:val="clear" w:color="auto" w:fill="ffffff"/>
            <w:tcBorders/>
            <w:tcMar>
              <w:left w:w="55" w:type="dxa"/>
              <w:top w:w="45" w:type="dxa"/>
              <w:right w:w="55" w:type="dxa"/>
              <w:bottom w:w="45" w:type="dxa"/>
            </w:tcMar>
            <w:tcW w:w="2629" w:type="dxa"/>
            <w:vAlign w:val="top"/>
          </w:tcPr>
          <w:p>
            <w:pPr>
              <w:pStyle w:val="1089"/>
              <w:pBdr/>
              <w:spacing/>
              <w:ind/>
              <w:rPr/>
            </w:pPr>
            <w:r>
              <w:t xml:space="preserve">source_instance_id</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5915" w:type="dxa"/>
            <w:vAlign w:val="top"/>
          </w:tcPr>
          <w:p>
            <w:pPr>
              <w:pStyle w:val="1089"/>
              <w:pBdr/>
              <w:spacing/>
              <w:ind/>
              <w:rPr/>
            </w:pPr>
            <w:r>
              <w:t xml:space="preserve">Resolvable SourceInstance links; one or more are required fo</w:t>
            </w:r>
            <w:r>
              <w:t xml:space="preserve">r oral/performed/interview or audiovisual evidence, and when the edition, witness, recording, event or dataset version cannot be uniquely bounded by SourceRecord plus exact_locator. Each link resolves source_ids, instance_scope and the record version used.</w:t>
            </w:r>
            <w:r/>
          </w:p>
        </w:tc>
      </w:tr>
      <w:tr>
        <w:trPr>
          <w:cantSplit/>
        </w:trPr>
        <w:tc>
          <w:tcPr>
            <w:shd w:val="clear" w:color="auto" w:fill="f4f6f7"/>
            <w:tcBorders/>
            <w:tcMar>
              <w:left w:w="55" w:type="dxa"/>
              <w:top w:w="45" w:type="dxa"/>
              <w:right w:w="55" w:type="dxa"/>
              <w:bottom w:w="45" w:type="dxa"/>
            </w:tcMar>
            <w:tcW w:w="2629" w:type="dxa"/>
            <w:vAlign w:val="top"/>
          </w:tcPr>
          <w:p>
            <w:pPr>
              <w:pStyle w:val="1089"/>
              <w:pBdr/>
              <w:spacing/>
              <w:ind/>
              <w:rPr/>
            </w:pPr>
            <w:r>
              <w:t xml:space="preserve">evidence_role</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5915" w:type="dxa"/>
            <w:vAlign w:val="top"/>
          </w:tcPr>
          <w:p>
            <w:pPr>
              <w:pStyle w:val="1089"/>
              <w:pBdr/>
              <w:spacing/>
              <w:ind/>
              <w:rPr/>
            </w:pPr>
            <w:r>
              <w:t xml:space="preserve">One claim-specific qualified role.</w:t>
            </w:r>
            <w:r/>
          </w:p>
        </w:tc>
      </w:tr>
      <w:tr>
        <w:trPr>
          <w:cantSplit/>
        </w:trPr>
        <w:tc>
          <w:tcPr>
            <w:shd w:val="clear" w:color="auto" w:fill="ffffff"/>
            <w:tcBorders/>
            <w:tcMar>
              <w:left w:w="55" w:type="dxa"/>
              <w:top w:w="45" w:type="dxa"/>
              <w:right w:w="55" w:type="dxa"/>
              <w:bottom w:w="45" w:type="dxa"/>
            </w:tcMar>
            <w:tcW w:w="2629" w:type="dxa"/>
            <w:vAlign w:val="top"/>
          </w:tcPr>
          <w:p>
            <w:pPr>
              <w:pStyle w:val="1089"/>
              <w:pBdr/>
              <w:spacing/>
              <w:ind/>
              <w:rPr/>
            </w:pPr>
            <w:r>
              <w:t xml:space="preserve">exact_locator</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5915" w:type="dxa"/>
            <w:vAlign w:val="top"/>
          </w:tcPr>
          <w:p>
            <w:pPr>
              <w:pStyle w:val="1089"/>
              <w:pBdr/>
              <w:spacing/>
              <w:ind/>
              <w:rPr/>
            </w:pPr>
            <w:r>
              <w:t xml:space="preserve">Human-verifiable locator under §5.3.</w:t>
            </w:r>
            <w:r/>
          </w:p>
        </w:tc>
      </w:tr>
      <w:tr>
        <w:trPr>
          <w:cantSplit/>
        </w:trPr>
        <w:tc>
          <w:tcPr>
            <w:shd w:val="clear" w:color="auto" w:fill="f4f6f7"/>
            <w:tcBorders/>
            <w:tcMar>
              <w:left w:w="55" w:type="dxa"/>
              <w:top w:w="45" w:type="dxa"/>
              <w:right w:w="55" w:type="dxa"/>
              <w:bottom w:w="45" w:type="dxa"/>
            </w:tcMar>
            <w:tcW w:w="2629" w:type="dxa"/>
            <w:vAlign w:val="top"/>
          </w:tcPr>
          <w:p>
            <w:pPr>
              <w:pStyle w:val="1089"/>
              <w:pBdr/>
              <w:spacing/>
              <w:ind/>
              <w:rPr/>
            </w:pPr>
            <w:r>
              <w:t xml:space="preserve">quotation_or_excerpt_pointer</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5915" w:type="dxa"/>
            <w:vAlign w:val="top"/>
          </w:tcPr>
          <w:p>
            <w:pPr>
              <w:pStyle w:val="1089"/>
              <w:pBdr/>
              <w:spacing/>
              <w:ind/>
              <w:rPr/>
            </w:pPr>
            <w:r>
              <w:t xml:space="preserve">Pointer sufficient for human verification; quotations remain sparing.</w:t>
            </w:r>
            <w:r/>
          </w:p>
        </w:tc>
      </w:tr>
      <w:tr>
        <w:trPr>
          <w:cantSplit/>
        </w:trPr>
        <w:tc>
          <w:tcPr>
            <w:shd w:val="clear" w:color="auto" w:fill="ffffff"/>
            <w:tcBorders/>
            <w:tcMar>
              <w:left w:w="55" w:type="dxa"/>
              <w:top w:w="45" w:type="dxa"/>
              <w:right w:w="55" w:type="dxa"/>
              <w:bottom w:w="45" w:type="dxa"/>
            </w:tcMar>
            <w:tcW w:w="2629" w:type="dxa"/>
            <w:vAlign w:val="top"/>
          </w:tcPr>
          <w:p>
            <w:pPr>
              <w:pStyle w:val="1089"/>
              <w:pBdr/>
              <w:spacing/>
              <w:ind/>
              <w:rPr/>
            </w:pPr>
            <w:r>
              <w:t xml:space="preserve">confidence</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5915" w:type="dxa"/>
            <w:vAlign w:val="top"/>
          </w:tcPr>
          <w:p>
            <w:pPr>
              <w:pStyle w:val="1089"/>
              <w:pBdr/>
              <w:spacing/>
              <w:ind/>
              <w:rPr/>
            </w:pPr>
            <w:r>
              <w:t xml:space="preserve">Qualified confidence with reason.</w:t>
            </w:r>
            <w:r/>
          </w:p>
        </w:tc>
      </w:tr>
      <w:tr>
        <w:trPr>
          <w:cantSplit/>
        </w:trPr>
        <w:tc>
          <w:tcPr>
            <w:shd w:val="clear" w:color="auto" w:fill="f4f6f7"/>
            <w:tcBorders/>
            <w:tcMar>
              <w:left w:w="55" w:type="dxa"/>
              <w:top w:w="45" w:type="dxa"/>
              <w:right w:w="55" w:type="dxa"/>
              <w:bottom w:w="45" w:type="dxa"/>
            </w:tcMar>
            <w:tcW w:w="2629" w:type="dxa"/>
            <w:vAlign w:val="top"/>
          </w:tcPr>
          <w:p>
            <w:pPr>
              <w:pStyle w:val="1089"/>
              <w:pBdr/>
              <w:spacing/>
              <w:ind/>
              <w:rPr/>
            </w:pPr>
            <w:r>
              <w:t xml:space="preserve">notes</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0..*</w:t>
            </w:r>
            <w:r/>
          </w:p>
        </w:tc>
        <w:tc>
          <w:tcPr>
            <w:shd w:val="clear" w:color="auto" w:fill="f4f6f7"/>
            <w:tcBorders/>
            <w:tcMar>
              <w:left w:w="55" w:type="dxa"/>
              <w:top w:w="45" w:type="dxa"/>
              <w:right w:w="55" w:type="dxa"/>
              <w:bottom w:w="45" w:type="dxa"/>
            </w:tcMar>
            <w:tcW w:w="5915" w:type="dxa"/>
            <w:vAlign w:val="top"/>
          </w:tcPr>
          <w:p>
            <w:pPr>
              <w:pStyle w:val="1089"/>
              <w:pBdr/>
              <w:spacing/>
              <w:ind/>
              <w:rPr/>
            </w:pPr>
            <w:r>
              <w:t xml:space="preserve">Source-fit, rights, counterevidence or interpretive notes.</w:t>
            </w:r>
            <w:r/>
          </w:p>
        </w:tc>
      </w:tr>
    </w:tbl>
    <w:p>
      <w:pPr>
        <w:pStyle w:val="1083"/>
        <w:pBdr/>
        <w:spacing/>
        <w:ind/>
        <w:rPr/>
      </w:pPr>
      <w:r>
        <w:t xml:space="preserve">Each direct source_id and every source_ids entry reached through source_instance_id must resolve. Where both link fields identify the same evidence chain,</w:t>
      </w:r>
      <w:r>
        <w:t xml:space="preserve"> they must agree on source context. exact_locator identifies the cited evidence scope and version; artifact references resolve to the same SourceInstance. Multiple links do not permit an unbounded aggregate locator or conceal distinct event/witness chains.</w:t>
      </w:r>
      <w:r/>
    </w:p>
    <w:p>
      <w:pPr>
        <w:pStyle w:val="1097"/>
        <w:pBdr/>
        <w:spacing/>
        <w:ind/>
        <w:rPr/>
      </w:pPr>
      <w:r/>
      <w:r/>
    </w:p>
    <w:p>
      <w:pPr>
        <w:pStyle w:val="924"/>
        <w:keepNext w:val="true"/>
        <w:keepLines w:val="true"/>
        <w:pBdr/>
        <w:spacing/>
        <w:ind/>
        <w:rPr/>
      </w:pPr>
      <w:r/>
      <w:bookmarkStart w:id="126" w:name="schema_comparison_records"/>
      <w:r>
        <w:t xml:space="preserve">B2.7 ComparisonEvent and ComparativeRelation</w:t>
      </w:r>
      <w:bookmarkEnd w:id="126"/>
      <w:r/>
      <w:r/>
    </w:p>
    <w:p>
      <w:pPr>
        <w:pStyle w:val="1086"/>
        <w:keepNext w:val="true"/>
        <w:keepLines w:val="true"/>
        <w:pBdr/>
        <w:spacing/>
        <w:ind/>
        <w:rPr/>
      </w:pPr>
      <w:r/>
      <w:bookmarkStart w:id="127" w:name="tbl_schema_comparison_event"/>
      <w:r>
        <w:t xml:space="preserve">Governing — ComparisonEvent minimum schema</w:t>
      </w:r>
      <w:bookmarkEnd w:id="127"/>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556"/>
        <w:gridCol w:w="1461"/>
        <w:gridCol w:w="5988"/>
      </w:tblGrid>
      <w:tr>
        <w:trPr>
          <w:cantSplit/>
          <w:tblHeader/>
        </w:trPr>
        <w:tc>
          <w:tcPr>
            <w:shd w:val="clear" w:color="auto" w:fill="1f5d7a"/>
            <w:tcBorders/>
            <w:tcMar>
              <w:left w:w="55" w:type="dxa"/>
              <w:top w:w="45" w:type="dxa"/>
              <w:right w:w="55" w:type="dxa"/>
              <w:bottom w:w="45" w:type="dxa"/>
            </w:tcMar>
            <w:tcW w:w="2556"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1461"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5988"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comparison_id</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5988" w:type="dxa"/>
            <w:vAlign w:val="top"/>
          </w:tcPr>
          <w:p>
            <w:pPr>
              <w:pStyle w:val="1089"/>
              <w:pBdr/>
              <w:spacing/>
              <w:ind/>
              <w:rPr/>
            </w:pPr>
            <w:r>
              <w:t xml:space="preserve">Persistent identifier.</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research_question_or_tertium</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5988" w:type="dxa"/>
            <w:vAlign w:val="top"/>
          </w:tcPr>
          <w:p>
            <w:pPr>
              <w:pStyle w:val="1089"/>
              <w:pBdr/>
              <w:spacing/>
              <w:ind/>
              <w:rPr/>
            </w:pPr>
            <w:r>
              <w:t xml:space="preserve">Declared comparison question or tertium.</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comparand_position_ids</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2..*</w:t>
            </w:r>
            <w:r/>
          </w:p>
        </w:tc>
        <w:tc>
          <w:tcPr>
            <w:shd w:val="clear" w:color="auto" w:fill="ffffff"/>
            <w:tcBorders/>
            <w:tcMar>
              <w:left w:w="55" w:type="dxa"/>
              <w:top w:w="45" w:type="dxa"/>
              <w:right w:w="55" w:type="dxa"/>
              <w:bottom w:w="45" w:type="dxa"/>
            </w:tcMar>
            <w:tcW w:w="5988" w:type="dxa"/>
            <w:vAlign w:val="top"/>
          </w:tcPr>
          <w:p>
            <w:pPr>
              <w:pStyle w:val="1089"/>
              <w:pBdr/>
              <w:spacing/>
              <w:ind/>
              <w:rPr/>
            </w:pPr>
            <w:r>
              <w:t xml:space="preserve">Bounded Position IDs at an explicit normalized scale.</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left_claim_ids / right_claim_ids</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1..* each</w:t>
            </w:r>
            <w:r/>
          </w:p>
        </w:tc>
        <w:tc>
          <w:tcPr>
            <w:shd w:val="clear" w:color="auto" w:fill="f4f6f7"/>
            <w:tcBorders/>
            <w:tcMar>
              <w:left w:w="55" w:type="dxa"/>
              <w:top w:w="45" w:type="dxa"/>
              <w:right w:w="55" w:type="dxa"/>
              <w:bottom w:w="45" w:type="dxa"/>
            </w:tcMar>
            <w:tcW w:w="5988" w:type="dxa"/>
            <w:vAlign w:val="top"/>
          </w:tcPr>
          <w:p>
            <w:pPr>
              <w:pStyle w:val="1089"/>
              <w:pBdr/>
              <w:spacing/>
              <w:ind/>
              <w:rPr/>
            </w:pPr>
            <w:r>
              <w:t xml:space="preserve">Exact propositions compared; no free-text summary substitute.</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mode_and_scale</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5988" w:type="dxa"/>
            <w:vAlign w:val="top"/>
          </w:tcPr>
          <w:p>
            <w:pPr>
              <w:pStyle w:val="1089"/>
              <w:pBdr/>
              <w:spacing/>
              <w:ind/>
              <w:rPr/>
            </w:pPr>
            <w:r>
              <w:t xml:space="preserve">Declared comparison mode and analytical scale.</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relation_dimension</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5988" w:type="dxa"/>
            <w:vAlign w:val="top"/>
          </w:tcPr>
          <w:p>
            <w:pPr>
              <w:pStyle w:val="1089"/>
              <w:pBdr/>
              <w:spacing/>
              <w:ind/>
              <w:rPr/>
            </w:pPr>
            <w:r>
              <w:t xml:space="preserve">Qualified dimension.</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temporal_and_position_scope</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5988" w:type="dxa"/>
            <w:vAlign w:val="top"/>
          </w:tcPr>
          <w:p>
            <w:pPr>
              <w:pStyle w:val="1089"/>
              <w:pBdr/>
              <w:spacing/>
              <w:ind/>
              <w:rPr/>
            </w:pPr>
            <w:r>
              <w:t xml:space="preserve">Bounded time, corpus, subposition and Atlas question.</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granularity_check</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5988" w:type="dxa"/>
            <w:vAlign w:val="top"/>
          </w:tcPr>
          <w:p>
            <w:pPr>
              <w:pStyle w:val="1089"/>
              <w:pBdr/>
              <w:spacing/>
              <w:ind/>
              <w:rPr/>
            </w:pPr>
            <w:r>
              <w:t xml:space="preserve">Result and documented asymmetry where cross-level normalization is used.</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cross_level_normalization</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0..1</w:t>
            </w:r>
            <w:r/>
          </w:p>
        </w:tc>
        <w:tc>
          <w:tcPr>
            <w:shd w:val="clear" w:color="auto" w:fill="ffffff"/>
            <w:tcBorders/>
            <w:tcMar>
              <w:left w:w="55" w:type="dxa"/>
              <w:top w:w="45" w:type="dxa"/>
              <w:right w:w="55" w:type="dxa"/>
              <w:bottom w:w="45" w:type="dxa"/>
            </w:tcMar>
            <w:tcW w:w="5988" w:type="dxa"/>
            <w:vAlign w:val="top"/>
          </w:tcPr>
          <w:p>
            <w:pPr>
              <w:pStyle w:val="1089"/>
              <w:pBdr/>
              <w:spacing/>
              <w:ind/>
              <w:rPr/>
            </w:pPr>
            <w:r>
              <w:t xml:space="preserve">How unlike source levels were made analytically commensurate.</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source_adequacy_both_sides</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5988" w:type="dxa"/>
            <w:vAlign w:val="top"/>
          </w:tcPr>
          <w:p>
            <w:pPr>
              <w:pStyle w:val="1089"/>
              <w:pBdr/>
              <w:spacing/>
              <w:ind/>
              <w:rPr/>
            </w:pPr>
            <w:r>
              <w:t xml:space="preserve">Evidence adequacy for every relation proposed.</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tertium_validity</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5988" w:type="dxa"/>
            <w:vAlign w:val="top"/>
          </w:tcPr>
          <w:p>
            <w:pPr>
              <w:pStyle w:val="1089"/>
              <w:pBdr/>
              <w:spacing/>
              <w:ind/>
              <w:rPr/>
            </w:pPr>
            <w:r>
              <w:t xml:space="preserve">VALID, REVISED or DISTORTING.</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replacement_comparison_id</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5988" w:type="dxa"/>
            <w:vAlign w:val="top"/>
          </w:tcPr>
          <w:p>
            <w:pPr>
              <w:pStyle w:val="1089"/>
              <w:pBdr/>
              <w:spacing/>
              <w:ind/>
              <w:rPr/>
            </w:pPr>
            <w:r>
              <w:t xml:space="preserve">Required when comparison continues after revision.</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unresolved_issues</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5988" w:type="dxa"/>
            <w:vAlign w:val="top"/>
          </w:tcPr>
          <w:p>
            <w:pPr>
              <w:pStyle w:val="1089"/>
              <w:pBdr/>
              <w:spacing/>
              <w:ind/>
              <w:rPr/>
            </w:pPr>
            <w:r>
              <w:t xml:space="preserve">Open category, source, translation, scope or coherence issues.</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review_version</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5988" w:type="dxa"/>
            <w:vAlign w:val="top"/>
          </w:tcPr>
          <w:p>
            <w:pPr>
              <w:pStyle w:val="1089"/>
              <w:pBdr/>
              <w:spacing/>
              <w:ind/>
              <w:rPr/>
            </w:pPr>
            <w:r>
              <w:t xml:space="preserve">Reviewer, date, version and supersession.</w:t>
            </w:r>
            <w:r/>
          </w:p>
        </w:tc>
      </w:tr>
    </w:tbl>
    <w:p>
      <w:pPr>
        <w:pStyle w:val="1097"/>
        <w:pBdr/>
        <w:spacing/>
        <w:ind/>
        <w:rPr/>
      </w:pPr>
      <w:r/>
      <w:r/>
    </w:p>
    <w:p>
      <w:pPr>
        <w:pStyle w:val="1086"/>
        <w:keepNext w:val="true"/>
        <w:keepLines w:val="true"/>
        <w:pBdr/>
        <w:spacing/>
        <w:ind/>
        <w:rPr/>
      </w:pPr>
      <w:r/>
      <w:bookmarkStart w:id="128" w:name="tbl_schema_relation"/>
      <w:r>
        <w:t xml:space="preserve">Governing — ComparativeRelation minimum schema</w:t>
      </w:r>
      <w:bookmarkEnd w:id="128"/>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702"/>
        <w:gridCol w:w="1461"/>
        <w:gridCol w:w="5842"/>
      </w:tblGrid>
      <w:tr>
        <w:trPr>
          <w:cantSplit/>
          <w:tblHeader/>
        </w:trPr>
        <w:tc>
          <w:tcPr>
            <w:shd w:val="clear" w:color="auto" w:fill="1f5d7a"/>
            <w:tcBorders/>
            <w:tcMar>
              <w:left w:w="55" w:type="dxa"/>
              <w:top w:w="45" w:type="dxa"/>
              <w:right w:w="55" w:type="dxa"/>
              <w:bottom w:w="45" w:type="dxa"/>
            </w:tcMar>
            <w:tcW w:w="2702"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1461"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5842"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702" w:type="dxa"/>
            <w:vAlign w:val="top"/>
          </w:tcPr>
          <w:p>
            <w:pPr>
              <w:pStyle w:val="1089"/>
              <w:pBdr/>
              <w:spacing/>
              <w:ind/>
              <w:rPr/>
            </w:pPr>
            <w:r>
              <w:t xml:space="preserve">relation_id</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5842" w:type="dxa"/>
            <w:vAlign w:val="top"/>
          </w:tcPr>
          <w:p>
            <w:pPr>
              <w:pStyle w:val="1089"/>
              <w:pBdr/>
              <w:spacing/>
              <w:ind/>
              <w:rPr/>
            </w:pPr>
            <w:r>
              <w:t xml:space="preserve">Persistent identifier.</w:t>
            </w:r>
            <w:r/>
          </w:p>
        </w:tc>
      </w:tr>
      <w:tr>
        <w:trPr>
          <w:cantSplit/>
        </w:trPr>
        <w:tc>
          <w:tcPr>
            <w:shd w:val="clear" w:color="auto" w:fill="f4f6f7"/>
            <w:tcBorders/>
            <w:tcMar>
              <w:left w:w="55" w:type="dxa"/>
              <w:top w:w="45" w:type="dxa"/>
              <w:right w:w="55" w:type="dxa"/>
              <w:bottom w:w="45" w:type="dxa"/>
            </w:tcMar>
            <w:tcW w:w="2702" w:type="dxa"/>
            <w:vAlign w:val="top"/>
          </w:tcPr>
          <w:p>
            <w:pPr>
              <w:pStyle w:val="1089"/>
              <w:pBdr/>
              <w:spacing/>
              <w:ind/>
              <w:rPr/>
            </w:pPr>
            <w:r>
              <w:t xml:space="preserve">comparison_id</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5842" w:type="dxa"/>
            <w:vAlign w:val="top"/>
          </w:tcPr>
          <w:p>
            <w:pPr>
              <w:pStyle w:val="1089"/>
              <w:pBdr/>
              <w:spacing/>
              <w:ind/>
              <w:rPr/>
            </w:pPr>
            <w:r>
              <w:t xml:space="preserve">Parent ComparisonEvent.</w:t>
            </w:r>
            <w:r/>
          </w:p>
        </w:tc>
      </w:tr>
      <w:tr>
        <w:trPr>
          <w:cantSplit/>
        </w:trPr>
        <w:tc>
          <w:tcPr>
            <w:shd w:val="clear" w:color="auto" w:fill="ffffff"/>
            <w:tcBorders/>
            <w:tcMar>
              <w:left w:w="55" w:type="dxa"/>
              <w:top w:w="45" w:type="dxa"/>
              <w:right w:w="55" w:type="dxa"/>
              <w:bottom w:w="45" w:type="dxa"/>
            </w:tcMar>
            <w:tcW w:w="2702" w:type="dxa"/>
            <w:vAlign w:val="top"/>
          </w:tcPr>
          <w:p>
            <w:pPr>
              <w:pStyle w:val="1089"/>
              <w:pBdr/>
              <w:spacing/>
              <w:ind/>
              <w:rPr/>
            </w:pPr>
            <w:r>
              <w:t xml:space="preserve">relation_type</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5842" w:type="dxa"/>
            <w:vAlign w:val="top"/>
          </w:tcPr>
          <w:p>
            <w:pPr>
              <w:pStyle w:val="1089"/>
              <w:pBdr/>
              <w:spacing/>
              <w:ind/>
              <w:rPr/>
            </w:pPr>
            <w:r>
              <w:t xml:space="preserve">Exactly one qualified relation type. Multi-label coding uses multiple records.</w:t>
            </w:r>
            <w:r/>
          </w:p>
        </w:tc>
      </w:tr>
      <w:tr>
        <w:trPr>
          <w:cantSplit/>
        </w:trPr>
        <w:tc>
          <w:tcPr>
            <w:shd w:val="clear" w:color="auto" w:fill="f4f6f7"/>
            <w:tcBorders/>
            <w:tcMar>
              <w:left w:w="55" w:type="dxa"/>
              <w:top w:w="45" w:type="dxa"/>
              <w:right w:w="55" w:type="dxa"/>
              <w:bottom w:w="45" w:type="dxa"/>
            </w:tcMar>
            <w:tcW w:w="2702" w:type="dxa"/>
            <w:vAlign w:val="top"/>
          </w:tcPr>
          <w:p>
            <w:pPr>
              <w:pStyle w:val="1089"/>
              <w:pBdr/>
              <w:spacing/>
              <w:ind/>
              <w:rPr/>
            </w:pPr>
            <w:r>
              <w:t xml:space="preserve">logical_coherence_key</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5842" w:type="dxa"/>
            <w:vAlign w:val="top"/>
          </w:tcPr>
          <w:p>
            <w:pPr>
              <w:pStyle w:val="1089"/>
              <w:pBdr/>
              <w:spacing/>
              <w:ind/>
              <w:rPr/>
            </w:pPr>
            <w:r>
              <w:t xml:space="preserve">Comparison ID + Claim pair + relation dimension + temporal/Position scope.</w:t>
            </w:r>
            <w:r/>
          </w:p>
        </w:tc>
      </w:tr>
      <w:tr>
        <w:trPr>
          <w:cantSplit/>
        </w:trPr>
        <w:tc>
          <w:tcPr>
            <w:shd w:val="clear" w:color="auto" w:fill="ffffff"/>
            <w:tcBorders/>
            <w:tcMar>
              <w:left w:w="55" w:type="dxa"/>
              <w:top w:w="45" w:type="dxa"/>
              <w:right w:w="55" w:type="dxa"/>
              <w:bottom w:w="45" w:type="dxa"/>
            </w:tcMar>
            <w:tcW w:w="2702" w:type="dxa"/>
            <w:vAlign w:val="top"/>
          </w:tcPr>
          <w:p>
            <w:pPr>
              <w:pStyle w:val="1089"/>
              <w:pBdr/>
              <w:spacing/>
              <w:ind/>
              <w:rPr/>
            </w:pPr>
            <w:r>
              <w:t xml:space="preserve">relation_scope</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5842" w:type="dxa"/>
            <w:vAlign w:val="top"/>
          </w:tcPr>
          <w:p>
            <w:pPr>
              <w:pStyle w:val="1089"/>
              <w:pBdr/>
              <w:spacing/>
              <w:ind/>
              <w:rPr/>
            </w:pPr>
            <w:r>
              <w:t xml:space="preserve">Exact proposition and dimensional respect in which the relation holds.</w:t>
            </w:r>
            <w:r/>
          </w:p>
        </w:tc>
      </w:tr>
      <w:tr>
        <w:trPr>
          <w:cantSplit/>
        </w:trPr>
        <w:tc>
          <w:tcPr>
            <w:shd w:val="clear" w:color="auto" w:fill="f4f6f7"/>
            <w:tcBorders/>
            <w:tcMar>
              <w:left w:w="55" w:type="dxa"/>
              <w:top w:w="45" w:type="dxa"/>
              <w:right w:w="55" w:type="dxa"/>
              <w:bottom w:w="45" w:type="dxa"/>
            </w:tcMar>
            <w:tcW w:w="2702" w:type="dxa"/>
            <w:vAlign w:val="top"/>
          </w:tcPr>
          <w:p>
            <w:pPr>
              <w:pStyle w:val="1089"/>
              <w:pBdr/>
              <w:spacing/>
              <w:ind/>
              <w:rPr/>
            </w:pPr>
            <w:r>
              <w:t xml:space="preserve">directionality</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5842" w:type="dxa"/>
            <w:vAlign w:val="top"/>
          </w:tcPr>
          <w:p>
            <w:pPr>
              <w:pStyle w:val="1089"/>
              <w:pBdr/>
              <w:spacing/>
              <w:ind/>
              <w:rPr/>
            </w:pPr>
            <w:r>
              <w:t xml:space="preserve">SYMMETRIC, ASYMMETRIC or DIRECTIONAL.</w:t>
            </w:r>
            <w:r/>
          </w:p>
        </w:tc>
      </w:tr>
      <w:tr>
        <w:trPr>
          <w:cantSplit/>
        </w:trPr>
        <w:tc>
          <w:tcPr>
            <w:shd w:val="clear" w:color="auto" w:fill="ffffff"/>
            <w:tcBorders/>
            <w:tcMar>
              <w:left w:w="55" w:type="dxa"/>
              <w:top w:w="45" w:type="dxa"/>
              <w:right w:w="55" w:type="dxa"/>
              <w:bottom w:w="45" w:type="dxa"/>
            </w:tcMar>
            <w:tcW w:w="2702" w:type="dxa"/>
            <w:vAlign w:val="top"/>
          </w:tcPr>
          <w:p>
            <w:pPr>
              <w:pStyle w:val="1089"/>
              <w:pBdr/>
              <w:spacing/>
              <w:ind/>
              <w:rPr/>
            </w:pPr>
            <w:r>
              <w:t xml:space="preserve">supporting_claim_ids</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5842" w:type="dxa"/>
            <w:vAlign w:val="top"/>
          </w:tcPr>
          <w:p>
            <w:pPr>
              <w:pStyle w:val="1089"/>
              <w:pBdr/>
              <w:spacing/>
              <w:ind/>
              <w:rPr/>
            </w:pPr>
            <w:r>
              <w:t xml:space="preserve">Canonical evidence for the relation.</w:t>
            </w:r>
            <w:r/>
          </w:p>
        </w:tc>
      </w:tr>
      <w:tr>
        <w:trPr>
          <w:cantSplit/>
        </w:trPr>
        <w:tc>
          <w:tcPr>
            <w:shd w:val="clear" w:color="auto" w:fill="f4f6f7"/>
            <w:tcBorders/>
            <w:tcMar>
              <w:left w:w="55" w:type="dxa"/>
              <w:top w:w="45" w:type="dxa"/>
              <w:right w:w="55" w:type="dxa"/>
              <w:bottom w:w="45" w:type="dxa"/>
            </w:tcMar>
            <w:tcW w:w="2702" w:type="dxa"/>
            <w:vAlign w:val="top"/>
          </w:tcPr>
          <w:p>
            <w:pPr>
              <w:pStyle w:val="1089"/>
              <w:pBdr/>
              <w:spacing/>
              <w:ind/>
              <w:rPr/>
            </w:pPr>
            <w:r>
              <w:t xml:space="preserve">disanalogy_links_and_prose</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1..* where required</w:t>
            </w:r>
            <w:r/>
          </w:p>
        </w:tc>
        <w:tc>
          <w:tcPr>
            <w:shd w:val="clear" w:color="auto" w:fill="f4f6f7"/>
            <w:tcBorders/>
            <w:tcMar>
              <w:left w:w="55" w:type="dxa"/>
              <w:top w:w="45" w:type="dxa"/>
              <w:right w:w="55" w:type="dxa"/>
              <w:bottom w:w="45" w:type="dxa"/>
            </w:tcMar>
            <w:tcW w:w="5842" w:type="dxa"/>
            <w:vAlign w:val="top"/>
          </w:tcPr>
          <w:p>
            <w:pPr>
              <w:pStyle w:val="1089"/>
              <w:pBdr/>
              <w:spacing/>
              <w:ind/>
              <w:rPr/>
            </w:pPr>
            <w:r>
              <w:t xml:space="preserve">Canonical links plus explanation.</w:t>
            </w:r>
            <w:r/>
          </w:p>
        </w:tc>
      </w:tr>
      <w:tr>
        <w:trPr>
          <w:cantSplit/>
        </w:trPr>
        <w:tc>
          <w:tcPr>
            <w:shd w:val="clear" w:color="auto" w:fill="ffffff"/>
            <w:tcBorders/>
            <w:tcMar>
              <w:left w:w="55" w:type="dxa"/>
              <w:top w:w="45" w:type="dxa"/>
              <w:right w:w="55" w:type="dxa"/>
              <w:bottom w:w="45" w:type="dxa"/>
            </w:tcMar>
            <w:tcW w:w="2702" w:type="dxa"/>
            <w:vAlign w:val="top"/>
          </w:tcPr>
          <w:p>
            <w:pPr>
              <w:pStyle w:val="1089"/>
              <w:pBdr/>
              <w:spacing/>
              <w:ind/>
              <w:rPr/>
            </w:pPr>
            <w:r>
              <w:t xml:space="preserve">genealogy_status / subtype / evidence</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0..* as applicable</w:t>
            </w:r>
            <w:r/>
          </w:p>
        </w:tc>
        <w:tc>
          <w:tcPr>
            <w:shd w:val="clear" w:color="auto" w:fill="ffffff"/>
            <w:tcBorders/>
            <w:tcMar>
              <w:left w:w="55" w:type="dxa"/>
              <w:top w:w="45" w:type="dxa"/>
              <w:right w:w="55" w:type="dxa"/>
              <w:bottom w:w="45" w:type="dxa"/>
            </w:tcMar>
            <w:tcW w:w="5842" w:type="dxa"/>
            <w:vAlign w:val="top"/>
          </w:tcPr>
          <w:p>
            <w:pPr>
              <w:pStyle w:val="1089"/>
              <w:pBdr/>
              <w:spacing/>
              <w:ind/>
              <w:rPr/>
            </w:pPr>
            <w:r>
              <w:t xml:space="preserve">Historical status, documented subtype and exact evidence.</w:t>
            </w:r>
            <w:r/>
          </w:p>
        </w:tc>
      </w:tr>
      <w:tr>
        <w:trPr>
          <w:cantSplit/>
        </w:trPr>
        <w:tc>
          <w:tcPr>
            <w:shd w:val="clear" w:color="auto" w:fill="f4f6f7"/>
            <w:tcBorders/>
            <w:tcMar>
              <w:left w:w="55" w:type="dxa"/>
              <w:top w:w="45" w:type="dxa"/>
              <w:right w:w="55" w:type="dxa"/>
              <w:bottom w:w="45" w:type="dxa"/>
            </w:tcMar>
            <w:tcW w:w="2702" w:type="dxa"/>
            <w:vAlign w:val="top"/>
          </w:tcPr>
          <w:p>
            <w:pPr>
              <w:pStyle w:val="1089"/>
              <w:pBdr/>
              <w:spacing/>
              <w:ind/>
              <w:rPr/>
            </w:pPr>
            <w:r>
              <w:t xml:space="preserve">independence_status</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5842" w:type="dxa"/>
            <w:vAlign w:val="top"/>
          </w:tcPr>
          <w:p>
            <w:pPr>
              <w:pStyle w:val="1089"/>
              <w:pBdr/>
              <w:spacing/>
              <w:ind/>
              <w:rPr/>
            </w:pPr>
            <w:r>
              <w:t xml:space="preserve">Qualified independence state.</w:t>
            </w:r>
            <w:r/>
          </w:p>
        </w:tc>
      </w:tr>
      <w:tr>
        <w:trPr>
          <w:cantSplit/>
        </w:trPr>
        <w:tc>
          <w:tcPr>
            <w:shd w:val="clear" w:color="auto" w:fill="ffffff"/>
            <w:tcBorders/>
            <w:tcMar>
              <w:left w:w="55" w:type="dxa"/>
              <w:top w:w="45" w:type="dxa"/>
              <w:right w:w="55" w:type="dxa"/>
              <w:bottom w:w="45" w:type="dxa"/>
            </w:tcMar>
            <w:tcW w:w="2702" w:type="dxa"/>
            <w:vAlign w:val="top"/>
          </w:tcPr>
          <w:p>
            <w:pPr>
              <w:pStyle w:val="1089"/>
              <w:pBdr/>
              <w:spacing/>
              <w:ind/>
              <w:rPr/>
            </w:pPr>
            <w:r>
              <w:t xml:space="preserve">equivalence_dimensions / failure_conditions</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5842" w:type="dxa"/>
            <w:vAlign w:val="top"/>
          </w:tcPr>
          <w:p>
            <w:pPr>
              <w:pStyle w:val="1089"/>
              <w:pBdr/>
              <w:spacing/>
              <w:ind/>
              <w:rPr/>
            </w:pPr>
            <w:r>
              <w:t xml:space="preserve">Required for OEQ.</w:t>
            </w:r>
            <w:r/>
          </w:p>
        </w:tc>
      </w:tr>
      <w:tr>
        <w:trPr>
          <w:cantSplit/>
        </w:trPr>
        <w:tc>
          <w:tcPr>
            <w:shd w:val="clear" w:color="auto" w:fill="f4f6f7"/>
            <w:tcBorders/>
            <w:tcMar>
              <w:left w:w="55" w:type="dxa"/>
              <w:top w:w="45" w:type="dxa"/>
              <w:right w:w="55" w:type="dxa"/>
              <w:bottom w:w="45" w:type="dxa"/>
            </w:tcMar>
            <w:tcW w:w="2702" w:type="dxa"/>
            <w:vAlign w:val="top"/>
          </w:tcPr>
          <w:p>
            <w:pPr>
              <w:pStyle w:val="1089"/>
              <w:pBdr/>
              <w:spacing/>
              <w:ind/>
              <w:rPr/>
            </w:pPr>
            <w:r>
              <w:t xml:space="preserve">relation_confidence</w:t>
            </w:r>
            <w:r/>
          </w:p>
        </w:tc>
        <w:tc>
          <w:tcPr>
            <w:shd w:val="clear" w:color="auto" w:fill="f4f6f7"/>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5842" w:type="dxa"/>
            <w:vAlign w:val="top"/>
          </w:tcPr>
          <w:p>
            <w:pPr>
              <w:pStyle w:val="1089"/>
              <w:pBdr/>
              <w:spacing/>
              <w:ind/>
              <w:rPr/>
            </w:pPr>
            <w:r>
              <w:t xml:space="preserve">HIGH, MODERATE or LOW with reason.</w:t>
            </w:r>
            <w:r/>
          </w:p>
        </w:tc>
      </w:tr>
      <w:tr>
        <w:trPr>
          <w:cantSplit/>
        </w:trPr>
        <w:tc>
          <w:tcPr>
            <w:shd w:val="clear" w:color="auto" w:fill="ffffff"/>
            <w:tcBorders/>
            <w:tcMar>
              <w:left w:w="55" w:type="dxa"/>
              <w:top w:w="45" w:type="dxa"/>
              <w:right w:w="55" w:type="dxa"/>
              <w:bottom w:w="45" w:type="dxa"/>
            </w:tcMar>
            <w:tcW w:w="2702" w:type="dxa"/>
            <w:vAlign w:val="top"/>
          </w:tcPr>
          <w:p>
            <w:pPr>
              <w:pStyle w:val="1089"/>
              <w:pBdr/>
              <w:spacing/>
              <w:ind/>
              <w:rPr/>
            </w:pPr>
            <w:r>
              <w:t xml:space="preserve">atlas_inference_note</w:t>
            </w:r>
            <w:r/>
          </w:p>
        </w:tc>
        <w:tc>
          <w:tcPr>
            <w:shd w:val="clear" w:color="auto" w:fill="ffffff"/>
            <w:tcBorders/>
            <w:tcMar>
              <w:left w:w="55" w:type="dxa"/>
              <w:top w:w="45" w:type="dxa"/>
              <w:right w:w="55" w:type="dxa"/>
              <w:bottom w:w="45" w:type="dxa"/>
            </w:tcMar>
            <w:tcW w:w="1461"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5842" w:type="dxa"/>
            <w:vAlign w:val="top"/>
          </w:tcPr>
          <w:p>
            <w:pPr>
              <w:pStyle w:val="1089"/>
              <w:pBdr/>
              <w:spacing/>
              <w:ind/>
              <w:rPr/>
            </w:pPr>
            <w:r>
              <w:t xml:space="preserve">Comparison is an Atlas inference with explicit rationale.</w:t>
            </w:r>
            <w:r/>
          </w:p>
        </w:tc>
      </w:tr>
    </w:tbl>
    <w:p>
      <w:pPr>
        <w:pStyle w:val="1097"/>
        <w:pBdr/>
        <w:spacing/>
        <w:ind/>
        <w:rPr/>
      </w:pPr>
      <w:r/>
      <w:r/>
    </w:p>
    <w:p>
      <w:pPr>
        <w:pStyle w:val="924"/>
        <w:keepNext w:val="true"/>
        <w:keepLines w:val="true"/>
        <w:pBdr/>
        <w:spacing/>
        <w:ind/>
        <w:rPr/>
      </w:pPr>
      <w:r/>
      <w:bookmarkStart w:id="129" w:name="tbl_schema_synthesis_heading"/>
      <w:r>
        <w:t xml:space="preserve">B2.8 SynthesisRecord</w:t>
      </w:r>
      <w:bookmarkEnd w:id="129"/>
      <w:r/>
      <w:r/>
    </w:p>
    <w:p>
      <w:pPr>
        <w:pStyle w:val="1086"/>
        <w:keepNext w:val="true"/>
        <w:keepLines w:val="true"/>
        <w:pBdr/>
        <w:spacing/>
        <w:ind/>
        <w:rPr/>
      </w:pPr>
      <w:r/>
      <w:bookmarkStart w:id="130" w:name="tbl_schema_synthesis"/>
      <w:r>
        <w:t xml:space="preserve">Governing — SynthesisRecord minimum schema</w:t>
      </w:r>
      <w:bookmarkEnd w:id="130"/>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3141"/>
        <w:gridCol w:w="6865"/>
      </w:tblGrid>
      <w:tr>
        <w:trPr>
          <w:cantSplit/>
          <w:tblHeader/>
        </w:trPr>
        <w:tc>
          <w:tcPr>
            <w:shd w:val="clear" w:color="auto" w:fill="1f5d7a"/>
            <w:tcBorders/>
            <w:tcMar>
              <w:left w:w="55" w:type="dxa"/>
              <w:top w:w="45" w:type="dxa"/>
              <w:right w:w="55" w:type="dxa"/>
              <w:bottom w:w="45" w:type="dxa"/>
            </w:tcMar>
            <w:tcW w:w="3141"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6865" w:type="dxa"/>
            <w:vAlign w:val="top"/>
          </w:tcPr>
          <w:p>
            <w:pPr>
              <w:pStyle w:val="1090"/>
              <w:pBdr/>
              <w:spacing/>
              <w:ind/>
              <w:rPr/>
            </w:pPr>
            <w:r>
              <w:t xml:space="preserve">Constraint</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synthesis_id</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Persistent identifier.</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synthesis_type</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Motif / Functional family / Structural architecture / Fault line / Genealogical family / Independent convergence candidate / Category challenge.</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level</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One L0-L5 value; L0-L4 may be database-supported, while L5 is outside database inference.</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maturity_status</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One synthesis_maturity value independent of level and planning confidence.</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supporting_relations</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Relation IDs; L2+ registration requires at least three adequately described Positions.</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support_position_count</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Raw count of bounded supporting Positions.</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effective_genealogy_cluster_count</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Count of materially independent or separately explained support clusters.</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selection_basis</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Candidate universe and inclusion/exclusion rule used for the pattern search.</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coverage</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Regions, periods, languages and evidence types represented and omitted.</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negative_case_search</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Search procedure, candidates examined and omissions.</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genealogy_independence</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Required for L3+ and independent-convergence claims.</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counterexample_links</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Required for L2+; canonical IDs and whether each falsifies, delimits or refines.</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sensitivity_tests</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Leave-one-out, alternate coding, Position-boundary and category sensitivity.</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translation_dependency</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Terms or readings on which the pattern materially depends.</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publication_scope</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Exact permitted chapter claim and prohibited stronger formulation.</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robustness_notes</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Category revisions, alternate codings and other sensitivity findings.</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review_evidence</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Level-appropriate review record IDs and CriterionResults.</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review_version</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Version and supersession history.</w:t>
            </w:r>
            <w:r/>
          </w:p>
        </w:tc>
      </w:tr>
    </w:tbl>
    <w:p>
      <w:pPr>
        <w:pStyle w:val="1097"/>
        <w:pBdr/>
        <w:spacing/>
        <w:ind/>
        <w:rPr/>
      </w:pPr>
      <w:r/>
      <w:r/>
    </w:p>
    <w:p>
      <w:pPr>
        <w:pStyle w:val="924"/>
        <w:keepNext w:val="true"/>
        <w:keepLines w:val="true"/>
        <w:pBdr/>
        <w:spacing/>
        <w:ind/>
        <w:rPr/>
      </w:pPr>
      <w:r/>
      <w:bookmarkStart w:id="131" w:name="tbl_schema_publicationclaim_heading"/>
      <w:r>
        <w:t xml:space="preserve">B2.9 PublicationClaimRecord</w:t>
      </w:r>
      <w:bookmarkEnd w:id="131"/>
      <w:r/>
      <w:r/>
    </w:p>
    <w:p>
      <w:pPr>
        <w:pStyle w:val="1086"/>
        <w:keepNext w:val="true"/>
        <w:keepLines w:val="true"/>
        <w:pBdr/>
        <w:spacing/>
        <w:ind/>
        <w:rPr/>
      </w:pPr>
      <w:r/>
      <w:bookmarkStart w:id="132" w:name="tbl_schema_publicationclaim"/>
      <w:r>
        <w:t xml:space="preserve">Governing — PublicationClaimRecord minimum schema</w:t>
      </w:r>
      <w:bookmarkEnd w:id="132"/>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556"/>
        <w:gridCol w:w="1168"/>
        <w:gridCol w:w="6281"/>
      </w:tblGrid>
      <w:tr>
        <w:trPr>
          <w:cantSplit/>
          <w:tblHeader/>
        </w:trPr>
        <w:tc>
          <w:tcPr>
            <w:shd w:val="clear" w:color="auto" w:fill="1f5d7a"/>
            <w:tcBorders/>
            <w:tcMar>
              <w:left w:w="55" w:type="dxa"/>
              <w:top w:w="45" w:type="dxa"/>
              <w:right w:w="55" w:type="dxa"/>
              <w:bottom w:w="45" w:type="dxa"/>
            </w:tcMar>
            <w:tcW w:w="2556"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1168"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6281"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publication_claim_id</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Persistent identifier linked to chapter and section.</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claim_text</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The thesis-bearing publication formulation.</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claim_class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One publication_claim_class value.</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premise_ids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Canonical Claim, QuestionResponse, ComparativeRelation, SynthesisRecord and relevant source/evidence IDs.</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inference_rationale</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Why premises support the claim; distinguish source attribution, deduction, classification, explanatory inference or bounded editorial synthesis where material.</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scope_and_qualifiers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Position, time, corpus, domain, relation dimension and any release-bounded qualifier.</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counterevidence_or_defeaters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Canonical negative cases, disanalogies, unresolved issues and disposition.</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synthesis_level</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Required for synthesis claims and for comparative claims that generalize beyond L1.</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synthesis_record_id</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Required when the claim depends on a registered synthesis.</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prohibited_stronger_reading</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Stronger interpretation that the evidence does not authorize.</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review_release_id</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Review role, CriterionResults, unresolved defects, release state and version.</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supersedes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Prior PublicationClaim when replaced.</w:t>
            </w:r>
            <w:r/>
          </w:p>
        </w:tc>
      </w:tr>
    </w:tbl>
    <w:p>
      <w:pPr>
        <w:pStyle w:val="1097"/>
        <w:pBdr/>
        <w:spacing/>
        <w:ind/>
        <w:rPr/>
      </w:pPr>
      <w:r/>
      <w:r/>
    </w:p>
    <w:p>
      <w:pPr>
        <w:pStyle w:val="924"/>
        <w:keepNext w:val="true"/>
        <w:keepLines w:val="true"/>
        <w:pBdr/>
        <w:spacing/>
        <w:ind/>
        <w:rPr/>
      </w:pPr>
      <w:r/>
      <w:bookmarkStart w:id="133" w:name="tbl_schema_readiness_heading"/>
      <w:r>
        <w:t xml:space="preserve">B2.10 RepresentationReadinessRecord</w:t>
      </w:r>
      <w:bookmarkEnd w:id="133"/>
      <w:r/>
      <w:r/>
    </w:p>
    <w:p>
      <w:pPr>
        <w:pStyle w:val="1086"/>
        <w:keepNext w:val="true"/>
        <w:keepLines w:val="true"/>
        <w:pBdr/>
        <w:spacing/>
        <w:ind/>
        <w:rPr/>
      </w:pPr>
      <w:r/>
      <w:bookmarkStart w:id="134" w:name="tbl_schema_readiness"/>
      <w:r>
        <w:t xml:space="preserve">Governing — RepresentationReadinessRecord minimum schema</w:t>
      </w:r>
      <w:bookmarkEnd w:id="134"/>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556"/>
        <w:gridCol w:w="1168"/>
        <w:gridCol w:w="6281"/>
      </w:tblGrid>
      <w:tr>
        <w:trPr>
          <w:cantSplit/>
          <w:tblHeader/>
        </w:trPr>
        <w:tc>
          <w:tcPr>
            <w:shd w:val="clear" w:color="auto" w:fill="1f5d7a"/>
            <w:tcBorders/>
            <w:tcMar>
              <w:left w:w="55" w:type="dxa"/>
              <w:top w:w="45" w:type="dxa"/>
              <w:right w:w="55" w:type="dxa"/>
              <w:bottom w:w="45" w:type="dxa"/>
            </w:tcMar>
            <w:tcW w:w="2556"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1168"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6281"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readiness_id</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Persistent identifier.</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object_ids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Positions, Claims, SourceInstances or publication units covered.</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source_grounding</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readiness:SATISFIED/PENDING/FAILED/NOT_APPLICABLE.</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specialist_review</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readiness:SATISFIED/PENDING/FAILED/NOT_APPLICABLE.</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community_governance</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readiness:SATISFIED/PENDING/FAILED/NOT_APPLICABLE.</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rights_access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readiness:SATISFIED/PENDING/FAILED/RESTRICTED/NOT_APPLICABLE.</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release_eligibility</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readiness:ELIGIBLE/INELIGIBLE/PENDING; computed from applicable conditions.</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evidence_review_links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Evidence, review, authority or rights records supporting each component state.</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derived_display_summary</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INT/SRC/REV/COM/REL display only; cannot weaken component states.</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review_version</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Reviewer, date, version and supersession.</w:t>
            </w:r>
            <w:r/>
          </w:p>
        </w:tc>
      </w:tr>
    </w:tbl>
    <w:p>
      <w:pPr>
        <w:pStyle w:val="1097"/>
        <w:pBdr/>
        <w:spacing/>
        <w:ind/>
        <w:rPr/>
      </w:pPr>
      <w:r/>
      <w:r/>
    </w:p>
    <w:p>
      <w:pPr>
        <w:pStyle w:val="924"/>
        <w:keepNext w:val="true"/>
        <w:keepLines w:val="true"/>
        <w:pBdr/>
        <w:spacing/>
        <w:ind/>
        <w:rPr/>
      </w:pPr>
      <w:r/>
      <w:bookmarkStart w:id="135" w:name="schema_sourcecommunity"/>
      <w:r>
        <w:t xml:space="preserve">B2.11 SourceCommunityCoverageRecord</w:t>
      </w:r>
      <w:bookmarkEnd w:id="135"/>
      <w:r/>
      <w:r/>
    </w:p>
    <w:p>
      <w:pPr>
        <w:pStyle w:val="1086"/>
        <w:keepNext w:val="true"/>
        <w:keepLines w:val="true"/>
        <w:pBdr/>
        <w:spacing/>
        <w:ind/>
        <w:rPr/>
      </w:pPr>
      <w:r/>
      <w:bookmarkStart w:id="136" w:name="tbl_schema_sourcecommunity"/>
      <w:r>
        <w:t xml:space="preserve">Governing — SourceCommunityCoverageRecord minimum schema</w:t>
      </w:r>
      <w:bookmarkEnd w:id="136"/>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921"/>
        <w:gridCol w:w="1534"/>
        <w:gridCol w:w="5550"/>
      </w:tblGrid>
      <w:tr>
        <w:trPr>
          <w:cantSplit/>
          <w:tblHeader/>
        </w:trPr>
        <w:tc>
          <w:tcPr>
            <w:shd w:val="clear" w:color="auto" w:fill="1f5d7a"/>
            <w:tcBorders/>
            <w:tcMar>
              <w:left w:w="55" w:type="dxa"/>
              <w:top w:w="45" w:type="dxa"/>
              <w:right w:w="55" w:type="dxa"/>
              <w:bottom w:w="45" w:type="dxa"/>
            </w:tcMar>
            <w:tcW w:w="2921"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1534"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5550"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921" w:type="dxa"/>
            <w:vAlign w:val="top"/>
          </w:tcPr>
          <w:p>
            <w:pPr>
              <w:pStyle w:val="1089"/>
              <w:pBdr/>
              <w:spacing/>
              <w:ind/>
              <w:rPr/>
            </w:pPr>
            <w:r>
              <w:t xml:space="preserve">applicability</w:t>
            </w:r>
            <w:r/>
          </w:p>
        </w:tc>
        <w:tc>
          <w:tcPr>
            <w:shd w:val="clear" w:color="auto" w:fill="ffffff"/>
            <w:tcBorders/>
            <w:tcMar>
              <w:left w:w="55" w:type="dxa"/>
              <w:top w:w="45" w:type="dxa"/>
              <w:right w:w="55" w:type="dxa"/>
              <w:bottom w:w="45" w:type="dxa"/>
            </w:tcMar>
            <w:tcW w:w="1534"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5550" w:type="dxa"/>
            <w:vAlign w:val="top"/>
          </w:tcPr>
          <w:p>
            <w:pPr>
              <w:pStyle w:val="1089"/>
              <w:pBdr/>
              <w:spacing/>
              <w:ind/>
              <w:rPr/>
            </w:pPr>
            <w:r>
              <w:t xml:space="preserve">Exactly one Required / Desirable / Not applicable value and rationale for the dec</w:t>
            </w:r>
            <w:r>
              <w:t xml:space="preserve">lared Position or narrower represented scope. The scope is stated here; a not-applicable rationale explains why coverage does not arise, not why evidence is unavailable. Desirable does not waive an independently applicable rights or governance requirement.</w:t>
            </w:r>
            <w:r/>
          </w:p>
        </w:tc>
      </w:tr>
      <w:tr>
        <w:trPr>
          <w:cantSplit/>
        </w:trPr>
        <w:tc>
          <w:tcPr>
            <w:shd w:val="clear" w:color="auto" w:fill="f4f6f7"/>
            <w:tcBorders/>
            <w:tcMar>
              <w:left w:w="55" w:type="dxa"/>
              <w:top w:w="45" w:type="dxa"/>
              <w:right w:w="55" w:type="dxa"/>
              <w:bottom w:w="45" w:type="dxa"/>
            </w:tcMar>
            <w:tcW w:w="2921" w:type="dxa"/>
            <w:vAlign w:val="top"/>
          </w:tcPr>
          <w:p>
            <w:pPr>
              <w:pStyle w:val="1089"/>
              <w:pBdr/>
              <w:spacing/>
              <w:ind/>
              <w:rPr/>
            </w:pPr>
            <w:r>
              <w:t xml:space="preserve">coverage_basis</w:t>
            </w:r>
            <w:r/>
          </w:p>
        </w:tc>
        <w:tc>
          <w:tcPr>
            <w:shd w:val="clear" w:color="auto" w:fill="f4f6f7"/>
            <w:tcBorders/>
            <w:tcMar>
              <w:left w:w="55" w:type="dxa"/>
              <w:top w:w="45" w:type="dxa"/>
              <w:right w:w="55" w:type="dxa"/>
              <w:bottom w:w="45" w:type="dxa"/>
            </w:tcMar>
            <w:tcW w:w="1534" w:type="dxa"/>
            <w:vAlign w:val="top"/>
          </w:tcPr>
          <w:p>
            <w:pPr>
              <w:pStyle w:val="1089"/>
              <w:pBdr/>
              <w:spacing/>
              <w:ind/>
              <w:rPr/>
            </w:pPr>
            <w:r>
              <w:t xml:space="preserve">0..*</w:t>
            </w:r>
            <w:r/>
          </w:p>
        </w:tc>
        <w:tc>
          <w:tcPr>
            <w:shd w:val="clear" w:color="auto" w:fill="f4f6f7"/>
            <w:tcBorders/>
            <w:tcMar>
              <w:left w:w="55" w:type="dxa"/>
              <w:top w:w="45" w:type="dxa"/>
              <w:right w:w="55" w:type="dxa"/>
              <w:bottom w:w="45" w:type="dxa"/>
            </w:tcMar>
            <w:tcW w:w="5550" w:type="dxa"/>
            <w:vAlign w:val="top"/>
          </w:tcPr>
          <w:p>
            <w:pPr>
              <w:pStyle w:val="1089"/>
              <w:pBdr/>
              <w:spacing/>
              <w:ind/>
              <w:rPr/>
            </w:pPr>
            <w:r>
              <w:t xml:space="preserve">Repeatable entries identifying actual source-community scholarship, direct voice, project review or governance/authorization </w:t>
            </w:r>
            <w:r>
              <w:t xml:space="preserve">and their evidence links and scope. Required (1..*) for Partial, Adequate or Restricted coverage; zero is permitted for Absent coverage only with the missing basis explained in limitations. No engagement or authorization is inferred from scholarship alone.</w:t>
            </w:r>
            <w:r/>
          </w:p>
        </w:tc>
      </w:tr>
      <w:tr>
        <w:trPr>
          <w:cantSplit/>
        </w:trPr>
        <w:tc>
          <w:tcPr>
            <w:shd w:val="clear" w:color="auto" w:fill="ffffff"/>
            <w:tcBorders/>
            <w:tcMar>
              <w:left w:w="55" w:type="dxa"/>
              <w:top w:w="45" w:type="dxa"/>
              <w:right w:w="55" w:type="dxa"/>
              <w:bottom w:w="45" w:type="dxa"/>
            </w:tcMar>
            <w:tcW w:w="2921" w:type="dxa"/>
            <w:vAlign w:val="top"/>
          </w:tcPr>
          <w:p>
            <w:pPr>
              <w:pStyle w:val="1089"/>
              <w:pBdr/>
              <w:spacing/>
              <w:ind/>
              <w:rPr/>
            </w:pPr>
            <w:r>
              <w:t xml:space="preserve">coverage_level</w:t>
            </w:r>
            <w:r/>
          </w:p>
        </w:tc>
        <w:tc>
          <w:tcPr>
            <w:shd w:val="clear" w:color="auto" w:fill="ffffff"/>
            <w:tcBorders/>
            <w:tcMar>
              <w:left w:w="55" w:type="dxa"/>
              <w:top w:w="45" w:type="dxa"/>
              <w:right w:w="55" w:type="dxa"/>
              <w:bottom w:w="45" w:type="dxa"/>
            </w:tcMar>
            <w:tcW w:w="1534" w:type="dxa"/>
            <w:vAlign w:val="top"/>
          </w:tcPr>
          <w:p>
            <w:pPr>
              <w:pStyle w:val="1089"/>
              <w:pBdr/>
              <w:spacing/>
              <w:ind/>
              <w:rPr/>
            </w:pPr>
            <w:r>
              <w:t xml:space="preserve">0..1</w:t>
            </w:r>
            <w:r/>
          </w:p>
        </w:tc>
        <w:tc>
          <w:tcPr>
            <w:shd w:val="clear" w:color="auto" w:fill="ffffff"/>
            <w:tcBorders/>
            <w:tcMar>
              <w:left w:w="55" w:type="dxa"/>
              <w:top w:w="45" w:type="dxa"/>
              <w:right w:w="55" w:type="dxa"/>
              <w:bottom w:w="45" w:type="dxa"/>
            </w:tcMar>
            <w:tcW w:w="5550" w:type="dxa"/>
            <w:vAlign w:val="top"/>
          </w:tcPr>
          <w:p>
            <w:pPr>
              <w:pStyle w:val="1089"/>
              <w:pBdr/>
              <w:spacing/>
              <w:ind/>
              <w:rPr/>
            </w:pPr>
            <w:r>
              <w:t xml:space="preserve">Exactl</w:t>
            </w:r>
            <w:r>
              <w:t xml:space="preserve">y one Absent / Partial / Adequate / Restricted value when applicability is Required or Desirable; omitted only when applicability is Not applicable. This is one judgment for the declared scope, independent of readiness components and release authorization.</w:t>
            </w:r>
            <w:r/>
          </w:p>
        </w:tc>
      </w:tr>
      <w:tr>
        <w:trPr>
          <w:cantSplit/>
        </w:trPr>
        <w:tc>
          <w:tcPr>
            <w:shd w:val="clear" w:color="auto" w:fill="f4f6f7"/>
            <w:tcBorders/>
            <w:tcMar>
              <w:left w:w="55" w:type="dxa"/>
              <w:top w:w="45" w:type="dxa"/>
              <w:right w:w="55" w:type="dxa"/>
              <w:bottom w:w="45" w:type="dxa"/>
            </w:tcMar>
            <w:tcW w:w="2921" w:type="dxa"/>
            <w:vAlign w:val="top"/>
          </w:tcPr>
          <w:p>
            <w:pPr>
              <w:pStyle w:val="1089"/>
              <w:pBdr/>
              <w:spacing/>
              <w:ind/>
              <w:rPr/>
            </w:pPr>
            <w:r>
              <w:t xml:space="preserve">authority_notes</w:t>
            </w:r>
            <w:r/>
          </w:p>
        </w:tc>
        <w:tc>
          <w:tcPr>
            <w:shd w:val="clear" w:color="auto" w:fill="f4f6f7"/>
            <w:tcBorders/>
            <w:tcMar>
              <w:left w:w="55" w:type="dxa"/>
              <w:top w:w="45" w:type="dxa"/>
              <w:right w:w="55" w:type="dxa"/>
              <w:bottom w:w="45" w:type="dxa"/>
            </w:tcMar>
            <w:tcW w:w="1534"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5550" w:type="dxa"/>
            <w:vAlign w:val="top"/>
          </w:tcPr>
          <w:p>
            <w:pPr>
              <w:pStyle w:val="1089"/>
              <w:pBdr/>
              <w:spacing/>
              <w:ind/>
              <w:rPr/>
            </w:pPr>
            <w:r>
              <w:t xml:space="preserve">Required (1) wh</w:t>
            </w:r>
            <w:r>
              <w:t xml:space="preserve">en applicability is Required or Desirable. State who may speak or review, for which scope, and the evidence or unresolved authority limits. One individual is not presumed to represent a whole community. Missing authority is recorded as missing, not waived.</w:t>
            </w:r>
            <w:r/>
          </w:p>
        </w:tc>
      </w:tr>
      <w:tr>
        <w:trPr>
          <w:cantSplit/>
        </w:trPr>
        <w:tc>
          <w:tcPr>
            <w:shd w:val="clear" w:color="auto" w:fill="ffffff"/>
            <w:tcBorders/>
            <w:tcMar>
              <w:left w:w="55" w:type="dxa"/>
              <w:top w:w="45" w:type="dxa"/>
              <w:right w:w="55" w:type="dxa"/>
              <w:bottom w:w="45" w:type="dxa"/>
            </w:tcMar>
            <w:tcW w:w="2921" w:type="dxa"/>
            <w:vAlign w:val="top"/>
          </w:tcPr>
          <w:p>
            <w:pPr>
              <w:pStyle w:val="1089"/>
              <w:pBdr/>
              <w:spacing/>
              <w:ind/>
              <w:rPr/>
            </w:pPr>
            <w:r>
              <w:t xml:space="preserve">rights_protocols</w:t>
            </w:r>
            <w:r/>
          </w:p>
        </w:tc>
        <w:tc>
          <w:tcPr>
            <w:shd w:val="clear" w:color="auto" w:fill="ffffff"/>
            <w:tcBorders/>
            <w:tcMar>
              <w:left w:w="55" w:type="dxa"/>
              <w:top w:w="45" w:type="dxa"/>
              <w:right w:w="55" w:type="dxa"/>
              <w:bottom w:w="45" w:type="dxa"/>
            </w:tcMar>
            <w:tcW w:w="1534"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5550" w:type="dxa"/>
            <w:vAlign w:val="top"/>
          </w:tcPr>
          <w:p>
            <w:pPr>
              <w:pStyle w:val="1089"/>
              <w:pBdr/>
              <w:spacing/>
              <w:ind/>
              <w:rPr/>
            </w:pPr>
            <w:r>
              <w:t xml:space="preserve">For applicable coverage, at least one scoped rights/protocol assessment entry is required; add each known access, quotat</w:t>
            </w:r>
            <w:r>
              <w:t xml:space="preserve">ion, reproduction, seasonal, gender, sacred or other restriction and supporting record. Where information is unavailable, identify the unresolved requirement. A supported finding of no additional identified protocol is not consent or release authorization.</w:t>
            </w:r>
            <w:r/>
          </w:p>
        </w:tc>
      </w:tr>
      <w:tr>
        <w:trPr>
          <w:cantSplit/>
        </w:trPr>
        <w:tc>
          <w:tcPr>
            <w:shd w:val="clear" w:color="auto" w:fill="f4f6f7"/>
            <w:tcBorders/>
            <w:tcMar>
              <w:left w:w="55" w:type="dxa"/>
              <w:top w:w="45" w:type="dxa"/>
              <w:right w:w="55" w:type="dxa"/>
              <w:bottom w:w="45" w:type="dxa"/>
            </w:tcMar>
            <w:tcW w:w="2921" w:type="dxa"/>
            <w:vAlign w:val="top"/>
          </w:tcPr>
          <w:p>
            <w:pPr>
              <w:pStyle w:val="1089"/>
              <w:pBdr/>
              <w:spacing/>
              <w:ind/>
              <w:rPr/>
            </w:pPr>
            <w:r>
              <w:t xml:space="preserve">limitations</w:t>
            </w:r>
            <w:r/>
          </w:p>
        </w:tc>
        <w:tc>
          <w:tcPr>
            <w:shd w:val="clear" w:color="auto" w:fill="f4f6f7"/>
            <w:tcBorders/>
            <w:tcMar>
              <w:left w:w="55" w:type="dxa"/>
              <w:top w:w="45" w:type="dxa"/>
              <w:right w:w="55" w:type="dxa"/>
              <w:bottom w:w="45" w:type="dxa"/>
            </w:tcMar>
            <w:tcW w:w="1534" w:type="dxa"/>
            <w:vAlign w:val="top"/>
          </w:tcPr>
          <w:p>
            <w:pPr>
              <w:pStyle w:val="1089"/>
              <w:pBdr/>
              <w:spacing/>
              <w:ind/>
              <w:rPr/>
            </w:pPr>
            <w:r>
              <w:t xml:space="preserve">0..*</w:t>
            </w:r>
            <w:r/>
          </w:p>
        </w:tc>
        <w:tc>
          <w:tcPr>
            <w:shd w:val="clear" w:color="auto" w:fill="f4f6f7"/>
            <w:tcBorders/>
            <w:tcMar>
              <w:left w:w="55" w:type="dxa"/>
              <w:top w:w="45" w:type="dxa"/>
              <w:right w:w="55" w:type="dxa"/>
              <w:bottom w:w="45" w:type="dxa"/>
            </w:tcMar>
            <w:tcW w:w="5550" w:type="dxa"/>
            <w:vAlign w:val="top"/>
          </w:tcPr>
          <w:p>
            <w:pPr>
              <w:pStyle w:val="1089"/>
              <w:pBdr/>
              <w:spacing/>
              <w:ind/>
              <w:rPr/>
            </w:pPr>
            <w:r>
              <w:t xml:space="preserve">For applicable coverage, record every material gap, disagreement, mediation, translati</w:t>
            </w:r>
            <w:r>
              <w:t xml:space="preserve">on, historical-distance or authority limitation; if none is identified, retain one scoped assessment stating that finding and its review basis. Uncertainty affecting a mandatory condition blocks release until resolved or the affected treatment is excluded.</w:t>
            </w:r>
            <w:r/>
          </w:p>
        </w:tc>
      </w:tr>
      <w:tr>
        <w:trPr>
          <w:cantSplit/>
        </w:trPr>
        <w:tc>
          <w:tcPr>
            <w:shd w:val="clear" w:color="auto" w:fill="ffffff"/>
            <w:tcBorders/>
            <w:tcMar>
              <w:left w:w="55" w:type="dxa"/>
              <w:top w:w="45" w:type="dxa"/>
              <w:right w:w="55" w:type="dxa"/>
              <w:bottom w:w="45" w:type="dxa"/>
            </w:tcMar>
            <w:tcW w:w="2921" w:type="dxa"/>
            <w:vAlign w:val="top"/>
          </w:tcPr>
          <w:p>
            <w:pPr>
              <w:pStyle w:val="1089"/>
              <w:pBdr/>
              <w:spacing/>
              <w:ind/>
              <w:rPr/>
            </w:pPr>
            <w:r>
              <w:t xml:space="preserve">engagement_record</w:t>
            </w:r>
            <w:r/>
          </w:p>
        </w:tc>
        <w:tc>
          <w:tcPr>
            <w:shd w:val="clear" w:color="auto" w:fill="ffffff"/>
            <w:tcBorders/>
            <w:tcMar>
              <w:left w:w="55" w:type="dxa"/>
              <w:top w:w="45" w:type="dxa"/>
              <w:right w:w="55" w:type="dxa"/>
              <w:bottom w:w="45" w:type="dxa"/>
            </w:tcMar>
            <w:tcW w:w="1534"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5550" w:type="dxa"/>
            <w:vAlign w:val="top"/>
          </w:tcPr>
          <w:p>
            <w:pPr>
              <w:pStyle w:val="1089"/>
              <w:pBdr/>
              <w:spacing/>
              <w:ind/>
              <w:rPr/>
            </w:pPr>
            <w:r>
              <w:t xml:space="preserve">For a</w:t>
            </w:r>
            <w:r>
              <w:t xml:space="preserve">pplicable coverage, record the actual contacts, meetings and review exchanges with scope and provenance; where direct engagement did not occur, retain one documented reason instead. No contact, review or consent record may be manufactured to fill the list.</w:t>
            </w:r>
            <w:r/>
          </w:p>
        </w:tc>
      </w:tr>
      <w:tr>
        <w:trPr>
          <w:cantSplit/>
        </w:trPr>
        <w:tc>
          <w:tcPr>
            <w:shd w:val="clear" w:color="auto" w:fill="f4f6f7"/>
            <w:tcBorders/>
            <w:tcMar>
              <w:left w:w="55" w:type="dxa"/>
              <w:top w:w="45" w:type="dxa"/>
              <w:right w:w="55" w:type="dxa"/>
              <w:bottom w:w="45" w:type="dxa"/>
            </w:tcMar>
            <w:tcW w:w="2921" w:type="dxa"/>
            <w:vAlign w:val="top"/>
          </w:tcPr>
          <w:p>
            <w:pPr>
              <w:pStyle w:val="1089"/>
              <w:pBdr/>
              <w:spacing/>
              <w:ind/>
              <w:rPr/>
            </w:pPr>
            <w:r>
              <w:t xml:space="preserve">community_feedback_actions</w:t>
            </w:r>
            <w:r/>
          </w:p>
        </w:tc>
        <w:tc>
          <w:tcPr>
            <w:shd w:val="clear" w:color="auto" w:fill="f4f6f7"/>
            <w:tcBorders/>
            <w:tcMar>
              <w:left w:w="55" w:type="dxa"/>
              <w:top w:w="45" w:type="dxa"/>
              <w:right w:w="55" w:type="dxa"/>
              <w:bottom w:w="45" w:type="dxa"/>
            </w:tcMar>
            <w:tcW w:w="1534" w:type="dxa"/>
            <w:vAlign w:val="top"/>
          </w:tcPr>
          <w:p>
            <w:pPr>
              <w:pStyle w:val="1089"/>
              <w:pBdr/>
              <w:spacing/>
              <w:ind/>
              <w:rPr/>
            </w:pPr>
            <w:r>
              <w:t xml:space="preserve">0..*</w:t>
            </w:r>
            <w:r/>
          </w:p>
        </w:tc>
        <w:tc>
          <w:tcPr>
            <w:shd w:val="clear" w:color="auto" w:fill="f4f6f7"/>
            <w:tcBorders/>
            <w:tcMar>
              <w:left w:w="55" w:type="dxa"/>
              <w:top w:w="45" w:type="dxa"/>
              <w:right w:w="55" w:type="dxa"/>
              <w:bottom w:w="45" w:type="dxa"/>
            </w:tcMar>
            <w:tcW w:w="5550" w:type="dxa"/>
            <w:vAlign w:val="top"/>
          </w:tcPr>
          <w:p>
            <w:pPr>
              <w:pStyle w:val="1089"/>
              <w:pBdr/>
              <w:spacing/>
              <w:ind/>
              <w:rPr/>
            </w:pPr>
            <w:r>
              <w:t xml:space="preserve">When feedback has been received, retain at least one action/rationale entry for each substantive feedback issue, including acceptance, refusal, dispute, restriction or deferment. With no feedback, the list is empty; do not invent actions.</w:t>
            </w:r>
            <w:r/>
          </w:p>
        </w:tc>
      </w:tr>
      <w:tr>
        <w:trPr>
          <w:cantSplit/>
        </w:trPr>
        <w:tc>
          <w:tcPr>
            <w:shd w:val="clear" w:color="auto" w:fill="ffffff"/>
            <w:tcBorders/>
            <w:tcMar>
              <w:left w:w="55" w:type="dxa"/>
              <w:top w:w="45" w:type="dxa"/>
              <w:right w:w="55" w:type="dxa"/>
              <w:bottom w:w="45" w:type="dxa"/>
            </w:tcMar>
            <w:tcW w:w="2921" w:type="dxa"/>
            <w:vAlign w:val="top"/>
          </w:tcPr>
          <w:p>
            <w:pPr>
              <w:pStyle w:val="1089"/>
              <w:pBdr/>
              <w:spacing/>
              <w:ind/>
              <w:rPr/>
            </w:pPr>
            <w:r>
              <w:t xml:space="preserve">local_contexts_metadata</w:t>
            </w:r>
            <w:r/>
          </w:p>
        </w:tc>
        <w:tc>
          <w:tcPr>
            <w:shd w:val="clear" w:color="auto" w:fill="ffffff"/>
            <w:tcBorders/>
            <w:tcMar>
              <w:left w:w="55" w:type="dxa"/>
              <w:top w:w="45" w:type="dxa"/>
              <w:right w:w="55" w:type="dxa"/>
              <w:bottom w:w="45" w:type="dxa"/>
            </w:tcMar>
            <w:tcW w:w="1534"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5550" w:type="dxa"/>
            <w:vAlign w:val="top"/>
          </w:tcPr>
          <w:p>
            <w:pPr>
              <w:pStyle w:val="1089"/>
              <w:pBdr/>
              <w:spacing/>
              <w:ind/>
              <w:rPr/>
            </w:pPr>
            <w:r>
              <w:t xml:space="preserve">Preserve community-supplied Labels only when authorized for </w:t>
            </w:r>
            <w:r>
              <w:t xml:space="preserve">the represented scope; retain researcher/institution Notices only where appropriate. Required supplied protocol metadata must not be discarded. With none appropriately supplied or authorized, the list may be empty; community Labels are never self-assigned.</w:t>
            </w:r>
            <w:r/>
          </w:p>
        </w:tc>
      </w:tr>
      <w:tr>
        <w:trPr>
          <w:cantSplit/>
        </w:trPr>
        <w:tc>
          <w:tcPr>
            <w:shd w:val="clear" w:color="auto" w:fill="f4f6f7"/>
            <w:tcBorders/>
            <w:tcMar>
              <w:left w:w="55" w:type="dxa"/>
              <w:top w:w="45" w:type="dxa"/>
              <w:right w:w="55" w:type="dxa"/>
              <w:bottom w:w="45" w:type="dxa"/>
            </w:tcMar>
            <w:tcW w:w="2921" w:type="dxa"/>
            <w:vAlign w:val="top"/>
          </w:tcPr>
          <w:p>
            <w:pPr>
              <w:pStyle w:val="1089"/>
              <w:pBdr/>
              <w:spacing/>
              <w:ind/>
              <w:rPr/>
            </w:pPr>
            <w:r>
              <w:t xml:space="preserve">release_basis</w:t>
            </w:r>
            <w:r/>
          </w:p>
        </w:tc>
        <w:tc>
          <w:tcPr>
            <w:shd w:val="clear" w:color="auto" w:fill="f4f6f7"/>
            <w:tcBorders/>
            <w:tcMar>
              <w:left w:w="55" w:type="dxa"/>
              <w:top w:w="45" w:type="dxa"/>
              <w:right w:w="55" w:type="dxa"/>
              <w:bottom w:w="45" w:type="dxa"/>
            </w:tcMar>
            <w:tcW w:w="1534"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5550" w:type="dxa"/>
            <w:vAlign w:val="top"/>
          </w:tcPr>
          <w:p>
            <w:pPr>
              <w:pStyle w:val="1089"/>
              <w:pBdr/>
              <w:spacing/>
              <w:ind/>
              <w:rPr/>
            </w:pPr>
            <w:r>
              <w:t xml:space="preserve">Required (1) for applicable coverage. State why each relevant community/rights and release-eligibili</w:t>
            </w:r>
            <w:r>
              <w:t xml:space="preserve">ty condition is or is not satisfied for the intended use, with evidence/review links and unresolved consequences. Not-applicable coverage relies on the applicability rationale, not an invented clearance. A coverage judgment or G5 capability PASS is not GO.</w:t>
            </w:r>
            <w:r/>
          </w:p>
        </w:tc>
      </w:tr>
    </w:tbl>
    <w:p>
      <w:pPr>
        <w:pStyle w:val="1097"/>
        <w:pBdr/>
        <w:spacing/>
        <w:ind/>
        <w:rPr/>
      </w:pPr>
      <w:r/>
      <w:r/>
    </w:p>
    <w:p>
      <w:pPr>
        <w:pStyle w:val="924"/>
        <w:keepNext w:val="true"/>
        <w:keepLines w:val="true"/>
        <w:pBdr/>
        <w:spacing/>
        <w:ind/>
        <w:rPr/>
      </w:pPr>
      <w:r/>
      <w:bookmarkStart w:id="137" w:name="tbl_schema_review_heading"/>
      <w:r>
        <w:t xml:space="preserve">B2.12 ReviewReleaseRecord</w:t>
      </w:r>
      <w:bookmarkEnd w:id="137"/>
      <w:r/>
      <w:r/>
    </w:p>
    <w:p>
      <w:pPr>
        <w:pStyle w:val="1086"/>
        <w:keepNext w:val="true"/>
        <w:keepLines w:val="true"/>
        <w:pBdr/>
        <w:spacing/>
        <w:ind/>
        <w:rPr/>
      </w:pPr>
      <w:r/>
      <w:bookmarkStart w:id="138" w:name="tbl_schema_review"/>
      <w:r>
        <w:t xml:space="preserve">Governing — ReviewReleaseRecord minimum schema</w:t>
      </w:r>
      <w:bookmarkEnd w:id="138"/>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556"/>
        <w:gridCol w:w="1168"/>
        <w:gridCol w:w="6281"/>
      </w:tblGrid>
      <w:tr>
        <w:trPr>
          <w:cantSplit/>
          <w:tblHeader/>
        </w:trPr>
        <w:tc>
          <w:tcPr>
            <w:shd w:val="clear" w:color="auto" w:fill="1f5d7a"/>
            <w:tcBorders/>
            <w:tcMar>
              <w:left w:w="55" w:type="dxa"/>
              <w:top w:w="45" w:type="dxa"/>
              <w:right w:w="55" w:type="dxa"/>
              <w:bottom w:w="45" w:type="dxa"/>
            </w:tcMar>
            <w:tcW w:w="2556"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1168"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6281"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review_id</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Persistent ID.</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object_ids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Records covered by review.</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review_type</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Source / category / translation / specialist / community-rights / comparison / synthesis / publication-claim / release.</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reviewer_id_role</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Traceable reviewer and role; public pseudonymization permitted where needed.</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review_date</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ISO date.</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criterion_result_ids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Separate CriterionResult records for every applicable R1-R9 or other criterion.</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unresolved_flags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Defects, dissent, restricted content or missing evidence.</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authorization_decision</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authorization_decision:GO/HOLD only for project-scale authorization or release decisions.</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representation_readiness_after</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Link to updated RepresentationReadiness record when readiness changes.</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supersedes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Prior review record if replaced.</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notes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Rationale and remediation references.</w:t>
            </w:r>
            <w:r/>
          </w:p>
        </w:tc>
      </w:tr>
    </w:tbl>
    <w:p>
      <w:pPr>
        <w:pStyle w:val="1097"/>
        <w:pBdr/>
        <w:spacing/>
        <w:ind/>
        <w:rPr/>
      </w:pPr>
      <w:r/>
      <w:r/>
    </w:p>
    <w:p>
      <w:pPr>
        <w:pStyle w:val="924"/>
        <w:keepNext w:val="true"/>
        <w:keepLines w:val="true"/>
        <w:pBdr/>
        <w:spacing/>
        <w:ind/>
        <w:rPr/>
      </w:pPr>
      <w:r/>
      <w:bookmarkStart w:id="139" w:name="tbl_schema_criterion_heading"/>
      <w:r>
        <w:t xml:space="preserve">B2.13 CriterionResultRecord</w:t>
      </w:r>
      <w:bookmarkEnd w:id="139"/>
      <w:r/>
      <w:r/>
    </w:p>
    <w:p>
      <w:pPr>
        <w:pStyle w:val="1086"/>
        <w:keepNext w:val="true"/>
        <w:keepLines w:val="true"/>
        <w:pBdr/>
        <w:spacing/>
        <w:ind/>
        <w:rPr/>
      </w:pPr>
      <w:r/>
      <w:bookmarkStart w:id="140" w:name="tbl_schema_criterion"/>
      <w:r>
        <w:t xml:space="preserve">Governing — CriterionResultRecord minimum schema</w:t>
      </w:r>
      <w:bookmarkEnd w:id="140"/>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556"/>
        <w:gridCol w:w="1168"/>
        <w:gridCol w:w="6281"/>
      </w:tblGrid>
      <w:tr>
        <w:trPr>
          <w:cantSplit/>
          <w:tblHeader/>
        </w:trPr>
        <w:tc>
          <w:tcPr>
            <w:shd w:val="clear" w:color="auto" w:fill="1f5d7a"/>
            <w:tcBorders/>
            <w:tcMar>
              <w:left w:w="55" w:type="dxa"/>
              <w:top w:w="45" w:type="dxa"/>
              <w:right w:w="55" w:type="dxa"/>
              <w:bottom w:w="45" w:type="dxa"/>
            </w:tcMar>
            <w:tcW w:w="2556"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1168"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6281"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criterion_result_id</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Persistent identifier.</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criterion_id</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R1-R9, G1-G8 or another governed criterion.</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parent_review_id</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ReviewRelease record containing the criterion result.</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status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criterion_status:PASS/FAIL/PENDING/NOT_APPLICABLE.</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evidence_references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Canonical evidence, review artifacts or gate proof records.</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reviewer_id_role</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Reviewer and role responsible for the criterion judgment.</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date</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ISO date.</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rationale</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Reason for the outcome, including any limiting scope.</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supersedes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Prior CriterionResult when rerun or corrected.</w:t>
            </w:r>
            <w:r/>
          </w:p>
        </w:tc>
      </w:tr>
    </w:tbl>
    <w:p>
      <w:pPr>
        <w:pStyle w:val="1097"/>
        <w:pBdr/>
        <w:spacing/>
        <w:ind/>
        <w:rPr/>
      </w:pPr>
      <w:r/>
      <w:r/>
    </w:p>
    <w:p>
      <w:pPr>
        <w:pStyle w:val="924"/>
        <w:keepNext w:val="true"/>
        <w:keepLines w:val="true"/>
        <w:pBdr/>
        <w:spacing/>
        <w:ind/>
        <w:rPr/>
      </w:pPr>
      <w:r/>
      <w:bookmarkStart w:id="141" w:name="tbl_schema_gaterun_heading"/>
      <w:r>
        <w:t xml:space="preserve">B2.14 GateRunRecord</w:t>
      </w:r>
      <w:bookmarkEnd w:id="141"/>
      <w:r/>
      <w:r/>
    </w:p>
    <w:p>
      <w:pPr>
        <w:pStyle w:val="1086"/>
        <w:keepNext w:val="true"/>
        <w:keepLines w:val="true"/>
        <w:pBdr/>
        <w:spacing/>
        <w:ind/>
        <w:rPr/>
      </w:pPr>
      <w:r/>
      <w:bookmarkStart w:id="142" w:name="tbl_schema_gaterun"/>
      <w:r>
        <w:t xml:space="preserve">Governing — GateRunRecord minimum schema</w:t>
      </w:r>
      <w:bookmarkEnd w:id="142"/>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556"/>
        <w:gridCol w:w="1168"/>
        <w:gridCol w:w="6281"/>
      </w:tblGrid>
      <w:tr>
        <w:trPr>
          <w:cantSplit/>
          <w:tblHeader/>
        </w:trPr>
        <w:tc>
          <w:tcPr>
            <w:shd w:val="clear" w:color="auto" w:fill="1f5d7a"/>
            <w:tcBorders/>
            <w:tcMar>
              <w:left w:w="55" w:type="dxa"/>
              <w:top w:w="45" w:type="dxa"/>
              <w:right w:w="55" w:type="dxa"/>
              <w:bottom w:w="45" w:type="dxa"/>
            </w:tcMar>
            <w:tcW w:w="2556"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1168"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6281"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gate_run_id</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Persistent identifier.</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gate_id</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Exactly one G1-G8 gate.</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verdict</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gate_verdict:PASS/FAIL/PENDING/NOT_APPLICABLE.</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evidence_maturity</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evidence_maturity:NONE/PARTIAL/PROTOTYPE/COMPLETE; independent of verdict.</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evidence_references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Gate-specific proof artifacts and CriterionResults.</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run_date</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Required when an actual run occurred; absent for a pending state in which no actual run occurred.</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owner_role</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Accountable owner and any required independent roles.</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retest_trigger</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Conditions requiring a new run.</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supersedes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Prior GateRun record.</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notes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Scope, limitations and remediation references.</w:t>
            </w:r>
            <w:r/>
          </w:p>
        </w:tc>
      </w:tr>
    </w:tbl>
    <w:p>
      <w:pPr>
        <w:pStyle w:val="1097"/>
        <w:pBdr/>
        <w:spacing/>
        <w:ind/>
        <w:rPr/>
      </w:pPr>
      <w:r/>
      <w:r/>
    </w:p>
    <w:p>
      <w:pPr>
        <w:pStyle w:val="924"/>
        <w:keepNext w:val="true"/>
        <w:keepLines w:val="true"/>
        <w:pBdr/>
        <w:spacing/>
        <w:ind/>
        <w:rPr/>
      </w:pPr>
      <w:r/>
      <w:bookmarkStart w:id="143" w:name="tbl_schema_ai_heading"/>
      <w:r>
        <w:t xml:space="preserve">B2.15 AIProvenanceRecord</w:t>
      </w:r>
      <w:bookmarkEnd w:id="143"/>
      <w:r/>
      <w:r/>
    </w:p>
    <w:p>
      <w:pPr>
        <w:pStyle w:val="1086"/>
        <w:keepNext w:val="true"/>
        <w:keepLines w:val="true"/>
        <w:pBdr/>
        <w:spacing/>
        <w:ind/>
        <w:rPr/>
      </w:pPr>
      <w:r/>
      <w:bookmarkStart w:id="144" w:name="tbl_schema_ai"/>
      <w:r>
        <w:t xml:space="preserve">Governing — AIProvenanceRecord minimum schema</w:t>
      </w:r>
      <w:bookmarkEnd w:id="144"/>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556"/>
        <w:gridCol w:w="1168"/>
        <w:gridCol w:w="6281"/>
      </w:tblGrid>
      <w:tr>
        <w:trPr>
          <w:cantSplit/>
          <w:tblHeader/>
        </w:trPr>
        <w:tc>
          <w:tcPr>
            <w:shd w:val="clear" w:color="auto" w:fill="1f5d7a"/>
            <w:tcBorders/>
            <w:tcMar>
              <w:left w:w="55" w:type="dxa"/>
              <w:top w:w="45" w:type="dxa"/>
              <w:right w:w="55" w:type="dxa"/>
              <w:bottom w:w="45" w:type="dxa"/>
            </w:tcMar>
            <w:tcW w:w="2556" w:type="dxa"/>
            <w:vAlign w:val="top"/>
          </w:tcPr>
          <w:p>
            <w:pPr>
              <w:pStyle w:val="1090"/>
              <w:pBdr/>
              <w:spacing/>
              <w:ind/>
              <w:rPr/>
            </w:pPr>
            <w:r>
              <w:t xml:space="preserve">Field</w:t>
            </w:r>
            <w:r/>
          </w:p>
        </w:tc>
        <w:tc>
          <w:tcPr>
            <w:shd w:val="clear" w:color="auto" w:fill="1f5d7a"/>
            <w:tcBorders/>
            <w:tcMar>
              <w:left w:w="55" w:type="dxa"/>
              <w:top w:w="45" w:type="dxa"/>
              <w:right w:w="55" w:type="dxa"/>
              <w:bottom w:w="45" w:type="dxa"/>
            </w:tcMar>
            <w:tcW w:w="1168" w:type="dxa"/>
            <w:vAlign w:val="top"/>
          </w:tcPr>
          <w:p>
            <w:pPr>
              <w:pStyle w:val="1090"/>
              <w:pBdr/>
              <w:spacing/>
              <w:ind/>
              <w:rPr/>
            </w:pPr>
            <w:r>
              <w:t xml:space="preserve">Cardinality</w:t>
            </w:r>
            <w:r/>
          </w:p>
        </w:tc>
        <w:tc>
          <w:tcPr>
            <w:shd w:val="clear" w:color="auto" w:fill="1f5d7a"/>
            <w:tcBorders/>
            <w:tcMar>
              <w:left w:w="55" w:type="dxa"/>
              <w:top w:w="45" w:type="dxa"/>
              <w:right w:w="55" w:type="dxa"/>
              <w:bottom w:w="45" w:type="dxa"/>
            </w:tcMar>
            <w:tcW w:w="6281" w:type="dxa"/>
            <w:vAlign w:val="top"/>
          </w:tcPr>
          <w:p>
            <w:pPr>
              <w:pStyle w:val="1090"/>
              <w:pBdr/>
              <w:spacing/>
              <w:ind/>
              <w:rPr/>
            </w:pPr>
            <w:r>
              <w:t xml:space="preserve">Minimum constraint</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ai_provenance_id</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Persistent opaque ID.</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object_id</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Canonical object affected.</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affected_fields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Exact fields or generated components touched.</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assistance_type</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SOURCE_DISCOVERY / EXTRACTION / RECORD_DRAFTING / TRANSLATION_DRAFT / CITATION_SUGGESTION / CONSENSUS_CLASSIFICATION / QA / VIEW_GENERATION / OTHER.</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human_verification_status</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UNVERIFIED / VERIFIED / NOT_REQUIRED; substantive release material requires VERIFIED.</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verifier_id_role</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0..1</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Required when VERIFIED.</w:t>
            </w:r>
            <w:r/>
          </w:p>
        </w:tc>
      </w:tr>
      <w:tr>
        <w:trPr>
          <w:cantSplit/>
        </w:trPr>
        <w:tc>
          <w:tcPr>
            <w:shd w:val="clear" w:color="auto" w:fill="ffffff"/>
            <w:tcBorders/>
            <w:tcMar>
              <w:left w:w="55" w:type="dxa"/>
              <w:top w:w="45" w:type="dxa"/>
              <w:right w:w="55" w:type="dxa"/>
              <w:bottom w:w="45" w:type="dxa"/>
            </w:tcMar>
            <w:tcW w:w="2556" w:type="dxa"/>
            <w:vAlign w:val="top"/>
          </w:tcPr>
          <w:p>
            <w:pPr>
              <w:pStyle w:val="1089"/>
              <w:pBdr/>
              <w:spacing/>
              <w:ind/>
              <w:rPr/>
            </w:pPr>
            <w:r>
              <w:t xml:space="preserve">verification_date</w:t>
            </w:r>
            <w:r/>
          </w:p>
        </w:tc>
        <w:tc>
          <w:tcPr>
            <w:shd w:val="clear" w:color="auto" w:fill="ffffff"/>
            <w:tcBorders/>
            <w:tcMar>
              <w:left w:w="55" w:type="dxa"/>
              <w:top w:w="45" w:type="dxa"/>
              <w:right w:w="55" w:type="dxa"/>
              <w:bottom w:w="45" w:type="dxa"/>
            </w:tcMar>
            <w:tcW w:w="1168" w:type="dxa"/>
            <w:vAlign w:val="top"/>
          </w:tcPr>
          <w:p>
            <w:pPr>
              <w:pStyle w:val="1089"/>
              <w:pBdr/>
              <w:spacing/>
              <w:ind/>
              <w:rPr/>
            </w:pPr>
            <w:r>
              <w:t xml:space="preserve">0..1</w:t>
            </w:r>
            <w:r/>
          </w:p>
        </w:tc>
        <w:tc>
          <w:tcPr>
            <w:shd w:val="clear" w:color="auto" w:fill="ffffff"/>
            <w:tcBorders/>
            <w:tcMar>
              <w:left w:w="55" w:type="dxa"/>
              <w:top w:w="45" w:type="dxa"/>
              <w:right w:w="55" w:type="dxa"/>
              <w:bottom w:w="45" w:type="dxa"/>
            </w:tcMar>
            <w:tcW w:w="6281" w:type="dxa"/>
            <w:vAlign w:val="top"/>
          </w:tcPr>
          <w:p>
            <w:pPr>
              <w:pStyle w:val="1089"/>
              <w:pBdr/>
              <w:spacing/>
              <w:ind/>
              <w:rPr/>
            </w:pPr>
            <w:r>
              <w:t xml:space="preserve">Required when VERIFIED.</w:t>
            </w:r>
            <w:r/>
          </w:p>
        </w:tc>
      </w:tr>
      <w:tr>
        <w:trPr>
          <w:cantSplit/>
        </w:trPr>
        <w:tc>
          <w:tcPr>
            <w:shd w:val="clear" w:color="auto" w:fill="f4f6f7"/>
            <w:tcBorders/>
            <w:tcMar>
              <w:left w:w="55" w:type="dxa"/>
              <w:top w:w="45" w:type="dxa"/>
              <w:right w:w="55" w:type="dxa"/>
              <w:bottom w:w="45" w:type="dxa"/>
            </w:tcMar>
            <w:tcW w:w="2556" w:type="dxa"/>
            <w:vAlign w:val="top"/>
          </w:tcPr>
          <w:p>
            <w:pPr>
              <w:pStyle w:val="1089"/>
              <w:pBdr/>
              <w:spacing/>
              <w:ind/>
              <w:rPr/>
            </w:pPr>
            <w:r>
              <w:t xml:space="preserve">verification_notes</w:t>
            </w:r>
            <w:r/>
          </w:p>
        </w:tc>
        <w:tc>
          <w:tcPr>
            <w:shd w:val="clear" w:color="auto" w:fill="f4f6f7"/>
            <w:tcBorders/>
            <w:tcMar>
              <w:left w:w="55" w:type="dxa"/>
              <w:top w:w="45" w:type="dxa"/>
              <w:right w:w="55" w:type="dxa"/>
              <w:bottom w:w="45" w:type="dxa"/>
            </w:tcMar>
            <w:tcW w:w="1168" w:type="dxa"/>
            <w:vAlign w:val="top"/>
          </w:tcPr>
          <w:p>
            <w:pPr>
              <w:pStyle w:val="1089"/>
              <w:pBdr/>
              <w:spacing/>
              <w:ind/>
              <w:rPr/>
            </w:pPr>
            <w:r>
              <w:t xml:space="preserve">0..*</w:t>
            </w:r>
            <w:r/>
          </w:p>
        </w:tc>
        <w:tc>
          <w:tcPr>
            <w:shd w:val="clear" w:color="auto" w:fill="f4f6f7"/>
            <w:tcBorders/>
            <w:tcMar>
              <w:left w:w="55" w:type="dxa"/>
              <w:top w:w="45" w:type="dxa"/>
              <w:right w:w="55" w:type="dxa"/>
              <w:bottom w:w="45" w:type="dxa"/>
            </w:tcMar>
            <w:tcW w:w="6281" w:type="dxa"/>
            <w:vAlign w:val="top"/>
          </w:tcPr>
          <w:p>
            <w:pPr>
              <w:pStyle w:val="1089"/>
              <w:pBdr/>
              <w:spacing/>
              <w:ind/>
              <w:rPr/>
            </w:pPr>
            <w:r>
              <w:t xml:space="preserve">Checks, corrections, scope limitations.</w:t>
            </w:r>
            <w:r/>
          </w:p>
        </w:tc>
      </w:tr>
    </w:tbl>
    <w:p>
      <w:pPr>
        <w:pStyle w:val="1097"/>
        <w:pBdr/>
        <w:spacing/>
        <w:ind/>
        <w:rPr/>
      </w:pPr>
      <w:r/>
      <w:r/>
    </w:p>
    <w:p>
      <w:pPr>
        <w:pStyle w:val="923"/>
        <w:keepNext w:val="true"/>
        <w:keepLines w:val="true"/>
        <w:pBdr/>
        <w:spacing/>
        <w:ind/>
        <w:rPr/>
      </w:pPr>
      <w:r/>
      <w:bookmarkStart w:id="145" w:name="annex_b3_conditional"/>
      <w:r>
        <w:t xml:space="preserve">B3. Conditional cardinality rules</w:t>
      </w:r>
      <w:bookmarkEnd w:id="145"/>
      <w:r/>
      <w:r/>
    </w:p>
    <w:p>
      <w:pPr>
        <w:pStyle w:val="1083"/>
        <w:pBdr/>
        <w:spacing/>
        <w:ind/>
        <w:rPr/>
      </w:pPr>
      <w:r>
        <w:t xml:space="preserve">Conditional requirements identify the triggering evidence f</w:t>
      </w:r>
      <w:r>
        <w:t xml:space="preserve">orm, represented scope or intended use. Missing required evidence remains an unresolved requirement. A not-applicable determination records why the requirement does not arise; it cannot substitute for unavailable evidence, consent, authorization or review.</w:t>
      </w:r>
      <w:r/>
    </w:p>
    <w:p>
      <w:pPr>
        <w:pStyle w:val="1083"/>
        <w:pBdr/>
        <w:spacing/>
        <w:ind/>
        <w:rPr/>
      </w:pPr>
      <w:r>
        <w:t xml:space="preserve">The SourceInstance and SourceCommunityCoverage field conditions in §§B2.6 and B2.11 are binding at the declared scope. Provisional records may identify missing values, but cannot be represented as str</w:t>
      </w:r>
      <w:r>
        <w:t xml:space="preserve">ucturally complete or release-eligible while a triggered requirement is unmet. Permitted uncertainty must be explicit, source-supported and adequate for the intended attribution and authorized review; it cannot replace a mandatory evidence or rights chain.</w:t>
      </w:r>
      <w:r/>
    </w:p>
    <w:p>
      <w:pPr>
        <w:pStyle w:val="1086"/>
        <w:keepNext w:val="true"/>
        <w:keepLines w:val="true"/>
        <w:pBdr/>
        <w:spacing/>
        <w:ind/>
        <w:rPr/>
      </w:pPr>
      <w:r/>
      <w:bookmarkStart w:id="146" w:name="tbl_conditional_rules"/>
      <w:r>
        <w:t xml:space="preserve">Governing — Conditional record and cardinality rules</w:t>
      </w:r>
      <w:bookmarkEnd w:id="146"/>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3579"/>
        <w:gridCol w:w="6427"/>
      </w:tblGrid>
      <w:tr>
        <w:trPr>
          <w:cantSplit/>
          <w:tblHeader/>
        </w:trPr>
        <w:tc>
          <w:tcPr>
            <w:shd w:val="clear" w:color="auto" w:fill="1f5d7a"/>
            <w:tcBorders/>
            <w:tcMar>
              <w:left w:w="55" w:type="dxa"/>
              <w:top w:w="45" w:type="dxa"/>
              <w:right w:w="55" w:type="dxa"/>
              <w:bottom w:w="45" w:type="dxa"/>
            </w:tcMar>
            <w:tcW w:w="3579" w:type="dxa"/>
            <w:vAlign w:val="top"/>
          </w:tcPr>
          <w:p>
            <w:pPr>
              <w:pStyle w:val="1090"/>
              <w:pBdr/>
              <w:spacing/>
              <w:ind/>
              <w:rPr/>
            </w:pPr>
            <w:r>
              <w:t xml:space="preserve">Condition</w:t>
            </w:r>
            <w:r/>
          </w:p>
        </w:tc>
        <w:tc>
          <w:tcPr>
            <w:shd w:val="clear" w:color="auto" w:fill="1f5d7a"/>
            <w:tcBorders/>
            <w:tcMar>
              <w:left w:w="55" w:type="dxa"/>
              <w:top w:w="45" w:type="dxa"/>
              <w:right w:w="55" w:type="dxa"/>
              <w:bottom w:w="45" w:type="dxa"/>
            </w:tcMar>
            <w:tcW w:w="6427" w:type="dxa"/>
            <w:vAlign w:val="top"/>
          </w:tcPr>
          <w:p>
            <w:pPr>
              <w:pStyle w:val="1090"/>
              <w:pBdr/>
              <w:spacing/>
              <w:ind/>
              <w:rPr/>
            </w:pPr>
            <w:r>
              <w:t xml:space="preserve">Mandatory consequence</w:t>
            </w:r>
            <w:r/>
          </w:p>
        </w:tc>
      </w:tr>
      <w:tr>
        <w:trPr>
          <w:cantSplit/>
        </w:trPr>
        <w:tc>
          <w:tcPr>
            <w:shd w:val="clear" w:color="auto" w:fill="ffffff"/>
            <w:tcBorders/>
            <w:tcMar>
              <w:left w:w="55" w:type="dxa"/>
              <w:top w:w="45" w:type="dxa"/>
              <w:right w:w="55" w:type="dxa"/>
              <w:bottom w:w="45" w:type="dxa"/>
            </w:tcMar>
            <w:tcW w:w="3579" w:type="dxa"/>
            <w:vAlign w:val="top"/>
          </w:tcPr>
          <w:p>
            <w:pPr>
              <w:pStyle w:val="1089"/>
              <w:pBdr/>
              <w:spacing/>
              <w:ind/>
              <w:rPr/>
            </w:pPr>
            <w:r>
              <w:t xml:space="preserve">primary_status = ANS/DEN/REF/VAR</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At least one source-grounded claim link, except a documented edge case.</w:t>
            </w:r>
            <w:r/>
          </w:p>
        </w:tc>
      </w:tr>
      <w:tr>
        <w:trPr>
          <w:cantSplit/>
        </w:trPr>
        <w:tc>
          <w:tcPr>
            <w:shd w:val="clear" w:color="auto" w:fill="f4f6f7"/>
            <w:tcBorders/>
            <w:tcMar>
              <w:left w:w="55" w:type="dxa"/>
              <w:top w:w="45" w:type="dxa"/>
              <w:right w:w="55" w:type="dxa"/>
              <w:bottom w:w="45" w:type="dxa"/>
            </w:tcMar>
            <w:tcW w:w="3579" w:type="dxa"/>
            <w:vAlign w:val="top"/>
          </w:tcPr>
          <w:p>
            <w:pPr>
              <w:pStyle w:val="1089"/>
              <w:pBdr/>
              <w:spacing/>
              <w:ind/>
              <w:rPr/>
            </w:pPr>
            <w:r>
              <w:t xml:space="preserve">primary_status = VAR</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boundary_assessment + variation_basis + subposition_links or claim links required.</w:t>
            </w:r>
            <w:r/>
          </w:p>
        </w:tc>
      </w:tr>
      <w:tr>
        <w:trPr>
          <w:cantSplit/>
        </w:trPr>
        <w:tc>
          <w:tcPr>
            <w:shd w:val="clear" w:color="auto" w:fill="ffffff"/>
            <w:tcBorders/>
            <w:tcMar>
              <w:left w:w="55" w:type="dxa"/>
              <w:top w:w="45" w:type="dxa"/>
              <w:right w:w="55" w:type="dxa"/>
              <w:bottom w:w="45" w:type="dxa"/>
            </w:tcMar>
            <w:tcW w:w="3579" w:type="dxa"/>
            <w:vAlign w:val="top"/>
          </w:tcPr>
          <w:p>
            <w:pPr>
              <w:pStyle w:val="1089"/>
              <w:pBdr/>
              <w:spacing/>
              <w:ind/>
              <w:rPr/>
            </w:pPr>
            <w:r>
              <w:t xml:space="preserve">primary_status = UND</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Evidence package must be adequate enough to establish that the Position leaves the issue open.</w:t>
            </w:r>
            <w:r/>
          </w:p>
        </w:tc>
      </w:tr>
      <w:tr>
        <w:trPr>
          <w:cantSplit/>
        </w:trPr>
        <w:tc>
          <w:tcPr>
            <w:shd w:val="clear" w:color="auto" w:fill="f4f6f7"/>
            <w:tcBorders/>
            <w:tcMar>
              <w:left w:w="55" w:type="dxa"/>
              <w:top w:w="45" w:type="dxa"/>
              <w:right w:w="55" w:type="dxa"/>
              <w:bottom w:w="45" w:type="dxa"/>
            </w:tcMar>
            <w:tcW w:w="3579" w:type="dxa"/>
            <w:vAlign w:val="top"/>
          </w:tcPr>
          <w:p>
            <w:pPr>
              <w:pStyle w:val="1089"/>
              <w:pBdr/>
              <w:spacing/>
              <w:ind/>
              <w:rPr/>
            </w:pPr>
            <w:r>
              <w:t xml:space="preserve">primary_status = IND</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Record competing interpretations/evidence and why no stable reading is available.</w:t>
            </w:r>
            <w:r/>
          </w:p>
        </w:tc>
      </w:tr>
      <w:tr>
        <w:trPr>
          <w:cantSplit/>
        </w:trPr>
        <w:tc>
          <w:tcPr>
            <w:shd w:val="clear" w:color="auto" w:fill="ffffff"/>
            <w:tcBorders/>
            <w:tcMar>
              <w:left w:w="55" w:type="dxa"/>
              <w:top w:w="45" w:type="dxa"/>
              <w:right w:w="55" w:type="dxa"/>
              <w:bottom w:w="45" w:type="dxa"/>
            </w:tcMar>
            <w:tcW w:w="3579" w:type="dxa"/>
            <w:vAlign w:val="top"/>
          </w:tcPr>
          <w:p>
            <w:pPr>
              <w:pStyle w:val="1089"/>
              <w:pBdr/>
              <w:spacing/>
              <w:ind/>
              <w:rPr/>
            </w:pPr>
            <w:r>
              <w:t xml:space="preserve">primary_status = INS</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Record missing evidence and what could plausibly settle the question.</w:t>
            </w:r>
            <w:r/>
          </w:p>
        </w:tc>
      </w:tr>
      <w:tr>
        <w:trPr>
          <w:cantSplit/>
        </w:trPr>
        <w:tc>
          <w:tcPr>
            <w:shd w:val="clear" w:color="auto" w:fill="f4f6f7"/>
            <w:tcBorders/>
            <w:tcMar>
              <w:left w:w="55" w:type="dxa"/>
              <w:top w:w="45" w:type="dxa"/>
              <w:right w:w="55" w:type="dxa"/>
              <w:bottom w:w="45" w:type="dxa"/>
            </w:tcMar>
            <w:tcW w:w="3579" w:type="dxa"/>
            <w:vAlign w:val="top"/>
          </w:tcPr>
          <w:p>
            <w:pPr>
              <w:pStyle w:val="1089"/>
              <w:pBdr/>
              <w:spacing/>
              <w:ind/>
              <w:rPr/>
            </w:pPr>
            <w:r>
              <w:t xml:space="preserve">CAT present</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Record exact category/translation distortion and handling instruction; comparison and publication must not silently strip the warning.</w:t>
            </w:r>
            <w:r/>
          </w:p>
        </w:tc>
      </w:tr>
      <w:tr>
        <w:trPr>
          <w:cantSplit/>
        </w:trPr>
        <w:tc>
          <w:tcPr>
            <w:shd w:val="clear" w:color="auto" w:fill="ffffff"/>
            <w:tcBorders/>
            <w:tcMar>
              <w:left w:w="55" w:type="dxa"/>
              <w:top w:w="45" w:type="dxa"/>
              <w:right w:w="55" w:type="dxa"/>
              <w:bottom w:w="45" w:type="dxa"/>
            </w:tcMar>
            <w:tcW w:w="3579" w:type="dxa"/>
            <w:vAlign w:val="top"/>
          </w:tcPr>
          <w:p>
            <w:pPr>
              <w:pStyle w:val="1089"/>
              <w:pBdr/>
              <w:spacing/>
              <w:ind/>
              <w:rPr/>
            </w:pPr>
            <w:r>
              <w:t xml:space="preserve">attachment = DER</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derived_from_claims + inference_rationale required.</w:t>
            </w:r>
            <w:r/>
          </w:p>
        </w:tc>
      </w:tr>
      <w:tr>
        <w:trPr>
          <w:cantSplit/>
        </w:trPr>
        <w:tc>
          <w:tcPr>
            <w:shd w:val="clear" w:color="auto" w:fill="f4f6f7"/>
            <w:tcBorders/>
            <w:tcMar>
              <w:left w:w="55" w:type="dxa"/>
              <w:top w:w="45" w:type="dxa"/>
              <w:right w:w="55" w:type="dxa"/>
              <w:bottom w:w="45" w:type="dxa"/>
            </w:tcMar>
            <w:tcW w:w="3579" w:type="dxa"/>
            <w:vAlign w:val="top"/>
          </w:tcPr>
          <w:p>
            <w:pPr>
              <w:pStyle w:val="1089"/>
              <w:pBdr/>
              <w:spacing/>
              <w:ind/>
              <w:rPr/>
            </w:pPr>
            <w:r>
              <w:t xml:space="preserve">claim_origin = SOURCE_GROUNDED</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Fit-for-purpose EvidenceLink(s) with exact locator(s) required for release.</w:t>
            </w:r>
            <w:r/>
          </w:p>
        </w:tc>
      </w:tr>
      <w:tr>
        <w:trPr>
          <w:cantSplit/>
        </w:trPr>
        <w:tc>
          <w:tcPr>
            <w:shd w:val="clear" w:color="auto" w:fill="ffffff"/>
            <w:tcBorders/>
            <w:tcMar>
              <w:left w:w="55" w:type="dxa"/>
              <w:top w:w="45" w:type="dxa"/>
              <w:right w:w="55" w:type="dxa"/>
              <w:bottom w:w="45" w:type="dxa"/>
            </w:tcMar>
            <w:tcW w:w="3579" w:type="dxa"/>
            <w:vAlign w:val="top"/>
          </w:tcPr>
          <w:p>
            <w:pPr>
              <w:pStyle w:val="1089"/>
              <w:pBdr/>
              <w:spacing/>
              <w:ind/>
              <w:rPr/>
            </w:pPr>
            <w:r>
              <w:t xml:space="preserve">claim_origin = ATLAS_INFERENCE</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derived_from_claims + inference_rationale required; no synthetic SourceRecord.</w:t>
            </w:r>
            <w:r/>
          </w:p>
        </w:tc>
      </w:tr>
      <w:tr>
        <w:trPr>
          <w:cantSplit/>
        </w:trPr>
        <w:tc>
          <w:tcPr>
            <w:shd w:val="clear" w:color="auto" w:fill="f4f6f7"/>
            <w:tcBorders/>
            <w:tcMar>
              <w:left w:w="55" w:type="dxa"/>
              <w:top w:w="45" w:type="dxa"/>
              <w:right w:w="55" w:type="dxa"/>
              <w:bottom w:w="45" w:type="dxa"/>
            </w:tcMar>
            <w:tcW w:w="3579" w:type="dxa"/>
            <w:vAlign w:val="top"/>
          </w:tcPr>
          <w:p>
            <w:pPr>
              <w:pStyle w:val="1089"/>
              <w:pBdr/>
              <w:spacing/>
              <w:ind/>
              <w:rPr/>
            </w:pPr>
            <w:r>
              <w:t xml:space="preserve">SourceRecord</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source_proximity + one or more source_form values + authority_relation required; no exclusive source-category.</w:t>
            </w:r>
            <w:r/>
          </w:p>
        </w:tc>
      </w:tr>
      <w:tr>
        <w:trPr>
          <w:cantSplit/>
        </w:trPr>
        <w:tc>
          <w:tcPr>
            <w:shd w:val="clear" w:color="auto" w:fill="ffffff"/>
            <w:tcBorders/>
            <w:tcMar>
              <w:left w:w="55" w:type="dxa"/>
              <w:top w:w="45" w:type="dxa"/>
              <w:right w:w="55" w:type="dxa"/>
              <w:bottom w:w="45" w:type="dxa"/>
            </w:tcMar>
            <w:tcW w:w="3579" w:type="dxa"/>
            <w:vAlign w:val="top"/>
          </w:tcPr>
          <w:p>
            <w:pPr>
              <w:pStyle w:val="1089"/>
              <w:pBdr/>
              <w:spacing/>
              <w:ind/>
              <w:rPr/>
            </w:pPr>
            <w:r>
              <w:t xml:space="preserve">relation = OEQ</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Equivalence dimensions + failure conditions + linked disanalogy + specialist review.</w:t>
            </w:r>
            <w:r/>
          </w:p>
        </w:tc>
      </w:tr>
      <w:tr>
        <w:trPr>
          <w:cantSplit/>
        </w:trPr>
        <w:tc>
          <w:tcPr>
            <w:shd w:val="clear" w:color="auto" w:fill="f4f6f7"/>
            <w:tcBorders/>
            <w:tcMar>
              <w:left w:w="55" w:type="dxa"/>
              <w:top w:w="45" w:type="dxa"/>
              <w:right w:w="55" w:type="dxa"/>
              <w:bottom w:w="45" w:type="dxa"/>
            </w:tcMar>
            <w:tcW w:w="3579" w:type="dxa"/>
            <w:vAlign w:val="top"/>
          </w:tcPr>
          <w:p>
            <w:pPr>
              <w:pStyle w:val="1089"/>
              <w:pBdr/>
              <w:spacing/>
              <w:ind/>
              <w:rPr/>
            </w:pPr>
            <w:r>
              <w:t xml:space="preserve">relation = GEN</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Genealogy subtype, status and evidence required.</w:t>
            </w:r>
            <w:r/>
          </w:p>
        </w:tc>
      </w:tr>
      <w:tr>
        <w:trPr>
          <w:cantSplit/>
        </w:trPr>
        <w:tc>
          <w:tcPr>
            <w:shd w:val="clear" w:color="auto" w:fill="ffffff"/>
            <w:tcBorders/>
            <w:tcMar>
              <w:left w:w="55" w:type="dxa"/>
              <w:top w:w="45" w:type="dxa"/>
              <w:right w:w="55" w:type="dxa"/>
              <w:bottom w:w="45" w:type="dxa"/>
            </w:tcMar>
            <w:tcW w:w="3579" w:type="dxa"/>
            <w:vAlign w:val="top"/>
          </w:tcPr>
          <w:p>
            <w:pPr>
              <w:pStyle w:val="1089"/>
              <w:pBdr/>
              <w:spacing/>
              <w:ind/>
              <w:rPr/>
            </w:pPr>
            <w:r>
              <w:t xml:space="preserve">tertium_validity = DISTORTING</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relation:MIS reason required; no positive relation under that event; replacement event required if comparison continues.</w:t>
            </w:r>
            <w:r/>
          </w:p>
        </w:tc>
      </w:tr>
      <w:tr>
        <w:trPr>
          <w:cantSplit/>
        </w:trPr>
        <w:tc>
          <w:tcPr>
            <w:shd w:val="clear" w:color="auto" w:fill="f4f6f7"/>
            <w:tcBorders/>
            <w:tcMar>
              <w:left w:w="55" w:type="dxa"/>
              <w:top w:w="45" w:type="dxa"/>
              <w:right w:w="55" w:type="dxa"/>
              <w:bottom w:w="45" w:type="dxa"/>
            </w:tcMar>
            <w:tcW w:w="3579" w:type="dxa"/>
            <w:vAlign w:val="top"/>
          </w:tcPr>
          <w:p>
            <w:pPr>
              <w:pStyle w:val="1089"/>
              <w:pBdr/>
              <w:spacing/>
              <w:ind/>
              <w:rPr/>
            </w:pPr>
            <w:r>
              <w:t xml:space="preserve">same coherence key contains OCO+INC or OEQ+INC</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Semantic validation failure.</w:t>
            </w:r>
            <w:r/>
          </w:p>
        </w:tc>
      </w:tr>
      <w:tr>
        <w:trPr>
          <w:cantSplit/>
        </w:trPr>
        <w:tc>
          <w:tcPr>
            <w:shd w:val="clear" w:color="auto" w:fill="ffffff"/>
            <w:tcBorders/>
            <w:tcMar>
              <w:left w:w="55" w:type="dxa"/>
              <w:top w:w="45" w:type="dxa"/>
              <w:right w:w="55" w:type="dxa"/>
              <w:bottom w:w="45" w:type="dxa"/>
            </w:tcMar>
            <w:tcW w:w="3579" w:type="dxa"/>
            <w:vAlign w:val="top"/>
          </w:tcPr>
          <w:p>
            <w:pPr>
              <w:pStyle w:val="1089"/>
              <w:pBdr/>
              <w:spacing/>
              <w:ind/>
              <w:rPr/>
            </w:pPr>
            <w:r>
              <w:t xml:space="preserve">same coherence key contains OEQ+OCO</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Redundant relation set; retain OEQ and remove same-scope OCO.</w:t>
            </w:r>
            <w:r/>
          </w:p>
        </w:tc>
      </w:tr>
      <w:tr>
        <w:trPr>
          <w:cantSplit/>
        </w:trPr>
        <w:tc>
          <w:tcPr>
            <w:shd w:val="clear" w:color="auto" w:fill="f4f6f7"/>
            <w:tcBorders/>
            <w:tcMar>
              <w:left w:w="55" w:type="dxa"/>
              <w:top w:w="45" w:type="dxa"/>
              <w:right w:w="55" w:type="dxa"/>
              <w:bottom w:w="45" w:type="dxa"/>
            </w:tcMar>
            <w:tcW w:w="3579" w:type="dxa"/>
            <w:vAlign w:val="top"/>
          </w:tcPr>
          <w:p>
            <w:pPr>
              <w:pStyle w:val="1089"/>
              <w:pBdr/>
              <w:spacing/>
              <w:ind/>
              <w:rPr/>
            </w:pPr>
            <w:r>
              <w:t xml:space="preserve">oral/performed/interview claim at release eligibility</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Resolvable EvidenceLink.source_instance_id and complete SourceInstance identity/version contract, plus every triggered event field under §B2.6, are required irrespective of project-level G4.</w:t>
            </w:r>
            <w:r/>
          </w:p>
        </w:tc>
      </w:tr>
      <w:tr>
        <w:trPr>
          <w:cantSplit/>
        </w:trPr>
        <w:tc>
          <w:tcPr>
            <w:shd w:val="clear" w:color="auto" w:fill="ffffff"/>
            <w:tcBorders/>
            <w:tcMar>
              <w:left w:w="55" w:type="dxa"/>
              <w:top w:w="45" w:type="dxa"/>
              <w:right w:w="55" w:type="dxa"/>
              <w:bottom w:w="45" w:type="dxa"/>
            </w:tcMar>
            <w:tcW w:w="3579" w:type="dxa"/>
            <w:vAlign w:val="top"/>
          </w:tcPr>
          <w:p>
            <w:pPr>
              <w:pStyle w:val="1089"/>
              <w:pBdr/>
              <w:spacing/>
              <w:ind/>
              <w:rPr/>
            </w:pPr>
            <w:r>
              <w:t xml:space="preserve">community-applicable unit at release eligibility</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Adequate source-community coverage and rights/protocol review are required under §B2.11, irrespective of project-level G5; missing mandatory evidence cannot be coded not applicable.</w:t>
            </w:r>
            <w:r/>
          </w:p>
        </w:tc>
      </w:tr>
      <w:tr>
        <w:trPr>
          <w:cantSplit/>
        </w:trPr>
        <w:tc>
          <w:tcPr>
            <w:shd w:val="clear" w:color="auto" w:fill="f4f6f7"/>
            <w:tcBorders/>
            <w:tcMar>
              <w:left w:w="55" w:type="dxa"/>
              <w:top w:w="45" w:type="dxa"/>
              <w:right w:w="55" w:type="dxa"/>
              <w:bottom w:w="45" w:type="dxa"/>
            </w:tcMar>
            <w:tcW w:w="3579" w:type="dxa"/>
            <w:vAlign w:val="top"/>
          </w:tcPr>
          <w:p>
            <w:pPr>
              <w:pStyle w:val="1089"/>
              <w:pBdr/>
              <w:spacing/>
              <w:ind/>
              <w:rPr/>
            </w:pPr>
            <w:r>
              <w:t xml:space="preserve">synthesis level &gt;= L2</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Counterexample links and active negative-case search required.</w:t>
            </w:r>
            <w:r/>
          </w:p>
        </w:tc>
      </w:tr>
      <w:tr>
        <w:trPr>
          <w:cantSplit/>
        </w:trPr>
        <w:tc>
          <w:tcPr>
            <w:shd w:val="clear" w:color="auto" w:fill="ffffff"/>
            <w:tcBorders/>
            <w:tcMar>
              <w:left w:w="55" w:type="dxa"/>
              <w:top w:w="45" w:type="dxa"/>
              <w:right w:w="55" w:type="dxa"/>
              <w:bottom w:w="45" w:type="dxa"/>
            </w:tcMar>
            <w:tcW w:w="3579" w:type="dxa"/>
            <w:vAlign w:val="top"/>
          </w:tcPr>
          <w:p>
            <w:pPr>
              <w:pStyle w:val="1089"/>
              <w:pBdr/>
              <w:spacing/>
              <w:ind/>
              <w:rPr/>
            </w:pPr>
            <w:r>
              <w:t xml:space="preserve">reader-facing L2 recurrence</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Selection basis, effective genealogy clusters, negative cases, linked counterexamples, translation/boundary dependencies, sensitivity tests and level-appropriate review required.</w:t>
            </w:r>
            <w:r/>
          </w:p>
        </w:tc>
      </w:tr>
      <w:tr>
        <w:trPr>
          <w:cantSplit/>
        </w:trPr>
        <w:tc>
          <w:tcPr>
            <w:shd w:val="clear" w:color="auto" w:fill="f4f6f7"/>
            <w:tcBorders/>
            <w:tcMar>
              <w:left w:w="55" w:type="dxa"/>
              <w:top w:w="45" w:type="dxa"/>
              <w:right w:w="55" w:type="dxa"/>
              <w:bottom w:w="45" w:type="dxa"/>
            </w:tcMar>
            <w:tcW w:w="3579" w:type="dxa"/>
            <w:vAlign w:val="top"/>
          </w:tcPr>
          <w:p>
            <w:pPr>
              <w:pStyle w:val="1089"/>
              <w:pBdr/>
              <w:spacing/>
              <w:ind/>
              <w:rPr/>
            </w:pPr>
            <w:r>
              <w:t xml:space="preserve">independent-recurrence language</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At least two adequately argued independent support clusters required.</w:t>
            </w:r>
            <w:r/>
          </w:p>
        </w:tc>
      </w:tr>
      <w:tr>
        <w:trPr>
          <w:cantSplit/>
        </w:trPr>
        <w:tc>
          <w:tcPr>
            <w:shd w:val="clear" w:color="auto" w:fill="ffffff"/>
            <w:tcBorders/>
            <w:tcMar>
              <w:left w:w="55" w:type="dxa"/>
              <w:top w:w="45" w:type="dxa"/>
              <w:right w:w="55" w:type="dxa"/>
              <w:bottom w:w="45" w:type="dxa"/>
            </w:tcMar>
            <w:tcW w:w="3579" w:type="dxa"/>
            <w:vAlign w:val="top"/>
          </w:tcPr>
          <w:p>
            <w:pPr>
              <w:pStyle w:val="1089"/>
              <w:pBdr/>
              <w:spacing/>
              <w:ind/>
              <w:rPr/>
            </w:pPr>
            <w:r>
              <w:t xml:space="preserve">PublicationClaim in release scope</w:t>
            </w:r>
            <w:r/>
          </w:p>
        </w:tc>
        <w:tc>
          <w:tcPr>
            <w:shd w:val="clear" w:color="auto" w:fill="ffffff"/>
            <w:tcBorders/>
            <w:tcMar>
              <w:left w:w="55" w:type="dxa"/>
              <w:top w:w="45" w:type="dxa"/>
              <w:right w:w="55" w:type="dxa"/>
              <w:bottom w:w="45" w:type="dxa"/>
            </w:tcMar>
            <w:tcW w:w="6427" w:type="dxa"/>
            <w:vAlign w:val="top"/>
          </w:tcPr>
          <w:p>
            <w:pPr>
              <w:pStyle w:val="1089"/>
              <w:pBdr/>
              <w:spacing/>
              <w:ind/>
              <w:rPr/>
            </w:pPr>
            <w:r>
              <w:t xml:space="preserve">Canonical premise IDs, inference rationale, scope/qualifiers, defeaters, prohibited stronger reading and review record required.</w:t>
            </w:r>
            <w:r/>
          </w:p>
        </w:tc>
      </w:tr>
      <w:tr>
        <w:trPr>
          <w:cantSplit/>
        </w:trPr>
        <w:tc>
          <w:tcPr>
            <w:shd w:val="clear" w:color="auto" w:fill="f4f6f7"/>
            <w:tcBorders/>
            <w:tcMar>
              <w:left w:w="55" w:type="dxa"/>
              <w:top w:w="45" w:type="dxa"/>
              <w:right w:w="55" w:type="dxa"/>
              <w:bottom w:w="45" w:type="dxa"/>
            </w:tcMar>
            <w:tcW w:w="3579" w:type="dxa"/>
            <w:vAlign w:val="top"/>
          </w:tcPr>
          <w:p>
            <w:pPr>
              <w:pStyle w:val="1089"/>
              <w:pBdr/>
              <w:spacing/>
              <w:ind/>
              <w:rPr/>
            </w:pPr>
            <w:r>
              <w:t xml:space="preserve">GateRun verdict = PASS</w:t>
            </w:r>
            <w:r/>
          </w:p>
        </w:tc>
        <w:tc>
          <w:tcPr>
            <w:shd w:val="clear" w:color="auto" w:fill="f4f6f7"/>
            <w:tcBorders/>
            <w:tcMar>
              <w:left w:w="55" w:type="dxa"/>
              <w:top w:w="45" w:type="dxa"/>
              <w:right w:w="55" w:type="dxa"/>
              <w:bottom w:w="45" w:type="dxa"/>
            </w:tcMar>
            <w:tcW w:w="6427" w:type="dxa"/>
            <w:vAlign w:val="top"/>
          </w:tcPr>
          <w:p>
            <w:pPr>
              <w:pStyle w:val="1089"/>
              <w:pBdr/>
              <w:spacing/>
              <w:ind/>
              <w:rPr/>
            </w:pPr>
            <w:r>
              <w:t xml:space="preserve">Gate-specific acceptance rule and evidence_maturity:COMPLETE required; evidence maturity alone never sets PASS.</w:t>
            </w:r>
            <w:r/>
          </w:p>
        </w:tc>
      </w:tr>
    </w:tbl>
    <w:p>
      <w:pPr>
        <w:pStyle w:val="922"/>
        <w:keepNext w:val="true"/>
        <w:keepLines w:val="true"/>
        <w:pBdr/>
        <w:spacing/>
        <w:ind/>
        <w:rPr/>
      </w:pPr>
      <w:r/>
      <w:bookmarkStart w:id="147" w:name="annex_c"/>
      <w:r>
        <w:t xml:space="preserve">Annex C — Validation and gate tests</w:t>
      </w:r>
      <w:bookmarkEnd w:id="147"/>
      <w:r/>
      <w:r/>
    </w:p>
    <w:p>
      <w:pPr>
        <w:pStyle w:val="1086"/>
        <w:keepNext w:val="true"/>
        <w:keepLines w:val="true"/>
        <w:pBdr/>
        <w:spacing/>
        <w:ind/>
        <w:rPr/>
      </w:pPr>
      <w:r/>
      <w:bookmarkStart w:id="148" w:name="Section_front_door_5"/>
      <w:r>
        <w:t xml:space="preserve">Governing — Section front door</w:t>
      </w:r>
      <w:bookmarkEnd w:id="148"/>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1972"/>
        <w:gridCol w:w="8034"/>
      </w:tblGrid>
      <w:tr>
        <w:trPr>
          <w:cantSplit/>
          <w:tblHeader/>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Purpose</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Provide the sole complete validation matrix, review criteria, gate evidence specifications, reliability packet designs and authorization templates.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Primary users</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Validation leads, independent coders, governance and provenance leads, data engineers and release officers.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Authority status</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Governing</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Decision or rule</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Schema completeness alone cannot satisfy human review, reliability, rights, representation or production evidence.</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Required output</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Recorded CriterionResults, GateRuns, evidence artifacts and a defensible GO or HOLD decision.</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Go to</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Historical snapshot at the end for the dated handover state.</w:t>
            </w:r>
            <w:r/>
          </w:p>
        </w:tc>
      </w:tr>
    </w:tbl>
    <w:p>
      <w:pPr>
        <w:pStyle w:val="1097"/>
        <w:pBdr/>
        <w:spacing/>
        <w:ind/>
        <w:rPr/>
      </w:pPr>
      <w:r/>
      <w:r/>
    </w:p>
    <w:p>
      <w:pPr>
        <w:pStyle w:val="923"/>
        <w:keepNext w:val="true"/>
        <w:keepLines w:val="true"/>
        <w:pBdr/>
        <w:spacing/>
        <w:ind/>
        <w:rPr/>
      </w:pPr>
      <w:r/>
      <w:bookmarkStart w:id="149" w:name="annex_c1_validation"/>
      <w:r>
        <w:t xml:space="preserve">C1. Validation rules V-01–V-20</w:t>
      </w:r>
      <w:bookmarkEnd w:id="149"/>
      <w:r/>
      <w:r/>
    </w:p>
    <w:p>
      <w:pPr>
        <w:pStyle w:val="1086"/>
        <w:keepNext w:val="true"/>
        <w:keepLines w:val="true"/>
        <w:pBdr/>
        <w:spacing/>
        <w:ind/>
        <w:rPr/>
      </w:pPr>
      <w:r/>
      <w:bookmarkStart w:id="150" w:name="tbl_validation_matrix"/>
      <w:r>
        <w:t xml:space="preserve">Governing — Validation rules and primary tests</w:t>
      </w:r>
      <w:bookmarkEnd w:id="150"/>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803"/>
        <w:gridCol w:w="6208"/>
        <w:gridCol w:w="2994"/>
      </w:tblGrid>
      <w:tr>
        <w:trPr>
          <w:cantSplit/>
          <w:tblHeader/>
        </w:trPr>
        <w:tc>
          <w:tcPr>
            <w:shd w:val="clear" w:color="auto" w:fill="1f5d7a"/>
            <w:tcBorders/>
            <w:tcMar>
              <w:left w:w="55" w:type="dxa"/>
              <w:top w:w="45" w:type="dxa"/>
              <w:right w:w="55" w:type="dxa"/>
              <w:bottom w:w="45" w:type="dxa"/>
            </w:tcMar>
            <w:tcW w:w="803" w:type="dxa"/>
            <w:vAlign w:val="top"/>
          </w:tcPr>
          <w:p>
            <w:pPr>
              <w:pStyle w:val="1090"/>
              <w:pBdr/>
              <w:spacing/>
              <w:ind/>
              <w:rPr/>
            </w:pPr>
            <w:r>
              <w:t xml:space="preserve">Rule</w:t>
            </w:r>
            <w:r/>
          </w:p>
        </w:tc>
        <w:tc>
          <w:tcPr>
            <w:shd w:val="clear" w:color="auto" w:fill="1f5d7a"/>
            <w:tcBorders/>
            <w:tcMar>
              <w:left w:w="55" w:type="dxa"/>
              <w:top w:w="45" w:type="dxa"/>
              <w:right w:w="55" w:type="dxa"/>
              <w:bottom w:w="45" w:type="dxa"/>
            </w:tcMar>
            <w:tcW w:w="6208" w:type="dxa"/>
            <w:vAlign w:val="top"/>
          </w:tcPr>
          <w:p>
            <w:pPr>
              <w:pStyle w:val="1090"/>
              <w:pBdr/>
              <w:spacing/>
              <w:ind/>
              <w:rPr/>
            </w:pPr>
            <w:r>
              <w:t xml:space="preserve">Canonical constraint</w:t>
            </w:r>
            <w:r/>
          </w:p>
        </w:tc>
        <w:tc>
          <w:tcPr>
            <w:shd w:val="clear" w:color="auto" w:fill="1f5d7a"/>
            <w:tcBorders/>
            <w:tcMar>
              <w:left w:w="55" w:type="dxa"/>
              <w:top w:w="45" w:type="dxa"/>
              <w:right w:w="55" w:type="dxa"/>
              <w:bottom w:w="45" w:type="dxa"/>
            </w:tcMar>
            <w:tcW w:w="2994" w:type="dxa"/>
            <w:vAlign w:val="top"/>
          </w:tcPr>
          <w:p>
            <w:pPr>
              <w:pStyle w:val="1090"/>
              <w:pBdr/>
              <w:spacing/>
              <w:ind/>
              <w:rPr/>
            </w:pPr>
            <w:r>
              <w:t xml:space="preserve">Primary test</w:t>
            </w:r>
            <w:r/>
          </w:p>
        </w:tc>
      </w:tr>
      <w:tr>
        <w:trPr>
          <w:cantSplit/>
        </w:trPr>
        <w:tc>
          <w:tcPr>
            <w:shd w:val="clear" w:color="auto" w:fill="ffffff"/>
            <w:tcBorders/>
            <w:tcMar>
              <w:left w:w="55" w:type="dxa"/>
              <w:top w:w="45" w:type="dxa"/>
              <w:right w:w="55" w:type="dxa"/>
              <w:bottom w:w="45" w:type="dxa"/>
            </w:tcMar>
            <w:tcW w:w="803" w:type="dxa"/>
            <w:vAlign w:val="top"/>
          </w:tcPr>
          <w:p>
            <w:pPr>
              <w:pStyle w:val="1089"/>
              <w:pBdr/>
              <w:spacing/>
              <w:ind/>
              <w:rPr/>
            </w:pPr>
            <w:r>
              <w:t xml:space="preserve">V-01</w:t>
            </w:r>
            <w:r/>
          </w:p>
        </w:tc>
        <w:tc>
          <w:tcPr>
            <w:shd w:val="clear" w:color="auto" w:fill="ffffff"/>
            <w:tcBorders/>
            <w:tcMar>
              <w:left w:w="55" w:type="dxa"/>
              <w:top w:w="45" w:type="dxa"/>
              <w:right w:w="55" w:type="dxa"/>
              <w:bottom w:w="45" w:type="dxa"/>
            </w:tcMar>
            <w:tcW w:w="6208" w:type="dxa"/>
            <w:vAlign w:val="top"/>
          </w:tcPr>
          <w:p>
            <w:pPr>
              <w:pStyle w:val="1089"/>
              <w:pBdr/>
              <w:spacing/>
              <w:ind/>
              <w:rPr/>
            </w:pPr>
            <w:r>
              <w:t xml:space="preserve">claim_origin:SOURCE_GROUNDE</w:t>
            </w:r>
            <w:r>
              <w:t xml:space="preserve">D release claims require fit-for-purpose EvidenceLink(s) with exact locator(s) and resolvable source/instance links under Annex B §B2.6. claim_origin:ATLAS_INFERENCE requires source-grounded input claims plus inference rationale; no synthetic SourceRecord.</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Structural/semantic validator + G6 traceability audit.</w:t>
            </w:r>
            <w:r/>
          </w:p>
        </w:tc>
      </w:tr>
      <w:tr>
        <w:trPr>
          <w:cantSplit/>
        </w:trPr>
        <w:tc>
          <w:tcPr>
            <w:shd w:val="clear" w:color="auto" w:fill="f4f6f7"/>
            <w:tcBorders/>
            <w:tcMar>
              <w:left w:w="55" w:type="dxa"/>
              <w:top w:w="45" w:type="dxa"/>
              <w:right w:w="55" w:type="dxa"/>
              <w:bottom w:w="45" w:type="dxa"/>
            </w:tcMar>
            <w:tcW w:w="803" w:type="dxa"/>
            <w:vAlign w:val="top"/>
          </w:tcPr>
          <w:p>
            <w:pPr>
              <w:pStyle w:val="1089"/>
              <w:pBdr/>
              <w:spacing/>
              <w:ind/>
              <w:rPr/>
            </w:pPr>
            <w:r>
              <w:t xml:space="preserve">V-02</w:t>
            </w:r>
            <w:r/>
          </w:p>
        </w:tc>
        <w:tc>
          <w:tcPr>
            <w:shd w:val="clear" w:color="auto" w:fill="f4f6f7"/>
            <w:tcBorders/>
            <w:tcMar>
              <w:left w:w="55" w:type="dxa"/>
              <w:top w:w="45" w:type="dxa"/>
              <w:right w:w="55" w:type="dxa"/>
              <w:bottom w:w="45" w:type="dxa"/>
            </w:tcMar>
            <w:tcW w:w="6208" w:type="dxa"/>
            <w:vAlign w:val="top"/>
          </w:tcPr>
          <w:p>
            <w:pPr>
              <w:pStyle w:val="1089"/>
              <w:pBdr/>
              <w:spacing/>
              <w:ind/>
              <w:rPr/>
            </w:pPr>
            <w:r>
              <w:t xml:space="preserve">Every QuestionResponse has exactly one response_state value; response_modifier:CAT is orthogonal.</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Schema enumeration/cardinality + response_modifier:CAT field test.</w:t>
            </w:r>
            <w:r/>
          </w:p>
        </w:tc>
      </w:tr>
      <w:tr>
        <w:trPr>
          <w:cantSplit/>
        </w:trPr>
        <w:tc>
          <w:tcPr>
            <w:shd w:val="clear" w:color="auto" w:fill="ffffff"/>
            <w:tcBorders/>
            <w:tcMar>
              <w:left w:w="55" w:type="dxa"/>
              <w:top w:w="45" w:type="dxa"/>
              <w:right w:w="55" w:type="dxa"/>
              <w:bottom w:w="45" w:type="dxa"/>
            </w:tcMar>
            <w:tcW w:w="803" w:type="dxa"/>
            <w:vAlign w:val="top"/>
          </w:tcPr>
          <w:p>
            <w:pPr>
              <w:pStyle w:val="1089"/>
              <w:pBdr/>
              <w:spacing/>
              <w:ind/>
              <w:rPr/>
            </w:pPr>
            <w:r>
              <w:t xml:space="preserve">V-03</w:t>
            </w:r>
            <w:r/>
          </w:p>
        </w:tc>
        <w:tc>
          <w:tcPr>
            <w:shd w:val="clear" w:color="auto" w:fill="ffffff"/>
            <w:tcBorders/>
            <w:tcMar>
              <w:left w:w="55" w:type="dxa"/>
              <w:top w:w="45" w:type="dxa"/>
              <w:right w:w="55" w:type="dxa"/>
              <w:bottom w:w="45" w:type="dxa"/>
            </w:tcMar>
            <w:tcW w:w="6208" w:type="dxa"/>
            <w:vAlign w:val="top"/>
          </w:tcPr>
          <w:p>
            <w:pPr>
              <w:pStyle w:val="1089"/>
              <w:pBdr/>
              <w:spacing/>
              <w:ind/>
              <w:rPr/>
            </w:pPr>
            <w:r>
              <w:t xml:space="preserve">claim_attachment:DER requires derived-from claims and rationale. claim_origin:ATLAS_INFERENCE independently requires derivation and rationale. claim_attachment:CTX cannot silently become a bounded-Position commitment.</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Conditional semantic validator.</w:t>
            </w:r>
            <w:r/>
          </w:p>
        </w:tc>
      </w:tr>
      <w:tr>
        <w:trPr>
          <w:cantSplit/>
        </w:trPr>
        <w:tc>
          <w:tcPr>
            <w:shd w:val="clear" w:color="auto" w:fill="f4f6f7"/>
            <w:tcBorders/>
            <w:tcMar>
              <w:left w:w="55" w:type="dxa"/>
              <w:top w:w="45" w:type="dxa"/>
              <w:right w:w="55" w:type="dxa"/>
              <w:bottom w:w="45" w:type="dxa"/>
            </w:tcMar>
            <w:tcW w:w="803" w:type="dxa"/>
            <w:vAlign w:val="top"/>
          </w:tcPr>
          <w:p>
            <w:pPr>
              <w:pStyle w:val="1089"/>
              <w:pBdr/>
              <w:spacing/>
              <w:ind/>
              <w:rPr/>
            </w:pPr>
            <w:r>
              <w:t xml:space="preserve">V-04</w:t>
            </w:r>
            <w:r/>
          </w:p>
        </w:tc>
        <w:tc>
          <w:tcPr>
            <w:shd w:val="clear" w:color="auto" w:fill="f4f6f7"/>
            <w:tcBorders/>
            <w:tcMar>
              <w:left w:w="55" w:type="dxa"/>
              <w:top w:w="45" w:type="dxa"/>
              <w:right w:w="55" w:type="dxa"/>
              <w:bottom w:w="45" w:type="dxa"/>
            </w:tcMar>
            <w:tcW w:w="6208" w:type="dxa"/>
            <w:vAlign w:val="top"/>
          </w:tcPr>
          <w:p>
            <w:pPr>
              <w:pStyle w:val="1089"/>
              <w:pBdr/>
              <w:spacing/>
              <w:ind/>
              <w:rPr/>
            </w:pPr>
            <w:r>
              <w:t xml:space="preserve">response_state:NSA, response_state:UND, response_state:IND and response_state:INS require explicit rationale distinguishing adjacent states.</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Conditional validator + G2 human review.</w:t>
            </w:r>
            <w:r/>
          </w:p>
        </w:tc>
      </w:tr>
      <w:tr>
        <w:trPr>
          <w:cantSplit/>
        </w:trPr>
        <w:tc>
          <w:tcPr>
            <w:shd w:val="clear" w:color="auto" w:fill="ffffff"/>
            <w:tcBorders/>
            <w:tcMar>
              <w:left w:w="55" w:type="dxa"/>
              <w:top w:w="45" w:type="dxa"/>
              <w:right w:w="55" w:type="dxa"/>
              <w:bottom w:w="45" w:type="dxa"/>
            </w:tcMar>
            <w:tcW w:w="803" w:type="dxa"/>
            <w:vAlign w:val="top"/>
          </w:tcPr>
          <w:p>
            <w:pPr>
              <w:pStyle w:val="1089"/>
              <w:pBdr/>
              <w:spacing/>
              <w:ind/>
              <w:rPr/>
            </w:pPr>
            <w:r>
              <w:t xml:space="preserve">V-05</w:t>
            </w:r>
            <w:r/>
          </w:p>
        </w:tc>
        <w:tc>
          <w:tcPr>
            <w:shd w:val="clear" w:color="auto" w:fill="ffffff"/>
            <w:tcBorders/>
            <w:tcMar>
              <w:left w:w="55" w:type="dxa"/>
              <w:top w:w="45" w:type="dxa"/>
              <w:right w:w="55" w:type="dxa"/>
              <w:bottom w:w="45" w:type="dxa"/>
            </w:tcMar>
            <w:tcW w:w="6208" w:type="dxa"/>
            <w:vAlign w:val="top"/>
          </w:tcPr>
          <w:p>
            <w:pPr>
              <w:pStyle w:val="1089"/>
              <w:pBdr/>
              <w:spacing/>
              <w:ind/>
              <w:rPr/>
            </w:pPr>
            <w:r>
              <w:t xml:space="preserve">response_state:VAR requires boundary assessment, variation basis and linked subpositions or claims; boundary failure is not a valid VAR record.</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Conditional validator + G2 boundary diagnostics.</w:t>
            </w:r>
            <w:r/>
          </w:p>
        </w:tc>
      </w:tr>
      <w:tr>
        <w:trPr>
          <w:cantSplit/>
        </w:trPr>
        <w:tc>
          <w:tcPr>
            <w:shd w:val="clear" w:color="auto" w:fill="f4f6f7"/>
            <w:tcBorders/>
            <w:tcMar>
              <w:left w:w="55" w:type="dxa"/>
              <w:top w:w="45" w:type="dxa"/>
              <w:right w:w="55" w:type="dxa"/>
              <w:bottom w:w="45" w:type="dxa"/>
            </w:tcMar>
            <w:tcW w:w="803" w:type="dxa"/>
            <w:vAlign w:val="top"/>
          </w:tcPr>
          <w:p>
            <w:pPr>
              <w:pStyle w:val="1089"/>
              <w:pBdr/>
              <w:spacing/>
              <w:ind/>
              <w:rPr/>
            </w:pPr>
            <w:r>
              <w:t xml:space="preserve">V-06</w:t>
            </w:r>
            <w:r/>
          </w:p>
        </w:tc>
        <w:tc>
          <w:tcPr>
            <w:shd w:val="clear" w:color="auto" w:fill="f4f6f7"/>
            <w:tcBorders/>
            <w:tcMar>
              <w:left w:w="55" w:type="dxa"/>
              <w:top w:w="45" w:type="dxa"/>
              <w:right w:w="55" w:type="dxa"/>
              <w:bottom w:w="45" w:type="dxa"/>
            </w:tcMar>
            <w:tcW w:w="6208" w:type="dxa"/>
            <w:vAlign w:val="top"/>
          </w:tcPr>
          <w:p>
            <w:pPr>
              <w:pStyle w:val="1089"/>
              <w:pBdr/>
              <w:spacing/>
              <w:ind/>
              <w:rPr/>
            </w:pPr>
            <w:r>
              <w:t xml:space="preserve">SourceRecord stores source proximity, form and authority relation separately; evidence role is stored on EvidenceLink.</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Schema validator + source migration audit.</w:t>
            </w:r>
            <w:r/>
          </w:p>
        </w:tc>
      </w:tr>
      <w:tr>
        <w:trPr>
          <w:cantSplit/>
        </w:trPr>
        <w:tc>
          <w:tcPr>
            <w:shd w:val="clear" w:color="auto" w:fill="ffffff"/>
            <w:tcBorders/>
            <w:tcMar>
              <w:left w:w="55" w:type="dxa"/>
              <w:top w:w="45" w:type="dxa"/>
              <w:right w:w="55" w:type="dxa"/>
              <w:bottom w:w="45" w:type="dxa"/>
            </w:tcMar>
            <w:tcW w:w="803" w:type="dxa"/>
            <w:vAlign w:val="top"/>
          </w:tcPr>
          <w:p>
            <w:pPr>
              <w:pStyle w:val="1089"/>
              <w:pBdr/>
              <w:spacing/>
              <w:ind/>
              <w:rPr/>
            </w:pPr>
            <w:r>
              <w:t xml:space="preserve">V-07</w:t>
            </w:r>
            <w:r/>
          </w:p>
        </w:tc>
        <w:tc>
          <w:tcPr>
            <w:shd w:val="clear" w:color="auto" w:fill="ffffff"/>
            <w:tcBorders/>
            <w:tcMar>
              <w:left w:w="55" w:type="dxa"/>
              <w:top w:w="45" w:type="dxa"/>
              <w:right w:w="55" w:type="dxa"/>
              <w:bottom w:w="45" w:type="dxa"/>
            </w:tcMar>
            <w:tcW w:w="6208" w:type="dxa"/>
            <w:vAlign w:val="top"/>
          </w:tcPr>
          <w:p>
            <w:pPr>
              <w:pStyle w:val="1089"/>
              <w:pBdr/>
              <w:spacing/>
              <w:ind/>
              <w:rPr/>
            </w:pPr>
            <w:r>
              <w:t xml:space="preserve">Each ComparativeRelation has one relation type; multi-label stacking is multiple relation records within one ComparisonEvent.</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Schema + referential validator.</w:t>
            </w:r>
            <w:r/>
          </w:p>
        </w:tc>
      </w:tr>
      <w:tr>
        <w:trPr>
          <w:cantSplit/>
        </w:trPr>
        <w:tc>
          <w:tcPr>
            <w:shd w:val="clear" w:color="auto" w:fill="f4f6f7"/>
            <w:tcBorders/>
            <w:tcMar>
              <w:left w:w="55" w:type="dxa"/>
              <w:top w:w="45" w:type="dxa"/>
              <w:right w:w="55" w:type="dxa"/>
              <w:bottom w:w="45" w:type="dxa"/>
            </w:tcMar>
            <w:tcW w:w="803" w:type="dxa"/>
            <w:vAlign w:val="top"/>
          </w:tcPr>
          <w:p>
            <w:pPr>
              <w:pStyle w:val="1089"/>
              <w:pBdr/>
              <w:spacing/>
              <w:ind/>
              <w:rPr/>
            </w:pPr>
            <w:r>
              <w:t xml:space="preserve">V-08</w:t>
            </w:r>
            <w:r/>
          </w:p>
        </w:tc>
        <w:tc>
          <w:tcPr>
            <w:shd w:val="clear" w:color="auto" w:fill="f4f6f7"/>
            <w:tcBorders/>
            <w:tcMar>
              <w:left w:w="55" w:type="dxa"/>
              <w:top w:w="45" w:type="dxa"/>
              <w:right w:w="55" w:type="dxa"/>
              <w:bottom w:w="45" w:type="dxa"/>
            </w:tcMar>
            <w:tcW w:w="6208" w:type="dxa"/>
            <w:vAlign w:val="top"/>
          </w:tcPr>
          <w:p>
            <w:pPr>
              <w:pStyle w:val="1089"/>
              <w:pBdr/>
              <w:spacing/>
              <w:ind/>
              <w:rPr/>
            </w:pPr>
            <w:r>
              <w:t xml:space="preserve">relation:SEM, relation:FUN, relation:STR, relation:PHE, relation:OCO and relation:OEQ require at least one material disanalogy linked to canonical records.</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Conditional validator + G3 disanalogy audit.</w:t>
            </w:r>
            <w:r/>
          </w:p>
        </w:tc>
      </w:tr>
      <w:tr>
        <w:trPr>
          <w:cantSplit/>
        </w:trPr>
        <w:tc>
          <w:tcPr>
            <w:shd w:val="clear" w:color="auto" w:fill="ffffff"/>
            <w:tcBorders/>
            <w:tcMar>
              <w:left w:w="55" w:type="dxa"/>
              <w:top w:w="45" w:type="dxa"/>
              <w:right w:w="55" w:type="dxa"/>
              <w:bottom w:w="45" w:type="dxa"/>
            </w:tcMar>
            <w:tcW w:w="803" w:type="dxa"/>
            <w:vAlign w:val="top"/>
          </w:tcPr>
          <w:p>
            <w:pPr>
              <w:pStyle w:val="1089"/>
              <w:pBdr/>
              <w:spacing/>
              <w:ind/>
              <w:rPr/>
            </w:pPr>
            <w:r>
              <w:t xml:space="preserve">V-09</w:t>
            </w:r>
            <w:r/>
          </w:p>
        </w:tc>
        <w:tc>
          <w:tcPr>
            <w:shd w:val="clear" w:color="auto" w:fill="ffffff"/>
            <w:tcBorders/>
            <w:tcMar>
              <w:left w:w="55" w:type="dxa"/>
              <w:top w:w="45" w:type="dxa"/>
              <w:right w:w="55" w:type="dxa"/>
              <w:bottom w:w="45" w:type="dxa"/>
            </w:tcMar>
            <w:tcW w:w="6208" w:type="dxa"/>
            <w:vAlign w:val="top"/>
          </w:tcPr>
          <w:p>
            <w:pPr>
              <w:pStyle w:val="1089"/>
              <w:pBdr/>
              <w:spacing/>
              <w:ind/>
              <w:rPr/>
            </w:pPr>
            <w:r>
              <w:t xml:space="preserve">Same-key relation:OCO + relation:INC and relation:OEQ + relation:INC are prohibited; same-key relation:OEQ + relation:OCO is redundant; relation:GEN is orthogonal; relation:LEX entails no stronger relation.</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Relation-set coherence validator.</w:t>
            </w:r>
            <w:r/>
          </w:p>
        </w:tc>
      </w:tr>
      <w:tr>
        <w:trPr>
          <w:cantSplit/>
        </w:trPr>
        <w:tc>
          <w:tcPr>
            <w:shd w:val="clear" w:color="auto" w:fill="f4f6f7"/>
            <w:tcBorders/>
            <w:tcMar>
              <w:left w:w="55" w:type="dxa"/>
              <w:top w:w="45" w:type="dxa"/>
              <w:right w:w="55" w:type="dxa"/>
              <w:bottom w:w="45" w:type="dxa"/>
            </w:tcMar>
            <w:tcW w:w="803" w:type="dxa"/>
            <w:vAlign w:val="top"/>
          </w:tcPr>
          <w:p>
            <w:pPr>
              <w:pStyle w:val="1089"/>
              <w:pBdr/>
              <w:spacing/>
              <w:ind/>
              <w:rPr/>
            </w:pPr>
            <w:r>
              <w:t xml:space="preserve">V-10</w:t>
            </w:r>
            <w:r/>
          </w:p>
        </w:tc>
        <w:tc>
          <w:tcPr>
            <w:shd w:val="clear" w:color="auto" w:fill="f4f6f7"/>
            <w:tcBorders/>
            <w:tcMar>
              <w:left w:w="55" w:type="dxa"/>
              <w:top w:w="45" w:type="dxa"/>
              <w:right w:w="55" w:type="dxa"/>
              <w:bottom w:w="45" w:type="dxa"/>
            </w:tcMar>
            <w:tcW w:w="6208" w:type="dxa"/>
            <w:vAlign w:val="top"/>
          </w:tcPr>
          <w:p>
            <w:pPr>
              <w:pStyle w:val="1089"/>
              <w:pBdr/>
              <w:spacing/>
              <w:ind/>
              <w:rPr/>
            </w:pPr>
            <w:r>
              <w:t xml:space="preserve">relation:OEQ requires equivalence dimensions, scope, failure conditions, linked disanalogy and specialist review before release eligibility.</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Conditional validator + CriterionResult evidence.</w:t>
            </w:r>
            <w:r/>
          </w:p>
        </w:tc>
      </w:tr>
      <w:tr>
        <w:trPr>
          <w:cantSplit/>
        </w:trPr>
        <w:tc>
          <w:tcPr>
            <w:shd w:val="clear" w:color="auto" w:fill="ffffff"/>
            <w:tcBorders/>
            <w:tcMar>
              <w:left w:w="55" w:type="dxa"/>
              <w:top w:w="45" w:type="dxa"/>
              <w:right w:w="55" w:type="dxa"/>
              <w:bottom w:w="45" w:type="dxa"/>
            </w:tcMar>
            <w:tcW w:w="803" w:type="dxa"/>
            <w:vAlign w:val="top"/>
          </w:tcPr>
          <w:p>
            <w:pPr>
              <w:pStyle w:val="1089"/>
              <w:pBdr/>
              <w:spacing/>
              <w:ind/>
              <w:rPr/>
            </w:pPr>
            <w:r>
              <w:t xml:space="preserve">V-11</w:t>
            </w:r>
            <w:r/>
          </w:p>
        </w:tc>
        <w:tc>
          <w:tcPr>
            <w:shd w:val="clear" w:color="auto" w:fill="ffffff"/>
            <w:tcBorders/>
            <w:tcMar>
              <w:left w:w="55" w:type="dxa"/>
              <w:top w:w="45" w:type="dxa"/>
              <w:right w:w="55" w:type="dxa"/>
              <w:bottom w:w="45" w:type="dxa"/>
            </w:tcMar>
            <w:tcW w:w="6208" w:type="dxa"/>
            <w:vAlign w:val="top"/>
          </w:tcPr>
          <w:p>
            <w:pPr>
              <w:pStyle w:val="1089"/>
              <w:pBdr/>
              <w:spacing/>
              <w:ind/>
              <w:rPr/>
            </w:pPr>
            <w:r>
              <w:t xml:space="preserve">relation:GEN requires subtype, evidence basis and genealogy status; genealogy_status:NO_EVIDENCE_FOUND is not a relation:GEN record.</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Conditional validator.</w:t>
            </w:r>
            <w:r/>
          </w:p>
        </w:tc>
      </w:tr>
      <w:tr>
        <w:trPr>
          <w:cantSplit/>
        </w:trPr>
        <w:tc>
          <w:tcPr>
            <w:shd w:val="clear" w:color="auto" w:fill="f4f6f7"/>
            <w:tcBorders/>
            <w:tcMar>
              <w:left w:w="55" w:type="dxa"/>
              <w:top w:w="45" w:type="dxa"/>
              <w:right w:w="55" w:type="dxa"/>
              <w:bottom w:w="45" w:type="dxa"/>
            </w:tcMar>
            <w:tcW w:w="803" w:type="dxa"/>
            <w:vAlign w:val="top"/>
          </w:tcPr>
          <w:p>
            <w:pPr>
              <w:pStyle w:val="1089"/>
              <w:pBdr/>
              <w:spacing/>
              <w:ind/>
              <w:rPr/>
            </w:pPr>
            <w:r>
              <w:t xml:space="preserve">V-12</w:t>
            </w:r>
            <w:r/>
          </w:p>
        </w:tc>
        <w:tc>
          <w:tcPr>
            <w:shd w:val="clear" w:color="auto" w:fill="f4f6f7"/>
            <w:tcBorders/>
            <w:tcMar>
              <w:left w:w="55" w:type="dxa"/>
              <w:top w:w="45" w:type="dxa"/>
              <w:right w:w="55" w:type="dxa"/>
              <w:bottom w:w="45" w:type="dxa"/>
            </w:tcMar>
            <w:tcW w:w="6208" w:type="dxa"/>
            <w:vAlign w:val="top"/>
          </w:tcPr>
          <w:p>
            <w:pPr>
              <w:pStyle w:val="1089"/>
              <w:pBdr/>
              <w:spacing/>
              <w:ind/>
              <w:rPr/>
            </w:pPr>
            <w:r>
              <w:t xml:space="preserve">relation:MIS marks a tertium as tertium_validity:DISTORTING; no positive relation may remain under that event without a revised or replacement ComparisonEvent.</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Tertium-validity and referential validator.</w:t>
            </w:r>
            <w:r/>
          </w:p>
        </w:tc>
      </w:tr>
      <w:tr>
        <w:trPr>
          <w:cantSplit/>
        </w:trPr>
        <w:tc>
          <w:tcPr>
            <w:shd w:val="clear" w:color="auto" w:fill="ffffff"/>
            <w:tcBorders/>
            <w:tcMar>
              <w:left w:w="55" w:type="dxa"/>
              <w:top w:w="45" w:type="dxa"/>
              <w:right w:w="55" w:type="dxa"/>
              <w:bottom w:w="45" w:type="dxa"/>
            </w:tcMar>
            <w:tcW w:w="803" w:type="dxa"/>
            <w:vAlign w:val="top"/>
          </w:tcPr>
          <w:p>
            <w:pPr>
              <w:pStyle w:val="1089"/>
              <w:pBdr/>
              <w:spacing/>
              <w:ind/>
              <w:rPr/>
            </w:pPr>
            <w:r>
              <w:t xml:space="preserve">V-13</w:t>
            </w:r>
            <w:r/>
          </w:p>
        </w:tc>
        <w:tc>
          <w:tcPr>
            <w:shd w:val="clear" w:color="auto" w:fill="ffffff"/>
            <w:tcBorders/>
            <w:tcMar>
              <w:left w:w="55" w:type="dxa"/>
              <w:top w:w="45" w:type="dxa"/>
              <w:right w:w="55" w:type="dxa"/>
              <w:bottom w:w="45" w:type="dxa"/>
            </w:tcMar>
            <w:tcW w:w="6208" w:type="dxa"/>
            <w:vAlign w:val="top"/>
          </w:tcPr>
          <w:p>
            <w:pPr>
              <w:pStyle w:val="1089"/>
              <w:pBdr/>
              <w:spacing/>
              <w:ind/>
              <w:rPr/>
            </w:pPr>
            <w:r>
              <w:t xml:space="preserve">Oral/performed/interview release claims require the SourceInstance identity and version contract and every triggered event, language, artifact, transcription/translation and rights/authorization field in Annex B §B2.6 at unit level.</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Referential/conditional validator + G4 capability evidence and per-unit review.</w:t>
            </w:r>
            <w:r/>
          </w:p>
        </w:tc>
      </w:tr>
      <w:tr>
        <w:trPr>
          <w:cantSplit/>
        </w:trPr>
        <w:tc>
          <w:tcPr>
            <w:shd w:val="clear" w:color="auto" w:fill="f4f6f7"/>
            <w:tcBorders/>
            <w:tcMar>
              <w:left w:w="55" w:type="dxa"/>
              <w:top w:w="45" w:type="dxa"/>
              <w:right w:w="55" w:type="dxa"/>
              <w:bottom w:w="45" w:type="dxa"/>
            </w:tcMar>
            <w:tcW w:w="803" w:type="dxa"/>
            <w:vAlign w:val="top"/>
          </w:tcPr>
          <w:p>
            <w:pPr>
              <w:pStyle w:val="1089"/>
              <w:pBdr/>
              <w:spacing/>
              <w:ind/>
              <w:rPr/>
            </w:pPr>
            <w:r>
              <w:t xml:space="preserve">V-14</w:t>
            </w:r>
            <w:r/>
          </w:p>
        </w:tc>
        <w:tc>
          <w:tcPr>
            <w:shd w:val="clear" w:color="auto" w:fill="f4f6f7"/>
            <w:tcBorders/>
            <w:tcMar>
              <w:left w:w="55" w:type="dxa"/>
              <w:top w:w="45" w:type="dxa"/>
              <w:right w:w="55" w:type="dxa"/>
              <w:bottom w:w="45" w:type="dxa"/>
            </w:tcMar>
            <w:tcW w:w="6208" w:type="dxa"/>
            <w:vAlign w:val="top"/>
          </w:tcPr>
          <w:p>
            <w:pPr>
              <w:pStyle w:val="1089"/>
              <w:pBdr/>
              <w:spacing/>
              <w:ind/>
              <w:rPr/>
            </w:pPr>
            <w:r>
              <w:t xml:space="preserve">Community-applicable release units require determinate applicability, scope-level coverage, evidence and conditional fields under Annex B §B2.11, with adequate source-community coverage and rights/access review.</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Conditional validator + G5.</w:t>
            </w:r>
            <w:r/>
          </w:p>
        </w:tc>
      </w:tr>
      <w:tr>
        <w:trPr>
          <w:cantSplit/>
        </w:trPr>
        <w:tc>
          <w:tcPr>
            <w:shd w:val="clear" w:color="auto" w:fill="ffffff"/>
            <w:tcBorders/>
            <w:tcMar>
              <w:left w:w="55" w:type="dxa"/>
              <w:top w:w="45" w:type="dxa"/>
              <w:right w:w="55" w:type="dxa"/>
              <w:bottom w:w="45" w:type="dxa"/>
            </w:tcMar>
            <w:tcW w:w="803" w:type="dxa"/>
            <w:vAlign w:val="top"/>
          </w:tcPr>
          <w:p>
            <w:pPr>
              <w:pStyle w:val="1089"/>
              <w:pBdr/>
              <w:spacing/>
              <w:ind/>
              <w:rPr/>
            </w:pPr>
            <w:r>
              <w:t xml:space="preserve">V-15</w:t>
            </w:r>
            <w:r/>
          </w:p>
        </w:tc>
        <w:tc>
          <w:tcPr>
            <w:shd w:val="clear" w:color="auto" w:fill="ffffff"/>
            <w:tcBorders/>
            <w:tcMar>
              <w:left w:w="55" w:type="dxa"/>
              <w:top w:w="45" w:type="dxa"/>
              <w:right w:w="55" w:type="dxa"/>
              <w:bottom w:w="45" w:type="dxa"/>
            </w:tcMar>
            <w:tcW w:w="6208" w:type="dxa"/>
            <w:vAlign w:val="top"/>
          </w:tcPr>
          <w:p>
            <w:pPr>
              <w:pStyle w:val="1089"/>
              <w:pBdr/>
              <w:spacing/>
              <w:ind/>
              <w:rPr/>
            </w:pPr>
            <w:r>
              <w:t xml:space="preserve">RepresentationReadiness component fields are authoritative; a compact readiness summary is derived only.</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Readiness computation test.</w:t>
            </w:r>
            <w:r/>
          </w:p>
        </w:tc>
      </w:tr>
      <w:tr>
        <w:trPr>
          <w:cantSplit/>
        </w:trPr>
        <w:tc>
          <w:tcPr>
            <w:shd w:val="clear" w:color="auto" w:fill="f4f6f7"/>
            <w:tcBorders/>
            <w:tcMar>
              <w:left w:w="55" w:type="dxa"/>
              <w:top w:w="45" w:type="dxa"/>
              <w:right w:w="55" w:type="dxa"/>
              <w:bottom w:w="45" w:type="dxa"/>
            </w:tcMar>
            <w:tcW w:w="803" w:type="dxa"/>
            <w:vAlign w:val="top"/>
          </w:tcPr>
          <w:p>
            <w:pPr>
              <w:pStyle w:val="1089"/>
              <w:pBdr/>
              <w:spacing/>
              <w:ind/>
              <w:rPr/>
            </w:pPr>
            <w:r>
              <w:t xml:space="preserve">V-16</w:t>
            </w:r>
            <w:r/>
          </w:p>
        </w:tc>
        <w:tc>
          <w:tcPr>
            <w:shd w:val="clear" w:color="auto" w:fill="f4f6f7"/>
            <w:tcBorders/>
            <w:tcMar>
              <w:left w:w="55" w:type="dxa"/>
              <w:top w:w="45" w:type="dxa"/>
              <w:right w:w="55" w:type="dxa"/>
              <w:bottom w:w="45" w:type="dxa"/>
            </w:tcMar>
            <w:tcW w:w="6208" w:type="dxa"/>
            <w:vAlign w:val="top"/>
          </w:tcPr>
          <w:p>
            <w:pPr>
              <w:pStyle w:val="1089"/>
              <w:pBdr/>
              <w:spacing/>
              <w:ind/>
              <w:rPr/>
            </w:pPr>
            <w:r>
              <w:t xml:space="preserve">Synthesis level and maturity are independent; reader-facing L2 recurrence satisfies the full publication burden.</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Synthesis conditional validator + R7 review.</w:t>
            </w:r>
            <w:r/>
          </w:p>
        </w:tc>
      </w:tr>
      <w:tr>
        <w:trPr>
          <w:cantSplit/>
        </w:trPr>
        <w:tc>
          <w:tcPr>
            <w:shd w:val="clear" w:color="auto" w:fill="ffffff"/>
            <w:tcBorders/>
            <w:tcMar>
              <w:left w:w="55" w:type="dxa"/>
              <w:top w:w="45" w:type="dxa"/>
              <w:right w:w="55" w:type="dxa"/>
              <w:bottom w:w="45" w:type="dxa"/>
            </w:tcMar>
            <w:tcW w:w="803" w:type="dxa"/>
            <w:vAlign w:val="top"/>
          </w:tcPr>
          <w:p>
            <w:pPr>
              <w:pStyle w:val="1089"/>
              <w:pBdr/>
              <w:spacing/>
              <w:ind/>
              <w:rPr/>
            </w:pPr>
            <w:r>
              <w:t xml:space="preserve">V-17</w:t>
            </w:r>
            <w:r/>
          </w:p>
        </w:tc>
        <w:tc>
          <w:tcPr>
            <w:shd w:val="clear" w:color="auto" w:fill="ffffff"/>
            <w:tcBorders/>
            <w:tcMar>
              <w:left w:w="55" w:type="dxa"/>
              <w:top w:w="45" w:type="dxa"/>
              <w:right w:w="55" w:type="dxa"/>
              <w:bottom w:w="45" w:type="dxa"/>
            </w:tcMar>
            <w:tcW w:w="6208" w:type="dxa"/>
            <w:vAlign w:val="top"/>
          </w:tcPr>
          <w:p>
            <w:pPr>
              <w:pStyle w:val="1089"/>
              <w:pBdr/>
              <w:spacing/>
              <w:ind/>
              <w:rPr/>
            </w:pPr>
            <w:r>
              <w:t xml:space="preserve">Every release-candidate thesis-bearing PublicationClaim has resolvable premises, rationale, scope, defeaters, prohibited stronger reading and review.</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Referential/semantic validator + G6.</w:t>
            </w:r>
            <w:r/>
          </w:p>
        </w:tc>
      </w:tr>
      <w:tr>
        <w:trPr>
          <w:cantSplit/>
        </w:trPr>
        <w:tc>
          <w:tcPr>
            <w:shd w:val="clear" w:color="auto" w:fill="f4f6f7"/>
            <w:tcBorders/>
            <w:tcMar>
              <w:left w:w="55" w:type="dxa"/>
              <w:top w:w="45" w:type="dxa"/>
              <w:right w:w="55" w:type="dxa"/>
              <w:bottom w:w="45" w:type="dxa"/>
            </w:tcMar>
            <w:tcW w:w="803" w:type="dxa"/>
            <w:vAlign w:val="top"/>
          </w:tcPr>
          <w:p>
            <w:pPr>
              <w:pStyle w:val="1089"/>
              <w:pBdr/>
              <w:spacing/>
              <w:ind/>
              <w:rPr/>
            </w:pPr>
            <w:r>
              <w:t xml:space="preserve">V-18</w:t>
            </w:r>
            <w:r/>
          </w:p>
        </w:tc>
        <w:tc>
          <w:tcPr>
            <w:shd w:val="clear" w:color="auto" w:fill="f4f6f7"/>
            <w:tcBorders/>
            <w:tcMar>
              <w:left w:w="55" w:type="dxa"/>
              <w:top w:w="45" w:type="dxa"/>
              <w:right w:w="55" w:type="dxa"/>
              <w:bottom w:w="45" w:type="dxa"/>
            </w:tcMar>
            <w:tcW w:w="6208" w:type="dxa"/>
            <w:vAlign w:val="top"/>
          </w:tcPr>
          <w:p>
            <w:pPr>
              <w:pStyle w:val="1089"/>
              <w:pBdr/>
              <w:spacing/>
              <w:ind/>
              <w:rPr/>
            </w:pPr>
            <w:r>
              <w:t xml:space="preserve">Generated Evidence Views identify schema version, vocabulary version, canonical_build_id, generation version and output hash.</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G7 manifest and regeneration test.</w:t>
            </w:r>
            <w:r/>
          </w:p>
        </w:tc>
      </w:tr>
      <w:tr>
        <w:trPr>
          <w:cantSplit/>
        </w:trPr>
        <w:tc>
          <w:tcPr>
            <w:shd w:val="clear" w:color="auto" w:fill="ffffff"/>
            <w:tcBorders/>
            <w:tcMar>
              <w:left w:w="55" w:type="dxa"/>
              <w:top w:w="45" w:type="dxa"/>
              <w:right w:w="55" w:type="dxa"/>
              <w:bottom w:w="45" w:type="dxa"/>
            </w:tcMar>
            <w:tcW w:w="803" w:type="dxa"/>
            <w:vAlign w:val="top"/>
          </w:tcPr>
          <w:p>
            <w:pPr>
              <w:pStyle w:val="1089"/>
              <w:pBdr/>
              <w:spacing/>
              <w:ind/>
              <w:rPr/>
            </w:pPr>
            <w:r>
              <w:t xml:space="preserve">V-19</w:t>
            </w:r>
            <w:r/>
          </w:p>
        </w:tc>
        <w:tc>
          <w:tcPr>
            <w:shd w:val="clear" w:color="auto" w:fill="ffffff"/>
            <w:tcBorders/>
            <w:tcMar>
              <w:left w:w="55" w:type="dxa"/>
              <w:top w:w="45" w:type="dxa"/>
              <w:right w:w="55" w:type="dxa"/>
              <w:bottom w:w="45" w:type="dxa"/>
            </w:tcMar>
            <w:tcW w:w="6208" w:type="dxa"/>
            <w:vAlign w:val="top"/>
          </w:tcPr>
          <w:p>
            <w:pPr>
              <w:pStyle w:val="1089"/>
              <w:pBdr/>
              <w:spacing/>
              <w:ind/>
              <w:rPr/>
            </w:pPr>
            <w:r>
              <w:t xml:space="preserve">Released records are versioned; superseded records remain addressable; persistent IDs are opaque and stable.</w:t>
            </w:r>
            <w:r/>
          </w:p>
        </w:tc>
        <w:tc>
          <w:tcPr>
            <w:shd w:val="clear" w:color="auto" w:fill="ffffff"/>
            <w:tcBorders/>
            <w:tcMar>
              <w:left w:w="55" w:type="dxa"/>
              <w:top w:w="45" w:type="dxa"/>
              <w:right w:w="55" w:type="dxa"/>
              <w:bottom w:w="45" w:type="dxa"/>
            </w:tcMar>
            <w:tcW w:w="2994" w:type="dxa"/>
            <w:vAlign w:val="top"/>
          </w:tcPr>
          <w:p>
            <w:pPr>
              <w:pStyle w:val="1089"/>
              <w:pBdr/>
              <w:spacing/>
              <w:ind/>
              <w:rPr/>
            </w:pPr>
            <w:r>
              <w:t xml:space="preserve">Version/referential validator + ID lint.</w:t>
            </w:r>
            <w:r/>
          </w:p>
        </w:tc>
      </w:tr>
      <w:tr>
        <w:trPr>
          <w:cantSplit/>
        </w:trPr>
        <w:tc>
          <w:tcPr>
            <w:shd w:val="clear" w:color="auto" w:fill="f4f6f7"/>
            <w:tcBorders/>
            <w:tcMar>
              <w:left w:w="55" w:type="dxa"/>
              <w:top w:w="45" w:type="dxa"/>
              <w:right w:w="55" w:type="dxa"/>
              <w:bottom w:w="45" w:type="dxa"/>
            </w:tcMar>
            <w:tcW w:w="803" w:type="dxa"/>
            <w:vAlign w:val="top"/>
          </w:tcPr>
          <w:p>
            <w:pPr>
              <w:pStyle w:val="1089"/>
              <w:pBdr/>
              <w:spacing/>
              <w:ind/>
              <w:rPr/>
            </w:pPr>
            <w:r>
              <w:t xml:space="preserve">V-20</w:t>
            </w:r>
            <w:r/>
          </w:p>
        </w:tc>
        <w:tc>
          <w:tcPr>
            <w:shd w:val="clear" w:color="auto" w:fill="f4f6f7"/>
            <w:tcBorders/>
            <w:tcMar>
              <w:left w:w="55" w:type="dxa"/>
              <w:top w:w="45" w:type="dxa"/>
              <w:right w:w="55" w:type="dxa"/>
              <w:bottom w:w="45" w:type="dxa"/>
            </w:tcMar>
            <w:tcW w:w="6208" w:type="dxa"/>
            <w:vAlign w:val="top"/>
          </w:tcPr>
          <w:p>
            <w:pPr>
              <w:pStyle w:val="1089"/>
              <w:pBdr/>
              <w:spacing/>
              <w:ind/>
              <w:rPr/>
            </w:pPr>
            <w:r>
              <w:t xml:space="preserve">AI-generated claim, translation, citation or consensus judgment cannot satisfy evidence requirements without independent human/source verification.</w:t>
            </w:r>
            <w:r/>
          </w:p>
        </w:tc>
        <w:tc>
          <w:tcPr>
            <w:shd w:val="clear" w:color="auto" w:fill="f4f6f7"/>
            <w:tcBorders/>
            <w:tcMar>
              <w:left w:w="55" w:type="dxa"/>
              <w:top w:w="45" w:type="dxa"/>
              <w:right w:w="55" w:type="dxa"/>
              <w:bottom w:w="45" w:type="dxa"/>
            </w:tcMar>
            <w:tcW w:w="2994" w:type="dxa"/>
            <w:vAlign w:val="top"/>
          </w:tcPr>
          <w:p>
            <w:pPr>
              <w:pStyle w:val="1089"/>
              <w:pBdr/>
              <w:spacing/>
              <w:ind/>
              <w:rPr/>
            </w:pPr>
            <w:r>
              <w:t xml:space="preserve">AIProvenance audit + human verification evidence.</w:t>
            </w:r>
            <w:r/>
          </w:p>
        </w:tc>
      </w:tr>
    </w:tbl>
    <w:p>
      <w:pPr>
        <w:pStyle w:val="1097"/>
        <w:pBdr/>
        <w:spacing/>
        <w:ind/>
        <w:rPr/>
      </w:pPr>
      <w:r/>
      <w:r/>
    </w:p>
    <w:p>
      <w:pPr>
        <w:pStyle w:val="923"/>
        <w:keepNext w:val="true"/>
        <w:keepLines w:val="true"/>
        <w:pBdr/>
        <w:spacing/>
        <w:ind/>
        <w:rPr/>
      </w:pPr>
      <w:r/>
      <w:bookmarkStart w:id="151" w:name="annex_c2_review"/>
      <w:r>
        <w:t xml:space="preserve">C2. Release review criteria R1–R9</w:t>
      </w:r>
      <w:bookmarkEnd w:id="151"/>
      <w:r/>
      <w:r/>
    </w:p>
    <w:p>
      <w:pPr>
        <w:pStyle w:val="1086"/>
        <w:keepNext w:val="true"/>
        <w:keepLines w:val="true"/>
        <w:pBdr/>
        <w:spacing/>
        <w:ind/>
        <w:rPr/>
      </w:pPr>
      <w:r/>
      <w:bookmarkStart w:id="152" w:name="tbl_review_gates"/>
      <w:r>
        <w:t xml:space="preserve">Governing — Release review criteria</w:t>
      </w:r>
      <w:bookmarkEnd w:id="152"/>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264"/>
        <w:gridCol w:w="7742"/>
      </w:tblGrid>
      <w:tr>
        <w:trPr>
          <w:cantSplit/>
          <w:tblHeader/>
        </w:trPr>
        <w:tc>
          <w:tcPr>
            <w:shd w:val="clear" w:color="auto" w:fill="1f5d7a"/>
            <w:tcBorders/>
            <w:tcMar>
              <w:left w:w="55" w:type="dxa"/>
              <w:top w:w="45" w:type="dxa"/>
              <w:right w:w="55" w:type="dxa"/>
              <w:bottom w:w="45" w:type="dxa"/>
            </w:tcMar>
            <w:tcW w:w="2264" w:type="dxa"/>
            <w:vAlign w:val="top"/>
          </w:tcPr>
          <w:p>
            <w:pPr>
              <w:pStyle w:val="1090"/>
              <w:pBdr/>
              <w:spacing/>
              <w:ind/>
              <w:rPr/>
            </w:pPr>
            <w:r>
              <w:t xml:space="preserve">Review gate</w:t>
            </w:r>
            <w:r/>
          </w:p>
        </w:tc>
        <w:tc>
          <w:tcPr>
            <w:shd w:val="clear" w:color="auto" w:fill="1f5d7a"/>
            <w:tcBorders/>
            <w:tcMar>
              <w:left w:w="55" w:type="dxa"/>
              <w:top w:w="45" w:type="dxa"/>
              <w:right w:w="55" w:type="dxa"/>
              <w:bottom w:w="45" w:type="dxa"/>
            </w:tcMar>
            <w:tcW w:w="7742" w:type="dxa"/>
            <w:vAlign w:val="top"/>
          </w:tcPr>
          <w:p>
            <w:pPr>
              <w:pStyle w:val="1090"/>
              <w:pBdr/>
              <w:spacing/>
              <w:ind/>
              <w:rPr/>
            </w:pPr>
            <w:r>
              <w:t xml:space="preserve">Pass question</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R1 Source adequacy</w:t>
            </w:r>
            <w:r/>
          </w:p>
        </w:tc>
        <w:tc>
          <w:tcPr>
            <w:shd w:val="clear" w:color="auto" w:fill="ffffff"/>
            <w:tcBorders/>
            <w:tcMar>
              <w:left w:w="55" w:type="dxa"/>
              <w:top w:w="45" w:type="dxa"/>
              <w:right w:w="55" w:type="dxa"/>
              <w:bottom w:w="45" w:type="dxa"/>
            </w:tcMar>
            <w:tcW w:w="7742" w:type="dxa"/>
            <w:vAlign w:val="top"/>
          </w:tcPr>
          <w:p>
            <w:pPr>
              <w:pStyle w:val="1089"/>
              <w:pBdr/>
              <w:spacing/>
              <w:ind/>
              <w:rPr/>
            </w:pPr>
            <w:r>
              <w:t xml:space="preserve">Every substantive claim resolves to fit-for-purpose evidence and locator.</w:t>
            </w:r>
            <w:r/>
          </w:p>
        </w:tc>
      </w:tr>
      <w:tr>
        <w:trPr>
          <w:cantSplit/>
        </w:trPr>
        <w:tc>
          <w:tcPr>
            <w:shd w:val="clear" w:color="auto" w:fill="f4f6f7"/>
            <w:tcBorders/>
            <w:tcMar>
              <w:left w:w="55" w:type="dxa"/>
              <w:top w:w="45" w:type="dxa"/>
              <w:right w:w="55" w:type="dxa"/>
              <w:bottom w:w="45" w:type="dxa"/>
            </w:tcMar>
            <w:tcW w:w="2264" w:type="dxa"/>
            <w:vAlign w:val="top"/>
          </w:tcPr>
          <w:p>
            <w:pPr>
              <w:pStyle w:val="1089"/>
              <w:pBdr/>
              <w:spacing/>
              <w:ind/>
              <w:rPr/>
            </w:pPr>
            <w:r>
              <w:t xml:space="preserve">R2 Category neutrality</w:t>
            </w:r>
            <w:r/>
          </w:p>
        </w:tc>
        <w:tc>
          <w:tcPr>
            <w:shd w:val="clear" w:color="auto" w:fill="f4f6f7"/>
            <w:tcBorders/>
            <w:tcMar>
              <w:left w:w="55" w:type="dxa"/>
              <w:top w:w="45" w:type="dxa"/>
              <w:right w:w="55" w:type="dxa"/>
              <w:bottom w:w="45" w:type="dxa"/>
            </w:tcMar>
            <w:tcW w:w="7742" w:type="dxa"/>
            <w:vAlign w:val="top"/>
          </w:tcPr>
          <w:p>
            <w:pPr>
              <w:pStyle w:val="1089"/>
              <w:pBdr/>
              <w:spacing/>
              <w:ind/>
              <w:rPr/>
            </w:pPr>
            <w:r>
              <w:t xml:space="preserve">CAT/REF issues remain visible; no forced answer or illegitimate VAR is created.</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R3 Translation</w:t>
            </w:r>
            <w:r/>
          </w:p>
        </w:tc>
        <w:tc>
          <w:tcPr>
            <w:shd w:val="clear" w:color="auto" w:fill="ffffff"/>
            <w:tcBorders/>
            <w:tcMar>
              <w:left w:w="55" w:type="dxa"/>
              <w:top w:w="45" w:type="dxa"/>
              <w:right w:w="55" w:type="dxa"/>
              <w:bottom w:w="45" w:type="dxa"/>
            </w:tcMar>
            <w:tcW w:w="7742" w:type="dxa"/>
            <w:vAlign w:val="top"/>
          </w:tcPr>
          <w:p>
            <w:pPr>
              <w:pStyle w:val="1089"/>
              <w:pBdr/>
              <w:spacing/>
              <w:ind/>
              <w:rPr/>
            </w:pPr>
            <w:r>
              <w:t xml:space="preserve">Central terms are controlled; disputed translations are recorded.</w:t>
            </w:r>
            <w:r/>
          </w:p>
        </w:tc>
      </w:tr>
      <w:tr>
        <w:trPr>
          <w:cantSplit/>
        </w:trPr>
        <w:tc>
          <w:tcPr>
            <w:shd w:val="clear" w:color="auto" w:fill="f4f6f7"/>
            <w:tcBorders/>
            <w:tcMar>
              <w:left w:w="55" w:type="dxa"/>
              <w:top w:w="45" w:type="dxa"/>
              <w:right w:w="55" w:type="dxa"/>
              <w:bottom w:w="45" w:type="dxa"/>
            </w:tcMar>
            <w:tcW w:w="2264" w:type="dxa"/>
            <w:vAlign w:val="top"/>
          </w:tcPr>
          <w:p>
            <w:pPr>
              <w:pStyle w:val="1089"/>
              <w:pBdr/>
              <w:spacing/>
              <w:ind/>
              <w:rPr/>
            </w:pPr>
            <w:r>
              <w:t xml:space="preserve">R4 Internal diversity</w:t>
            </w:r>
            <w:r/>
          </w:p>
        </w:tc>
        <w:tc>
          <w:tcPr>
            <w:shd w:val="clear" w:color="auto" w:fill="f4f6f7"/>
            <w:tcBorders/>
            <w:tcMar>
              <w:left w:w="55" w:type="dxa"/>
              <w:top w:w="45" w:type="dxa"/>
              <w:right w:w="55" w:type="dxa"/>
              <w:bottom w:w="45" w:type="dxa"/>
            </w:tcMar>
            <w:tcW w:w="7742" w:type="dxa"/>
            <w:vAlign w:val="top"/>
          </w:tcPr>
          <w:p>
            <w:pPr>
              <w:pStyle w:val="1089"/>
              <w:pBdr/>
              <w:spacing/>
              <w:ind/>
              <w:rPr/>
            </w:pPr>
            <w:r>
              <w:t xml:space="preserve">Relevant dissent, periodization and lived/doctrinal variation are checked.</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R5 Comparison</w:t>
            </w:r>
            <w:r/>
          </w:p>
        </w:tc>
        <w:tc>
          <w:tcPr>
            <w:shd w:val="clear" w:color="auto" w:fill="ffffff"/>
            <w:tcBorders/>
            <w:tcMar>
              <w:left w:w="55" w:type="dxa"/>
              <w:top w:w="45" w:type="dxa"/>
              <w:right w:w="55" w:type="dxa"/>
              <w:bottom w:w="45" w:type="dxa"/>
            </w:tcMar>
            <w:tcW w:w="7742" w:type="dxa"/>
            <w:vAlign w:val="top"/>
          </w:tcPr>
          <w:p>
            <w:pPr>
              <w:pStyle w:val="1089"/>
              <w:pBdr/>
              <w:spacing/>
              <w:ind/>
              <w:rPr/>
            </w:pPr>
            <w:r>
              <w:t xml:space="preserve">Exact claim pairs, relation types, dimensions, scopes, disanalogy links, tertium validity and coherence are explicit; OEQ burden is met.</w:t>
            </w:r>
            <w:r/>
          </w:p>
        </w:tc>
      </w:tr>
      <w:tr>
        <w:trPr>
          <w:cantSplit/>
        </w:trPr>
        <w:tc>
          <w:tcPr>
            <w:shd w:val="clear" w:color="auto" w:fill="f4f6f7"/>
            <w:tcBorders/>
            <w:tcMar>
              <w:left w:w="55" w:type="dxa"/>
              <w:top w:w="45" w:type="dxa"/>
              <w:right w:w="55" w:type="dxa"/>
              <w:bottom w:w="45" w:type="dxa"/>
            </w:tcMar>
            <w:tcW w:w="2264" w:type="dxa"/>
            <w:vAlign w:val="top"/>
          </w:tcPr>
          <w:p>
            <w:pPr>
              <w:pStyle w:val="1089"/>
              <w:pBdr/>
              <w:spacing/>
              <w:ind/>
              <w:rPr/>
            </w:pPr>
            <w:r>
              <w:t xml:space="preserve">R6 Community/rights</w:t>
            </w:r>
            <w:r/>
          </w:p>
        </w:tc>
        <w:tc>
          <w:tcPr>
            <w:shd w:val="clear" w:color="auto" w:fill="f4f6f7"/>
            <w:tcBorders/>
            <w:tcMar>
              <w:left w:w="55" w:type="dxa"/>
              <w:top w:w="45" w:type="dxa"/>
              <w:right w:w="55" w:type="dxa"/>
              <w:bottom w:w="45" w:type="dxa"/>
            </w:tcMar>
            <w:tcW w:w="7742" w:type="dxa"/>
            <w:vAlign w:val="top"/>
          </w:tcPr>
          <w:p>
            <w:pPr>
              <w:pStyle w:val="1089"/>
              <w:pBdr/>
              <w:spacing/>
              <w:ind/>
              <w:rPr/>
            </w:pPr>
            <w:r>
              <w:t xml:space="preserve">Where applicable, source-community coverage, authority scope, rights/access and release basis are reviewed.</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R7 Synthesis</w:t>
            </w:r>
            <w:r/>
          </w:p>
        </w:tc>
        <w:tc>
          <w:tcPr>
            <w:shd w:val="clear" w:color="auto" w:fill="ffffff"/>
            <w:tcBorders/>
            <w:tcMar>
              <w:left w:w="55" w:type="dxa"/>
              <w:top w:w="45" w:type="dxa"/>
              <w:right w:w="55" w:type="dxa"/>
              <w:bottom w:w="45" w:type="dxa"/>
            </w:tcMar>
            <w:tcW w:w="7742" w:type="dxa"/>
            <w:vAlign w:val="top"/>
          </w:tcPr>
          <w:p>
            <w:pPr>
              <w:pStyle w:val="1089"/>
              <w:pBdr/>
              <w:spacing/>
              <w:ind/>
              <w:rPr/>
            </w:pPr>
            <w:r>
              <w:t xml:space="preserve">Level and maturity are separate; genealogy, selection basis, negative cases, counterexamples, sensitivity, translation dependencies and publication scope satisfy the declared level.</w:t>
            </w:r>
            <w:r/>
          </w:p>
        </w:tc>
      </w:tr>
      <w:tr>
        <w:trPr>
          <w:cantSplit/>
        </w:trPr>
        <w:tc>
          <w:tcPr>
            <w:shd w:val="clear" w:color="auto" w:fill="f4f6f7"/>
            <w:tcBorders/>
            <w:tcMar>
              <w:left w:w="55" w:type="dxa"/>
              <w:top w:w="45" w:type="dxa"/>
              <w:right w:w="55" w:type="dxa"/>
              <w:bottom w:w="45" w:type="dxa"/>
            </w:tcMar>
            <w:tcW w:w="2264" w:type="dxa"/>
            <w:vAlign w:val="top"/>
          </w:tcPr>
          <w:p>
            <w:pPr>
              <w:pStyle w:val="1089"/>
              <w:pBdr/>
              <w:spacing/>
              <w:ind/>
              <w:rPr/>
            </w:pPr>
            <w:r>
              <w:t xml:space="preserve">R8 Publication/query regeneration</w:t>
            </w:r>
            <w:r/>
          </w:p>
        </w:tc>
        <w:tc>
          <w:tcPr>
            <w:shd w:val="clear" w:color="auto" w:fill="f4f6f7"/>
            <w:tcBorders/>
            <w:tcMar>
              <w:left w:w="55" w:type="dxa"/>
              <w:top w:w="45" w:type="dxa"/>
              <w:right w:w="55" w:type="dxa"/>
              <w:bottom w:w="45" w:type="dxa"/>
            </w:tcMar>
            <w:tcW w:w="7742" w:type="dxa"/>
            <w:vAlign w:val="top"/>
          </w:tcPr>
          <w:p>
            <w:pPr>
              <w:pStyle w:val="1089"/>
              <w:pBdr/>
              <w:spacing/>
              <w:ind/>
              <w:rPr/>
            </w:pPr>
            <w:r>
              <w:t xml:space="preserve">Factual views are regenerated from a named canonical build, and thesis-bearing PublicationClaims resolve to canonical premise chains without factual or inferential re-authoring.</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R9 Versioning</w:t>
            </w:r>
            <w:r/>
          </w:p>
        </w:tc>
        <w:tc>
          <w:tcPr>
            <w:shd w:val="clear" w:color="auto" w:fill="ffffff"/>
            <w:tcBorders/>
            <w:tcMar>
              <w:left w:w="55" w:type="dxa"/>
              <w:top w:w="45" w:type="dxa"/>
              <w:right w:w="55" w:type="dxa"/>
              <w:bottom w:w="45" w:type="dxa"/>
            </w:tcMar>
            <w:tcW w:w="7742" w:type="dxa"/>
            <w:vAlign w:val="top"/>
          </w:tcPr>
          <w:p>
            <w:pPr>
              <w:pStyle w:val="1089"/>
              <w:pBdr/>
              <w:spacing/>
              <w:ind/>
              <w:rPr/>
            </w:pPr>
            <w:r>
              <w:t xml:space="preserve">Reviewers, CriterionResults, unresolved flags, readiness components, status and supersession history are recorded.</w:t>
            </w:r>
            <w:r/>
          </w:p>
        </w:tc>
      </w:tr>
    </w:tbl>
    <w:p>
      <w:pPr>
        <w:pStyle w:val="1097"/>
        <w:pBdr/>
        <w:spacing/>
        <w:ind/>
        <w:rPr/>
      </w:pPr>
      <w:r/>
      <w:r/>
    </w:p>
    <w:p>
      <w:pPr>
        <w:pStyle w:val="923"/>
        <w:keepNext w:val="true"/>
        <w:keepLines w:val="true"/>
        <w:pBdr/>
        <w:spacing/>
        <w:ind/>
        <w:rPr/>
      </w:pPr>
      <w:r/>
      <w:bookmarkStart w:id="153" w:name="annex_c3_gate_evidence"/>
      <w:r>
        <w:t xml:space="preserve">C3. Gate acceptance evidence</w:t>
      </w:r>
      <w:bookmarkEnd w:id="153"/>
      <w:r/>
      <w:r/>
    </w:p>
    <w:p>
      <w:pPr>
        <w:pStyle w:val="924"/>
        <w:keepNext w:val="true"/>
        <w:keepLines w:val="true"/>
        <w:pBdr/>
        <w:spacing/>
        <w:ind/>
        <w:rPr/>
      </w:pPr>
      <w:r/>
      <w:bookmarkStart w:id="154" w:name="gate_g1"/>
      <w:r>
        <w:t xml:space="preserve">C3.1 G1 — Schema stability</w:t>
      </w:r>
      <w:bookmarkEnd w:id="154"/>
      <w:r/>
      <w:r/>
    </w:p>
    <w:p>
      <w:pPr>
        <w:pStyle w:val="1083"/>
        <w:keepLines w:val="false"/>
        <w:pBdr/>
        <w:spacing/>
        <w:ind/>
        <w:rPr/>
      </w:pPr>
      <w:r>
        <w:t xml:space="preserve">G1 passes only when a governed run confirms that current research reveals no repeated core structural failure that cannot be represented without changing a</w:t>
      </w:r>
      <w:r>
        <w:t xml:space="preserve"> domain boundary, controlled-vocabulary meaning or mandatory cardinality. Ordinary field defects, difficult cases, low-confidence evidence or a single category challenge do not by themselves establish structural failure. Document completion cannot pass G1.</w:t>
      </w:r>
      <w:r/>
    </w:p>
    <w:p>
      <w:pPr>
        <w:pStyle w:val="924"/>
        <w:keepNext w:val="true"/>
        <w:keepLines w:val="true"/>
        <w:pBdr/>
        <w:spacing/>
        <w:ind/>
        <w:rPr/>
      </w:pPr>
      <w:r/>
      <w:bookmarkStart w:id="155" w:name="gate_g2"/>
      <w:r>
        <w:t xml:space="preserve">C3.2 G2 — Status-discrimination reliability</w:t>
      </w:r>
      <w:bookmarkEnd w:id="155"/>
      <w:r/>
      <w:r/>
    </w:p>
    <w:p>
      <w:pPr>
        <w:pStyle w:val="1086"/>
        <w:keepNext w:val="true"/>
        <w:keepLines w:val="true"/>
        <w:pBdr/>
        <w:spacing/>
        <w:ind/>
        <w:rPr/>
      </w:pPr>
      <w:r/>
      <w:bookmarkStart w:id="156" w:name="tbl_g2_packet"/>
      <w:r>
        <w:t xml:space="preserve">Governing — G2 blind-packet specification</w:t>
      </w:r>
      <w:bookmarkEnd w:id="156"/>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410"/>
        <w:gridCol w:w="7596"/>
      </w:tblGrid>
      <w:tr>
        <w:trPr>
          <w:cantSplit/>
          <w:tblHeader/>
        </w:trPr>
        <w:tc>
          <w:tcPr>
            <w:shd w:val="clear" w:color="auto" w:fill="1f5d7a"/>
            <w:tcBorders/>
            <w:tcMar>
              <w:left w:w="55" w:type="dxa"/>
              <w:top w:w="45" w:type="dxa"/>
              <w:right w:w="55" w:type="dxa"/>
              <w:bottom w:w="45" w:type="dxa"/>
            </w:tcMar>
            <w:tcW w:w="2410" w:type="dxa"/>
            <w:vAlign w:val="top"/>
          </w:tcPr>
          <w:p>
            <w:pPr>
              <w:pStyle w:val="1090"/>
              <w:pBdr/>
              <w:spacing/>
              <w:ind/>
              <w:rPr/>
            </w:pPr>
            <w:r>
              <w:t xml:space="preserve">Element</w:t>
            </w:r>
            <w:r/>
          </w:p>
        </w:tc>
        <w:tc>
          <w:tcPr>
            <w:shd w:val="clear" w:color="auto" w:fill="1f5d7a"/>
            <w:tcBorders/>
            <w:tcMar>
              <w:left w:w="55" w:type="dxa"/>
              <w:top w:w="45" w:type="dxa"/>
              <w:right w:w="55" w:type="dxa"/>
              <w:bottom w:w="45" w:type="dxa"/>
            </w:tcMar>
            <w:tcW w:w="7596" w:type="dxa"/>
            <w:vAlign w:val="top"/>
          </w:tcPr>
          <w:p>
            <w:pPr>
              <w:pStyle w:val="1090"/>
              <w:pBdr/>
              <w:spacing/>
              <w:ind/>
              <w:rPr/>
            </w:pPr>
            <w:r>
              <w:t xml:space="preserve">Specification</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Recommended packet</w:t>
            </w:r>
            <w:r/>
          </w:p>
        </w:tc>
        <w:tc>
          <w:tcPr>
            <w:shd w:val="clear" w:color="auto" w:fill="ffffff"/>
            <w:tcBorders/>
            <w:tcMar>
              <w:left w:w="55" w:type="dxa"/>
              <w:top w:w="45" w:type="dxa"/>
              <w:right w:w="55" w:type="dxa"/>
              <w:bottom w:w="45" w:type="dxa"/>
            </w:tcMar>
            <w:tcW w:w="7596" w:type="dxa"/>
            <w:vAlign w:val="top"/>
          </w:tcPr>
          <w:p>
            <w:pPr>
              <w:pStyle w:val="1089"/>
              <w:pBdr/>
              <w:spacing/>
              <w:ind/>
              <w:rPr/>
            </w:pPr>
            <w:r>
              <w:t xml:space="preserve">64 blind items; at least 8 for each primary response state.</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Minimum packet</w:t>
            </w:r>
            <w:r/>
          </w:p>
        </w:tc>
        <w:tc>
          <w:tcPr>
            <w:shd w:val="clear" w:color="auto" w:fill="f4f6f7"/>
            <w:tcBorders/>
            <w:tcMar>
              <w:left w:w="55" w:type="dxa"/>
              <w:top w:w="45" w:type="dxa"/>
              <w:right w:w="55" w:type="dxa"/>
              <w:bottom w:w="45" w:type="dxa"/>
            </w:tcMar>
            <w:tcW w:w="7596" w:type="dxa"/>
            <w:vAlign w:val="top"/>
          </w:tcPr>
          <w:p>
            <w:pPr>
              <w:pStyle w:val="1089"/>
              <w:pBdr/>
              <w:spacing/>
              <w:ind/>
              <w:rPr/>
            </w:pPr>
            <w:r>
              <w:t xml:space="preserve">48 blind items; at least 4 each for ANS, DEN, REF and VAR, and 8 each for NSA, UND, IND and INS.</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Source mix</w:t>
            </w:r>
            <w:r/>
          </w:p>
        </w:tc>
        <w:tc>
          <w:tcPr>
            <w:shd w:val="clear" w:color="auto" w:fill="ffffff"/>
            <w:tcBorders/>
            <w:tcMar>
              <w:left w:w="55" w:type="dxa"/>
              <w:top w:w="45" w:type="dxa"/>
              <w:right w:w="55" w:type="dxa"/>
              <w:bottom w:w="45" w:type="dxa"/>
            </w:tcMar>
            <w:tcW w:w="7596" w:type="dxa"/>
            <w:vAlign w:val="top"/>
          </w:tcPr>
          <w:p>
            <w:pPr>
              <w:pStyle w:val="1089"/>
              <w:pBdr/>
              <w:spacing/>
              <w:ind/>
              <w:rPr/>
            </w:pPr>
            <w:r>
              <w:t xml:space="preserve">At least 80% real current-research questions/source excerpts; up to 20% boundary vignettes derived from known failure modes.</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CAT coverage</w:t>
            </w:r>
            <w:r/>
          </w:p>
        </w:tc>
        <w:tc>
          <w:tcPr>
            <w:shd w:val="clear" w:color="auto" w:fill="f4f6f7"/>
            <w:tcBorders/>
            <w:tcMar>
              <w:left w:w="55" w:type="dxa"/>
              <w:top w:w="45" w:type="dxa"/>
              <w:right w:w="55" w:type="dxa"/>
              <w:bottom w:w="45" w:type="dxa"/>
            </w:tcMar>
            <w:tcW w:w="7596" w:type="dxa"/>
            <w:vAlign w:val="top"/>
          </w:tcPr>
          <w:p>
            <w:pPr>
              <w:pStyle w:val="1089"/>
              <w:pBdr/>
              <w:spacing/>
              <w:ind/>
              <w:rPr/>
            </w:pPr>
            <w:r>
              <w:t xml:space="preserve">At least 12 balanced present/absent cases; coders record warning scope and handling instruction separately from the primary state.</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Coders</w:t>
            </w:r>
            <w:r/>
          </w:p>
        </w:tc>
        <w:tc>
          <w:tcPr>
            <w:shd w:val="clear" w:color="auto" w:fill="ffffff"/>
            <w:tcBorders/>
            <w:tcMar>
              <w:left w:w="55" w:type="dxa"/>
              <w:top w:w="45" w:type="dxa"/>
              <w:right w:w="55" w:type="dxa"/>
              <w:bottom w:w="45" w:type="dxa"/>
            </w:tcMar>
            <w:tcW w:w="7596" w:type="dxa"/>
            <w:vAlign w:val="top"/>
          </w:tcPr>
          <w:p>
            <w:pPr>
              <w:pStyle w:val="1089"/>
              <w:pBdr/>
              <w:spacing/>
              <w:ind/>
              <w:rPr/>
            </w:pPr>
            <w:r>
              <w:t xml:space="preserve">Minimum 2 independent human coders; target 3. A primary researcher who authored vignettes is excluded from the reliability calculation for those items.</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Coder output</w:t>
            </w:r>
            <w:r/>
          </w:p>
        </w:tc>
        <w:tc>
          <w:tcPr>
            <w:shd w:val="clear" w:color="auto" w:fill="f4f6f7"/>
            <w:tcBorders/>
            <w:tcMar>
              <w:left w:w="55" w:type="dxa"/>
              <w:top w:w="45" w:type="dxa"/>
              <w:right w:w="55" w:type="dxa"/>
              <w:bottom w:w="45" w:type="dxa"/>
            </w:tcMar>
            <w:tcW w:w="7596" w:type="dxa"/>
            <w:vAlign w:val="top"/>
          </w:tcPr>
          <w:p>
            <w:pPr>
              <w:pStyle w:val="1089"/>
              <w:pBdr/>
              <w:spacing/>
              <w:ind/>
              <w:rPr/>
            </w:pPr>
            <w:r>
              <w:t xml:space="preserve">Exactly one primary state; CAT present/absent plus scope/handling; 1-3 sentence rationale; missing-evidence note if INS; openness-entailment note if UND; boundary assessment note if VAR.</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Blindness</w:t>
            </w:r>
            <w:r/>
          </w:p>
        </w:tc>
        <w:tc>
          <w:tcPr>
            <w:shd w:val="clear" w:color="auto" w:fill="ffffff"/>
            <w:tcBorders/>
            <w:tcMar>
              <w:left w:w="55" w:type="dxa"/>
              <w:top w:w="45" w:type="dxa"/>
              <w:right w:w="55" w:type="dxa"/>
              <w:bottom w:w="45" w:type="dxa"/>
            </w:tcMar>
            <w:tcW w:w="7596" w:type="dxa"/>
            <w:vAlign w:val="top"/>
          </w:tcPr>
          <w:p>
            <w:pPr>
              <w:pStyle w:val="1089"/>
              <w:pBdr/>
              <w:spacing/>
              <w:ind/>
              <w:rPr/>
            </w:pPr>
            <w:r>
              <w:t xml:space="preserve">No access to prior labels, adjudication key or other coder decisions.</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Metrics</w:t>
            </w:r>
            <w:r/>
          </w:p>
        </w:tc>
        <w:tc>
          <w:tcPr>
            <w:shd w:val="clear" w:color="auto" w:fill="f4f6f7"/>
            <w:tcBorders/>
            <w:tcMar>
              <w:left w:w="55" w:type="dxa"/>
              <w:top w:w="45" w:type="dxa"/>
              <w:right w:w="55" w:type="dxa"/>
              <w:bottom w:w="45" w:type="dxa"/>
            </w:tcMar>
            <w:tcW w:w="7596" w:type="dxa"/>
            <w:vAlign w:val="top"/>
          </w:tcPr>
          <w:p>
            <w:pPr>
              <w:pStyle w:val="1089"/>
              <w:pBdr/>
              <w:spacing/>
              <w:ind/>
              <w:rPr/>
            </w:pPr>
            <w:r>
              <w:t xml:space="preserve">Nominal Krippendorff alpha for the eight-state label [S8]; nominal binary alpha for CAT present/absent, computed separately. Retain</w:t>
            </w:r>
            <w:r>
              <w:t xml:space="preserve"> raw confusion matrices, class frequencies, pairwise agreement, missing judgments and a confidence interval with its calculation method. The interval is diagnostic, not an additional acceptance cut-point. Use the calculation and diagnostic procedure below.</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PASS</w:t>
            </w:r>
            <w:r/>
          </w:p>
        </w:tc>
        <w:tc>
          <w:tcPr>
            <w:shd w:val="clear" w:color="auto" w:fill="ffffff"/>
            <w:tcBorders/>
            <w:tcMar>
              <w:left w:w="55" w:type="dxa"/>
              <w:top w:w="45" w:type="dxa"/>
              <w:right w:w="55" w:type="dxa"/>
              <w:bottom w:w="45" w:type="dxa"/>
            </w:tcMar>
            <w:tcW w:w="7596" w:type="dxa"/>
            <w:vAlign w:val="top"/>
          </w:tcPr>
          <w:p>
            <w:pPr>
              <w:pStyle w:val="1089"/>
              <w:pBdr/>
              <w:spacing/>
              <w:ind/>
              <w:rPr/>
            </w:pPr>
            <w:r>
              <w:t xml:space="preserve">Eight-state alpha ≥ 0.80 on the unrounded coefficient, complete qualif</w:t>
            </w:r>
            <w:r>
              <w:t xml:space="preserve">ying evidence and all required diagnostic CriterionResults PASS. No class-imbalance artifact, systematic unresolved state confusion or systematic CAT/scope/boundary failure may remain. A high aggregate coefficient cannot compensate for a failed diagnostic.</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Intermediate remediation band</w:t>
            </w:r>
            <w:r/>
          </w:p>
        </w:tc>
        <w:tc>
          <w:tcPr>
            <w:shd w:val="clear" w:color="auto" w:fill="f4f6f7"/>
            <w:tcBorders/>
            <w:tcMar>
              <w:left w:w="55" w:type="dxa"/>
              <w:top w:w="45" w:type="dxa"/>
              <w:right w:w="55" w:type="dxa"/>
              <w:bottom w:w="45" w:type="dxa"/>
            </w:tcMar>
            <w:tcW w:w="7596" w:type="dxa"/>
            <w:vAlign w:val="top"/>
          </w:tcPr>
          <w:p>
            <w:pPr>
              <w:pStyle w:val="1089"/>
              <w:pBdr/>
              <w:spacing/>
              <w:ind/>
              <w:rPr/>
            </w:pPr>
            <w:r>
              <w:t xml:space="preserve">0.67 ≤ alp</w:t>
            </w:r>
            <w:r>
              <w:t xml:space="preserve">ha &lt; 0.80, using the unrounded coefficient: a completed evaluable run records FAIL. Identify confusion pairs, refine examples without changing controlled meanings, retrain and use a new held-out packet. A rounded display value never determines the verdict.</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FAIL</w:t>
            </w:r>
            <w:r/>
          </w:p>
        </w:tc>
        <w:tc>
          <w:tcPr>
            <w:shd w:val="clear" w:color="auto" w:fill="ffffff"/>
            <w:tcBorders/>
            <w:tcMar>
              <w:left w:w="55" w:type="dxa"/>
              <w:top w:w="45" w:type="dxa"/>
              <w:right w:w="55" w:type="dxa"/>
              <w:bottom w:w="45" w:type="dxa"/>
            </w:tcMar>
            <w:tcW w:w="7596" w:type="dxa"/>
            <w:vAlign w:val="top"/>
          </w:tcPr>
          <w:p>
            <w:pPr>
              <w:pStyle w:val="1089"/>
              <w:pBdr/>
              <w:spacing/>
              <w:ind/>
              <w:rPr/>
            </w:pPr>
            <w:r>
              <w:t xml:space="preserve">A completed evaluable run records FAIL </w:t>
            </w:r>
            <w:r>
              <w:t xml:space="preserve">whenever alpha &lt; 0.80 or any mandatory diagnostic fails, including results below 0.67 and systematic CAT/boundary failure. Release remains HOLD where G2 is required. Do not average coder labels or substitute adjudicated agreement for raw blind reliability.</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PENDING</w:t>
            </w:r>
            <w:r/>
          </w:p>
        </w:tc>
        <w:tc>
          <w:tcPr>
            <w:shd w:val="clear" w:color="auto" w:fill="ffffff"/>
            <w:tcBorders/>
            <w:tcMar>
              <w:left w:w="55" w:type="dxa"/>
              <w:top w:w="45" w:type="dxa"/>
              <w:right w:w="55" w:type="dxa"/>
              <w:bottom w:w="45" w:type="dxa"/>
            </w:tcMar>
            <w:tcW w:w="7596" w:type="dxa"/>
            <w:vAlign w:val="top"/>
          </w:tcPr>
          <w:p>
            <w:pPr>
              <w:pStyle w:val="1089"/>
              <w:pBdr/>
              <w:spacing/>
              <w:ind/>
              <w:rPr/>
            </w:pPr>
            <w:r>
              <w:t xml:space="preserve">Use PENDING when qualifying evidence or required evaluation is incomplete, including a missing required judgment, unevaluable coefficient or incomplete diagnostic review. Record known defects separately. PENDING is not FAIL and does not authorize release.</w:t>
            </w:r>
            <w:r/>
          </w:p>
        </w:tc>
      </w:tr>
    </w:tbl>
    <w:p>
      <w:pPr>
        <w:pStyle w:val="1097"/>
        <w:pBdr/>
        <w:spacing/>
        <w:ind/>
        <w:rPr/>
      </w:pPr>
      <w:r/>
      <w:r/>
    </w:p>
    <w:p>
      <w:pPr>
        <w:pStyle w:val="1083"/>
        <w:keepLines w:val="false"/>
        <w:pBdr/>
        <w:spacing/>
        <w:ind/>
        <w:rPr/>
      </w:pPr>
      <w:r>
        <w:t xml:space="preserve">Mandatory edge-case diagnostics: DEN vs REF; REF vs CAT; VAR vs boundary failure; NSA vs INS; UND vs INS; IND vs INS; and NSA vs UND. REF+CAT and DEN+CAT must be representable, and CAT is scored as an orthogonal task.</w:t>
      </w:r>
      <w:r/>
    </w:p>
    <w:p>
      <w:pPr>
        <w:pStyle w:val="1086"/>
        <w:keepNext w:val="true"/>
        <w:keepLines w:val="true"/>
        <w:pBdr/>
        <w:spacing/>
        <w:ind/>
        <w:rPr/>
      </w:pPr>
      <w:r/>
      <w:bookmarkStart w:id="187" w:name="nominal_reliability_calculation"/>
      <w:r>
        <w:t xml:space="preserve">Governing — Nominal reliability calculation for G2 and G3</w:t>
      </w:r>
      <w:bookmarkEnd w:id="187"/>
      <w:r/>
      <w:r/>
    </w:p>
    <w:p>
      <w:pPr>
        <w:pStyle w:val="1083"/>
        <w:pBdr/>
        <w:spacing/>
        <w:ind/>
        <w:rPr/>
      </w:pPr>
      <w:r>
        <w:t xml:space="preserve">Use no</w:t>
      </w:r>
      <w:r>
        <w:t xml:space="preserve">minal Krippendorff alpha [S8] on the immutable pre-adjudication labels. Before coding, freeze the packet, source excerpts, codebook version, intended state/relation and boundary coverage, coder-assignment exclusions and diagnostic rubric. At least two inde</w:t>
      </w:r>
      <w:r>
        <w:t xml:space="preserve">pendent eligible human coders must be assigned to each item; a vignette author’s labels do not enter that item’s reliability calculation. Reviewers retain the packet design and coverage basis without exposing prior labels or the adjudication key to coders.</w:t>
      </w:r>
      <w:r/>
    </w:p>
    <w:p>
      <w:pPr>
        <w:pStyle w:val="1083"/>
        <w:pBdr/>
        <w:spacing/>
        <w:ind/>
        <w:rPr/>
      </w:pPr>
      <w:r>
        <w:t xml:space="preserve">For unit u, let m(u) be its number of eligible non-missing judgments and n(u,c) the count in category c. Include only m(u) ≥ 2 in the coefficient. For categories c and k, define o(c,k) = Σu n(u,c) × [n(u,k) − </w:t>
      </w:r>
      <w:r>
        <w:t xml:space="preserve">I(c=k)] / [m(u) − 1], where I(c=k) is 1 when c=k and 0 otherwise. Let N = Σc,k o(c,k) and n(c) = Σk o(c,k). Then D_o = Σc≠k o(c,k) / N; D_e = Σc≠k n(c)n(k) / [N(N−1)]; alpha = 1 − D_o/D_e. Nominal disagreement is 0 for identical categories and 1 otherwise.</w:t>
      </w:r>
      <w:r/>
    </w:p>
    <w:p>
      <w:pPr>
        <w:pStyle w:val="1083"/>
        <w:pBdr/>
        <w:spacing/>
        <w:ind/>
        <w:rPr/>
      </w:pPr>
      <w:r>
        <w:t xml:space="preserve">The coefficient is undefi</w:t>
      </w:r>
      <w:r>
        <w:t xml:space="preserve">ned when there are insufficient pairable judgments or D_e = 0. Report it as unevaluable, never as 1.000. Preserve every planned item, exclusion and missing judgment in the report, even where it cannot contribute to the calculation. Do not impute, relabel, </w:t>
      </w:r>
      <w:r>
        <w:t xml:space="preserve">remove difficult items or substitute another coefficient to obtain PASS. Missing required judgments or an unevaluable required coefficient leave qualifying evidence incomplete and the gate PENDING; existing diagnostic defects remain recorded independently.</w:t>
      </w:r>
      <w:r/>
    </w:p>
    <w:p>
      <w:pPr>
        <w:pStyle w:val="1083"/>
        <w:pBdr/>
        <w:spacing/>
        <w:ind/>
        <w:rPr/>
      </w:pPr>
      <w:r>
        <w:t xml:space="preserve">The same nominal calculation applies separately to G2’s eight-state labels and CAT binary judgments and to each o</w:t>
      </w:r>
      <w:r>
        <w:t xml:space="preserve">f G3’s eleven presence/absence tasks. Pairwise agreement, class frequencies, confusion tables and uncertainty estimates remain visible diagnostics. No ancillary statistic, pooled prevalence or rounded value replaces the stated primary acceptance threshold.</w:t>
      </w:r>
      <w:r/>
    </w:p>
    <w:p>
      <w:pPr>
        <w:pStyle w:val="1086"/>
        <w:keepNext w:val="true"/>
        <w:keepLines w:val="true"/>
        <w:pBdr/>
        <w:spacing/>
        <w:ind/>
        <w:rPr/>
      </w:pPr>
      <w:r>
        <w:t xml:space="preserve">Governing — G2 diagnostic decision procedure</w:t>
      </w:r>
      <w:r/>
    </w:p>
    <w:p>
      <w:pPr>
        <w:pStyle w:val="1083"/>
        <w:pBdr/>
        <w:spacing/>
        <w:ind/>
        <w:rPr/>
      </w:pPr>
      <w:r>
        <w:t xml:space="preserve">After blind submission, the reliability lead an</w:t>
      </w:r>
      <w:r>
        <w:t xml:space="preserve">d a qualified independent human reviewer who did not supply the evaluated labels inspect the raw outputs, confusion tables, frequencies, CAT scope/handling and all named edge cases. They review every disagreement or missing rationale, the planned positive </w:t>
      </w:r>
      <w:r>
        <w:t xml:space="preserve">and negative CAT cases, and concordant cases at each mandatory boundary. For each required distinction, record the item IDs, source/codebook basis, finding, rationale and CriterionResult; a general assertion that diagnostics are acceptable is insufficient.</w:t>
      </w:r>
      <w:r/>
    </w:p>
    <w:p>
      <w:pPr>
        <w:pStyle w:val="1083"/>
        <w:pBdr/>
        <w:spacing/>
        <w:ind/>
        <w:rPr/>
      </w:pPr>
      <w:r>
        <w:t xml:space="preserve">A diagnostic fails if the same erroneous distinction recurs</w:t>
      </w:r>
      <w:r>
        <w:t xml:space="preserve"> across distinct items, a governed category or required distinction is consistently omitted, the codebook licenses a prohibited conflation, or a material category/boundary ambiguity remains unresolved. In particular, test whether dominant classes conceal f</w:t>
      </w:r>
      <w:r>
        <w:t xml:space="preserve">ailure to discriminate a less frequent state; whether CAT is improperly used as a primary state; and whether legitimate VAR is distinguishable from inadequate bounding. A material ambiguity is one capable of changing the state, scope or evidential meaning.</w:t>
      </w:r>
      <w:r/>
    </w:p>
    <w:p>
      <w:pPr>
        <w:pStyle w:val="1083"/>
        <w:pBdr/>
        <w:spacing/>
        <w:ind/>
        <w:rPr/>
      </w:pPr>
      <w:r>
        <w:t xml:space="preserve">An isolated error may be explained in the diagnostic record only where sou</w:t>
      </w:r>
      <w:r>
        <w:t xml:space="preserve">rce-grounded review establishes that it is not a continuing rule failure; its raw label remains in the coefficient. PASS requires all diagnostic reviews complete with no failure finding. Reviewer disagreement or insufficient diagnostic evidence remains PEN</w:t>
      </w:r>
      <w:r>
        <w:t xml:space="preserve">DING; a completed adverse finding is FAIL. A failed coefficient or diagnostic requires remediation and a new held-out run; adjudication cannot retrospectively turn that run into PASS. These diagnostic judgments add no numeric CAT or boundary sub-threshold.</w:t>
      </w:r>
      <w:r/>
    </w:p>
    <w:p>
      <w:pPr>
        <w:pStyle w:val="924"/>
        <w:keepNext w:val="true"/>
        <w:keepLines w:val="true"/>
        <w:pBdr/>
        <w:spacing/>
        <w:ind/>
        <w:rPr/>
      </w:pPr>
      <w:r/>
      <w:bookmarkStart w:id="157" w:name="gate_g3"/>
      <w:r>
        <w:t xml:space="preserve">C3.3 G3 — Comparative-relation reliability</w:t>
      </w:r>
      <w:bookmarkEnd w:id="157"/>
      <w:r/>
      <w:r/>
    </w:p>
    <w:p>
      <w:pPr>
        <w:pStyle w:val="1086"/>
        <w:keepNext w:val="true"/>
        <w:keepLines w:val="true"/>
        <w:pBdr/>
        <w:spacing/>
        <w:ind/>
        <w:rPr/>
      </w:pPr>
      <w:r/>
      <w:bookmarkStart w:id="158" w:name="tbl_g3_packet"/>
      <w:r>
        <w:t xml:space="preserve">Governing — G3 blind-packet specification</w:t>
      </w:r>
      <w:bookmarkEnd w:id="158"/>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410"/>
        <w:gridCol w:w="7596"/>
      </w:tblGrid>
      <w:tr>
        <w:trPr>
          <w:cantSplit/>
          <w:tblHeader/>
        </w:trPr>
        <w:tc>
          <w:tcPr>
            <w:shd w:val="clear" w:color="auto" w:fill="1f5d7a"/>
            <w:tcBorders/>
            <w:tcMar>
              <w:left w:w="55" w:type="dxa"/>
              <w:top w:w="45" w:type="dxa"/>
              <w:right w:w="55" w:type="dxa"/>
              <w:bottom w:w="45" w:type="dxa"/>
            </w:tcMar>
            <w:tcW w:w="2410" w:type="dxa"/>
            <w:vAlign w:val="top"/>
          </w:tcPr>
          <w:p>
            <w:pPr>
              <w:pStyle w:val="1090"/>
              <w:pBdr/>
              <w:spacing/>
              <w:ind/>
              <w:rPr/>
            </w:pPr>
            <w:r>
              <w:t xml:space="preserve">Element</w:t>
            </w:r>
            <w:r/>
          </w:p>
        </w:tc>
        <w:tc>
          <w:tcPr>
            <w:shd w:val="clear" w:color="auto" w:fill="1f5d7a"/>
            <w:tcBorders/>
            <w:tcMar>
              <w:left w:w="55" w:type="dxa"/>
              <w:top w:w="45" w:type="dxa"/>
              <w:right w:w="55" w:type="dxa"/>
              <w:bottom w:w="45" w:type="dxa"/>
            </w:tcMar>
            <w:tcW w:w="7596" w:type="dxa"/>
            <w:vAlign w:val="top"/>
          </w:tcPr>
          <w:p>
            <w:pPr>
              <w:pStyle w:val="1090"/>
              <w:pBdr/>
              <w:spacing/>
              <w:ind/>
              <w:rPr/>
            </w:pPr>
            <w:r>
              <w:t xml:space="preserve">Specification</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Units</w:t>
            </w:r>
            <w:r/>
          </w:p>
        </w:tc>
        <w:tc>
          <w:tcPr>
            <w:shd w:val="clear" w:color="auto" w:fill="ffffff"/>
            <w:tcBorders/>
            <w:tcMar>
              <w:left w:w="55" w:type="dxa"/>
              <w:top w:w="45" w:type="dxa"/>
              <w:right w:w="55" w:type="dxa"/>
              <w:bottom w:w="45" w:type="dxa"/>
            </w:tcMar>
            <w:tcW w:w="7596" w:type="dxa"/>
            <w:vAlign w:val="top"/>
          </w:tcPr>
          <w:p>
            <w:pPr>
              <w:pStyle w:val="1089"/>
              <w:pBdr/>
              <w:spacing/>
              <w:ind/>
              <w:rPr/>
            </w:pPr>
            <w:r>
              <w:t xml:space="preserve">60 blind bounded events recommended; minimum 42. The packet covers all eleven relation types, includes zero-label and multi-label cases, and oversamples OEQ, OCO, INC, MIS and GEN boundary cases.</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Material</w:t>
            </w:r>
            <w:r/>
          </w:p>
        </w:tc>
        <w:tc>
          <w:tcPr>
            <w:shd w:val="clear" w:color="auto" w:fill="f4f6f7"/>
            <w:tcBorders/>
            <w:tcMar>
              <w:left w:w="55" w:type="dxa"/>
              <w:top w:w="45" w:type="dxa"/>
              <w:right w:w="55" w:type="dxa"/>
              <w:bottom w:w="45" w:type="dxa"/>
            </w:tcMar>
            <w:tcW w:w="7596" w:type="dxa"/>
            <w:vAlign w:val="top"/>
          </w:tcPr>
          <w:p>
            <w:pPr>
              <w:pStyle w:val="1089"/>
              <w:pBdr/>
              <w:spacing/>
              <w:ind/>
              <w:rPr/>
            </w:pPr>
            <w:r>
              <w:t xml:space="preserve">Bounded source-grounded claim pairs from current Canonical Evidence Store records; each item states the proposed tertium, relation dimension and normalized temporal/Position scope.</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Coder output</w:t>
            </w:r>
            <w:r/>
          </w:p>
        </w:tc>
        <w:tc>
          <w:tcPr>
            <w:shd w:val="clear" w:color="auto" w:fill="ffffff"/>
            <w:tcBorders/>
            <w:tcMar>
              <w:left w:w="55" w:type="dxa"/>
              <w:top w:w="45" w:type="dxa"/>
              <w:right w:w="55" w:type="dxa"/>
              <w:bottom w:w="45" w:type="dxa"/>
            </w:tcMar>
            <w:tcW w:w="7596" w:type="dxa"/>
            <w:vAlign w:val="top"/>
          </w:tcPr>
          <w:p>
            <w:pPr>
              <w:pStyle w:val="1089"/>
              <w:pBdr/>
              <w:spacing/>
              <w:ind/>
              <w:rPr/>
            </w:pPr>
            <w:r>
              <w:t xml:space="preserve">Select zero or more applicable relatio</w:t>
            </w:r>
            <w:r>
              <w:t xml:space="preserve">n types; for each selected type record relation scope, directionality and confidence; record at least one primary material disanalogy dimension plus prose and canonical link targets; record tertium validity and genealogy/independence status where relevant.</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Metrics</w:t>
            </w:r>
            <w:r/>
          </w:p>
        </w:tc>
        <w:tc>
          <w:tcPr>
            <w:shd w:val="clear" w:color="auto" w:fill="f4f6f7"/>
            <w:tcBorders/>
            <w:tcMar>
              <w:left w:w="55" w:type="dxa"/>
              <w:top w:w="45" w:type="dxa"/>
              <w:right w:w="55" w:type="dxa"/>
              <w:bottom w:w="45" w:type="dxa"/>
            </w:tcMar>
            <w:tcW w:w="7596" w:type="dxa"/>
            <w:vAlign w:val="top"/>
          </w:tcPr>
          <w:p>
            <w:pPr>
              <w:pStyle w:val="1089"/>
              <w:pBdr/>
              <w:spacing/>
              <w:ind/>
              <w:rPr/>
            </w:pPr>
            <w:r>
              <w:t xml:space="preserve">Per-type nominal binary Krippendorff alpha, using the G2/G3 calculation above; the unweighted arithmetic mean across all eleven relation types is the primary macro coefficient. Also report relat</w:t>
            </w:r>
            <w:r>
              <w:t xml:space="preserve">ion-set agreement, scope and tertium agreement, separate disanalogy reliability/diagnostics, per-type frequencies and missingness. Retain all raw outputs and confusion tables. The detailed rules below fix the denominator and unevaluable-component handling.</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Disanalogy dimensions</w:t>
            </w:r>
            <w:r/>
          </w:p>
        </w:tc>
        <w:tc>
          <w:tcPr>
            <w:shd w:val="clear" w:color="auto" w:fill="ffffff"/>
            <w:tcBorders/>
            <w:tcMar>
              <w:left w:w="55" w:type="dxa"/>
              <w:top w:w="45" w:type="dxa"/>
              <w:right w:w="55" w:type="dxa"/>
              <w:bottom w:w="45" w:type="dxa"/>
            </w:tcMar>
            <w:tcW w:w="7596" w:type="dxa"/>
            <w:vAlign w:val="top"/>
          </w:tcPr>
          <w:p>
            <w:pPr>
              <w:pStyle w:val="1089"/>
              <w:pBdr/>
              <w:spacing/>
              <w:ind/>
              <w:rPr/>
            </w:pPr>
            <w:r>
              <w:t xml:space="preserve">Ontology/entity type; grounding/causation; personhood/subject structure; epistemic authority; praxis/telos; semantic range; genealogy/history; scope/granularity; other.</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Semantic validation</w:t>
            </w:r>
            <w:r/>
          </w:p>
        </w:tc>
        <w:tc>
          <w:tcPr>
            <w:shd w:val="clear" w:color="auto" w:fill="f4f6f7"/>
            <w:tcBorders/>
            <w:tcMar>
              <w:left w:w="55" w:type="dxa"/>
              <w:top w:w="45" w:type="dxa"/>
              <w:right w:w="55" w:type="dxa"/>
              <w:bottom w:w="45" w:type="dxa"/>
            </w:tcMar>
            <w:tcW w:w="7596" w:type="dxa"/>
            <w:vAlign w:val="top"/>
          </w:tcPr>
          <w:p>
            <w:pPr>
              <w:pStyle w:val="1089"/>
              <w:pBdr/>
              <w:spacing/>
              <w:ind/>
              <w:rPr/>
            </w:pPr>
            <w:r>
              <w:t xml:space="preserve">A relation set fails when it violates the coherence matrix even if coders agree.</w:t>
            </w:r>
            <w:r/>
          </w:p>
        </w:tc>
      </w:tr>
      <w:tr>
        <w:trPr>
          <w:cantSplit/>
        </w:trPr>
        <w:tc>
          <w:tcPr>
            <w:shd w:val="clear" w:color="auto" w:fill="ffffff"/>
            <w:tcBorders/>
            <w:tcMar>
              <w:left w:w="55" w:type="dxa"/>
              <w:top w:w="45" w:type="dxa"/>
              <w:right w:w="55" w:type="dxa"/>
              <w:bottom w:w="45" w:type="dxa"/>
            </w:tcMar>
            <w:tcW w:w="2410" w:type="dxa"/>
            <w:vAlign w:val="top"/>
          </w:tcPr>
          <w:p>
            <w:pPr>
              <w:pStyle w:val="1089"/>
              <w:pBdr/>
              <w:spacing/>
              <w:ind/>
              <w:rPr/>
            </w:pPr>
            <w:r>
              <w:t xml:space="preserve">PASS</w:t>
            </w:r>
            <w:r/>
          </w:p>
        </w:tc>
        <w:tc>
          <w:tcPr>
            <w:shd w:val="clear" w:color="auto" w:fill="ffffff"/>
            <w:tcBorders/>
            <w:tcMar>
              <w:left w:w="55" w:type="dxa"/>
              <w:top w:w="45" w:type="dxa"/>
              <w:right w:w="55" w:type="dxa"/>
              <w:bottom w:w="45" w:type="dxa"/>
            </w:tcMar>
            <w:tcW w:w="7596" w:type="dxa"/>
            <w:vAlign w:val="top"/>
          </w:tcPr>
          <w:p>
            <w:pPr>
              <w:pStyle w:val="1089"/>
              <w:pBdr/>
              <w:spacing/>
              <w:ind/>
              <w:rPr/>
            </w:pPr>
            <w:r>
              <w:t xml:space="preserve">Unrounded macro alpha ≥ 0.80 across all eleven evaluable relation types, complete qua</w:t>
            </w:r>
            <w:r>
              <w:t xml:space="preserve">lifying evidence and all required diagnostic CriterionResults PASS: no systematic omission of mandatory disanalogy, no unacceptable scope/tertium finding and no unresolved coherence failure. Agreement never waives source adequacy or independent OEQ review.</w:t>
            </w:r>
            <w:r/>
          </w:p>
        </w:tc>
      </w:tr>
      <w:tr>
        <w:trPr>
          <w:cantSplit/>
        </w:trPr>
        <w:tc>
          <w:tcPr>
            <w:shd w:val="clear" w:color="auto" w:fill="f4f6f7"/>
            <w:tcBorders/>
            <w:tcMar>
              <w:left w:w="55" w:type="dxa"/>
              <w:top w:w="45" w:type="dxa"/>
              <w:right w:w="55" w:type="dxa"/>
              <w:bottom w:w="45" w:type="dxa"/>
            </w:tcMar>
            <w:tcW w:w="2410" w:type="dxa"/>
            <w:vAlign w:val="top"/>
          </w:tcPr>
          <w:p>
            <w:pPr>
              <w:pStyle w:val="1089"/>
              <w:pBdr/>
              <w:spacing/>
              <w:ind/>
              <w:rPr/>
            </w:pPr>
            <w:r>
              <w:t xml:space="preserve">OEQ safeguard</w:t>
            </w:r>
            <w:r/>
          </w:p>
        </w:tc>
        <w:tc>
          <w:tcPr>
            <w:shd w:val="clear" w:color="auto" w:fill="f4f6f7"/>
            <w:tcBorders/>
            <w:tcMar>
              <w:left w:w="55" w:type="dxa"/>
              <w:top w:w="45" w:type="dxa"/>
              <w:right w:w="55" w:type="dxa"/>
              <w:bottom w:w="45" w:type="dxa"/>
            </w:tcMar>
            <w:tcW w:w="7596" w:type="dxa"/>
            <w:vAlign w:val="top"/>
          </w:tcPr>
          <w:p>
            <w:pPr>
              <w:pStyle w:val="1089"/>
              <w:pBdr/>
              <w:spacing/>
              <w:ind/>
              <w:rPr/>
            </w:pPr>
            <w:r>
              <w:t xml:space="preserve">Reliability agreement never proves equivalence. OEQ still requires dimensions, failure conditions, explicit linked disanalogy and specialist review.</w:t>
            </w:r>
            <w:r/>
          </w:p>
        </w:tc>
      </w:tr>
    </w:tbl>
    <w:p>
      <w:pPr>
        <w:pStyle w:val="1097"/>
        <w:pBdr/>
        <w:spacing/>
        <w:ind/>
        <w:rPr/>
      </w:pPr>
      <w:r/>
      <w:r/>
    </w:p>
    <w:p>
      <w:pPr>
        <w:pStyle w:val="1083"/>
        <w:keepLines w:val="false"/>
        <w:pBdr/>
        <w:spacing/>
        <w:ind/>
        <w:rPr/>
      </w:pPr>
      <w:r>
        <w:t xml:space="preserve">A dedicated GEN evidence-sufficiency subset MAY be used, but it remains part of the full-taxonomy gate. Reliability agreement never proves OEQ; equivalence dimensions, failure conditions, linked disanalogy and specialist review remain mandatory.</w:t>
      </w:r>
      <w:r/>
    </w:p>
    <w:p>
      <w:pPr>
        <w:pStyle w:val="1086"/>
        <w:keepNext w:val="true"/>
        <w:keepLines w:val="true"/>
        <w:pBdr/>
        <w:spacing/>
        <w:ind/>
        <w:rPr/>
      </w:pPr>
      <w:r>
        <w:t xml:space="preserve">Governing — G3 evaluation population and macro coefficient</w:t>
      </w:r>
      <w:r/>
    </w:p>
    <w:p>
      <w:pPr>
        <w:pStyle w:val="1083"/>
        <w:pBdr/>
        <w:spacing/>
        <w:ind/>
        <w:rPr/>
      </w:pPr>
      <w:r>
        <w:t xml:space="preserve">Us</w:t>
      </w:r>
      <w:r>
        <w:t xml:space="preserve">e the independent-coder and immutable-packet rules in §9.2 and the nominal calculation in §C3.2. Each complete submitted relation set yields eleven binary judgments: 1 for a selected type and 0 for an explicitly completed decision not selecting it. An expl</w:t>
      </w:r>
      <w:r>
        <w:t xml:space="preserve">icit zero-label set is eleven zeros; an unanswered or incomplete selection task is missing, not eleven zeros. Do not infer absence from an unsubmitted judgment. Scope, tertium, directionality and disanalogy outputs remain separate from these binary labels.</w:t>
      </w:r>
      <w:r/>
    </w:p>
    <w:p>
      <w:pPr>
        <w:pStyle w:val="1083"/>
        <w:pBdr/>
        <w:spacing/>
        <w:ind/>
        <w:rPr/>
      </w:pPr>
      <w:r>
        <w:t xml:space="preserve">Fre</w:t>
      </w:r>
      <w:r>
        <w:t xml:space="preserve">eze the full-taxonomy packet and diagnostic key before coding. The design must include source-supported positive and negative decision opportunities for every relation type, zero-label and multi-label events and the prescribed boundary oversampling. Apply </w:t>
      </w:r>
      <w:r>
        <w:t xml:space="preserve">the same predeclared eligible-coder assignment to every type within an event. Report planned and observed positive/negative counts, eligible judgments, pairable events and missing judgments for each of the eleven types; rare types remain in the evaluation.</w:t>
      </w:r>
      <w:r/>
    </w:p>
    <w:p>
      <w:pPr>
        <w:pStyle w:val="1083"/>
        <w:pBdr/>
        <w:spacing/>
        <w:ind/>
        <w:rPr/>
      </w:pPr>
      <w:r>
        <w:t xml:space="preserve">Compute alpha separately for LEX, SEM, FUN, STR, PHE, EPI, GEN, OCO, OEQ, INC and MIS. The macro is (alpha_LEX + alpha_SEM + alpha_FUN + alpha_STR + alpha_PHE + alpha_EPI + alpha_GEN + alpha</w:t>
      </w:r>
      <w:r>
        <w:t xml:space="preserve">_OCO + alpha_OEQ + alpha_INC + alpha_MIS) / 11. Weights are equal; do not micro-pool judgments, weight by prevalence, clamp negative values, round before comparison, or choose a subset of types. No separate numeric per-type acceptance cut-point is imposed.</w:t>
      </w:r>
      <w:r/>
    </w:p>
    <w:p>
      <w:pPr>
        <w:pStyle w:val="1083"/>
        <w:pBdr/>
        <w:spacing/>
        <w:ind/>
        <w:rPr/>
      </w:pPr>
      <w:r>
        <w:t xml:space="preserve">If </w:t>
      </w:r>
      <w:r>
        <w:t xml:space="preserve">any required type is unevaluable, including constant observed judgments with D_e = 0, the eleven-type macro is unevaluable and G3 remains PENDING. Report the component and its counts explicitly; never drop it, assign perfect reliability, pool it with anoth</w:t>
      </w:r>
      <w:r>
        <w:t xml:space="preserve">er type or substitute a metric. A rare but evaluable component remains included with its actual coefficient and frequencies. Inadequate coverage or missing judgments requires a new qualifying held-out packet, not retrospective selection of favorable items.</w:t>
      </w:r>
      <w:r/>
    </w:p>
    <w:p>
      <w:pPr>
        <w:pStyle w:val="1086"/>
        <w:keepNext w:val="true"/>
        <w:keepLines w:val="true"/>
        <w:pBdr/>
        <w:spacing/>
        <w:ind/>
        <w:rPr/>
      </w:pPr>
      <w:r>
        <w:t xml:space="preserve">Governing — G3 diagnostic and verdict procedure</w:t>
      </w:r>
      <w:r/>
    </w:p>
    <w:p>
      <w:pPr>
        <w:pStyle w:val="1083"/>
        <w:pBdr/>
        <w:spacing/>
        <w:ind/>
        <w:rPr/>
      </w:pPr>
      <w:r>
        <w:t xml:space="preserve">For relation-set agreement, report exact-set matches divided by the number of eligible coder-pair comparisons with two complete sets. For scope agreement, report matche</w:t>
      </w:r>
      <w:r>
        <w:t xml:space="preserve">s and opportunities among co-selected relation-type decisions: a match requires the same exact Claim pair, dimension, temporal/Position boundaries and directionality, not identical prose. Report tertium-validity nominal alpha and its confusion table. For p</w:t>
      </w:r>
      <w:r>
        <w:t xml:space="preserve">rimary disanalogy dimensions, report nominal alpha and counts on the applicable pairable judgments, together with link and materiality review. Undefined auxiliary statistics are identified with their denominators and are not described as perfect agreement.</w:t>
      </w:r>
      <w:r/>
    </w:p>
    <w:p>
      <w:pPr>
        <w:pStyle w:val="1083"/>
        <w:pBdr/>
        <w:spacing/>
        <w:ind/>
        <w:rPr/>
      </w:pPr>
      <w:r>
        <w:t xml:space="preserve">The reliability/comparison lead and a </w:t>
      </w:r>
      <w:r>
        <w:t xml:space="preserve">qualified independent human reviewer who did not supply the evaluated labels inspect every event for coherence, every selected mandatory-disanalogy relation for a material canonical link, and every disagreement or flagged scope, tertium, directionality, ge</w:t>
      </w:r>
      <w:r>
        <w:t xml:space="preserve">nealogy or disanalogy judgment. They also inspect concordant OEQ/OCO/INC/MIS/GEN boundary cases and the zero-label/multi-label cases. Record the exact item/Claim IDs, source and codebook basis, diagnostic finding and rationale as separate CriterionResults.</w:t>
      </w:r>
      <w:r/>
    </w:p>
    <w:p>
      <w:pPr>
        <w:pStyle w:val="1083"/>
        <w:pBdr/>
        <w:spacing/>
        <w:ind/>
        <w:rPr/>
      </w:pPr>
      <w:r>
        <w:t xml:space="preserve">Scope and tertium diagnostics pass only when review is complete, required distinctions remain reproducible without systematic mis-scoping or category distortion, and no unresolved material ambiguity or coherence failure remains. Repeated use of the sam</w:t>
      </w:r>
      <w:r>
        <w:t xml:space="preserve">e erroneous rule, consistent omission of a relation type or required disanalogy, acceptance of a positive relation under a DISTORTING tertium, or an unbounded Claim pair fails the applicable diagnostic. An isolated raw error cannot be erased; it may be exp</w:t>
      </w:r>
      <w:r>
        <w:t xml:space="preserve">lained only where the review shows no continuing rule failure. Undefined auxiliary statistics require an explicit source-grounded diagnostic finding from the complete relevant cases; absent required cases or incomplete review leaves the diagnostic PENDING.</w:t>
      </w:r>
      <w:r/>
    </w:p>
    <w:p>
      <w:pPr>
        <w:pStyle w:val="1083"/>
        <w:pBdr/>
        <w:spacing/>
        <w:ind/>
        <w:rPr/>
      </w:pPr>
      <w:r>
        <w:t xml:space="preserve">Disanalogy review must establish that the r</w:t>
      </w:r>
      <w:r>
        <w:t xml:space="preserve">ecorded dimension, prose and canonical link identify a material difference rather than a formulaic disclaimer. The disanalogy criterion fails for systematic omission or unresolved material insufficiency. Same-key coherence failure is disqualifying even wit</w:t>
      </w:r>
      <w:r>
        <w:t xml:space="preserve">h coder agreement. GEN requires its independent historical evidence burden; OEQ still requires exact equivalence dimensions, failure conditions, linked disanalogy and specialist review. Reliability agreement does not establish the truth of either relation.</w:t>
      </w:r>
      <w:r/>
    </w:p>
    <w:p>
      <w:pPr>
        <w:pStyle w:val="1083"/>
        <w:pBdr/>
        <w:spacing/>
        <w:ind/>
        <w:rPr/>
      </w:pPr>
      <w:r>
        <w:t xml:space="preserve">G3 records PASS only when the complete evaluable run me</w:t>
      </w:r>
      <w:r>
        <w:t xml:space="preserve">ets the macro threshold and every required diagnostic passes. A complete evaluable run below 0.80 or with any failed diagnostic records FAIL. Incomplete qualifying evidence, any unevaluable required component or incomplete required evaluation records PENDI</w:t>
      </w:r>
      <w:r>
        <w:t xml:space="preserve">NG, with known defects recorded separately. Neither FAIL nor PENDING authorizes release. Failed runs require targeted remediation and a new held-out packet; post-adjudication outputs remain reference/training material, not replacement reliability evidence.</w:t>
      </w:r>
      <w:r/>
    </w:p>
    <w:p>
      <w:pPr>
        <w:pStyle w:val="924"/>
        <w:keepNext w:val="true"/>
        <w:keepLines w:val="true"/>
        <w:pBdr/>
        <w:spacing/>
        <w:ind/>
        <w:rPr/>
      </w:pPr>
      <w:r/>
      <w:bookmarkStart w:id="159" w:name="gate_g4"/>
      <w:r>
        <w:t xml:space="preserve">C3.4 G4 — Oral/performance provenance</w:t>
      </w:r>
      <w:bookmarkEnd w:id="159"/>
      <w:r/>
      <w:r/>
    </w:p>
    <w:p>
      <w:pPr>
        <w:pStyle w:val="1083"/>
        <w:keepLines w:val="false"/>
        <w:pBdr/>
        <w:spacing/>
        <w:ind/>
        <w:rPr/>
      </w:pPr>
      <w:r>
        <w:t xml:space="preserve">PASS requires at least one substantive release-candidate oral or performed Claim with an auditable Claim -&gt; EvidenceLink -&gt; SourceInstance -&gt; artifact chain.</w:t>
      </w:r>
      <w:r/>
    </w:p>
    <w:p>
      <w:pPr>
        <w:pStyle w:val="1083"/>
        <w:keepLines w:val="false"/>
        <w:pBdr/>
        <w:spacing/>
        <w:ind/>
        <w:rPr/>
      </w:pPr>
      <w:r>
        <w:t xml:space="preserve">The chain resolves so</w:t>
      </w:r>
      <w:r>
        <w:t xml:space="preserve">urce_instance_id, source_ids, instance_scope and the version/review envelope in Annex B §B2.6. It includes performer or interviewee identity or ethical restriction rationale, role and affiliation, event context, place/date with supported uncertainty, recor</w:t>
      </w:r>
      <w:r>
        <w:t xml:space="preserve">der or collector, native oral-unit identifier where provided, language or dialect, required transcription and translation with their versions, artifact timestamp or segment, consent or authorization, allowed uses, access restrictions and editorial history.</w:t>
      </w:r>
      <w:r/>
    </w:p>
    <w:p>
      <w:pPr>
        <w:pStyle w:val="1083"/>
        <w:keepLines w:val="false"/>
        <w:pBdr/>
        <w:spacing/>
        <w:ind/>
        <w:rPr/>
      </w:pPr>
      <w:r>
        <w:t xml:space="preserve">Each field’s trigger and permitted uncertainty are fixed in Annex B §B2.6; missing required evidence is not not-applic</w:t>
      </w:r>
      <w:r>
        <w:t xml:space="preserve">able. An authorized reviewer must be able to verify the source-language or performance basis and authorization. Publication Architecture Specification identifies source-bounded Ifá as the preferred decisive capability case; the gate itself remains general.</w:t>
      </w:r>
      <w:r/>
    </w:p>
    <w:p>
      <w:pPr>
        <w:pStyle w:val="924"/>
        <w:keepNext w:val="true"/>
        <w:keepLines w:val="true"/>
        <w:pBdr/>
        <w:spacing/>
        <w:ind/>
        <w:rPr/>
      </w:pPr>
      <w:r/>
      <w:bookmarkStart w:id="160" w:name="gate_g5"/>
      <w:r>
        <w:t xml:space="preserve">C3.5 G5 — Source-community representation</w:t>
      </w:r>
      <w:bookmarkEnd w:id="160"/>
      <w:r/>
      <w:r/>
    </w:p>
    <w:p>
      <w:pPr>
        <w:pStyle w:val="1083"/>
        <w:keepLines w:val="false"/>
        <w:pBdr/>
        <w:spacing/>
        <w:ind/>
        <w:rPr/>
      </w:pPr>
      <w:r>
        <w:t xml:space="preserve">PASS requires one applicable Position with the complete SourceCommunityCoverage contract in Annex B §B2.11: one applicability decision and rationale, one scope-level cov</w:t>
      </w:r>
      <w:r>
        <w:t xml:space="preserve">erage judgment, actual coverage evidence, authority scope, rights/protocol assessments, limitations, actual engagement or its documented absence, feedback actions only where feedback exists, authorized metadata where supplied and a supported release basis.</w:t>
      </w:r>
      <w:r/>
    </w:p>
    <w:p>
      <w:pPr>
        <w:pStyle w:val="1083"/>
        <w:keepLines w:val="false"/>
        <w:pBdr/>
        <w:spacing/>
        <w:ind/>
        <w:rPr/>
      </w:pPr>
      <w:r>
        <w:t xml:space="preserve">Source-community scholarship is not mislabeled as direct authorization; no single reviewer is presumed to represent an entire community. Material disagreement keeps claims contested or restricted or triggers revision.</w:t>
      </w:r>
      <w:r/>
    </w:p>
    <w:tbl>
      <w:tblPr>
        <w:jc w:val="center"/>
        <w:tblW w:w="0" w:type="auto"/>
        <w:tblBorders>
          <w:top w:val="single" w:color="1f5d7a" w:sz="5" w:space="0"/>
          <w:left w:val="single" w:color="1f5d7a" w:sz="5" w:space="0"/>
          <w:bottom w:val="single" w:color="1f5d7a" w:sz="5" w:space="0"/>
          <w:right w:val="single" w:color="1f5d7a" w:sz="5" w:space="0"/>
          <w:insideH w:val="single" w:color="1f5d7a" w:sz="5" w:space="0"/>
          <w:insideV w:val="single" w:color="1f5d7a" w:sz="5" w:space="0"/>
        </w:tblBorders>
        <w:tblLayout w:type="fixed"/>
        <w:tblLook w:val="04A0" w:firstRow="1" w:lastRow="0" w:firstColumn="1" w:lastColumn="0" w:noHBand="0" w:noVBand="1"/>
      </w:tblPr>
      <w:tblGrid>
        <w:gridCol w:w="10006"/>
      </w:tblGrid>
      <w:tr>
        <w:trPr>
          <w:cantSplit/>
          <w:tblHeader/>
        </w:trPr>
        <w:tc>
          <w:tcPr>
            <w:shd w:val="clear" w:color="auto" w:fill="eaf2f6"/>
            <w:tcBorders/>
            <w:tcMar>
              <w:left w:w="90" w:type="dxa"/>
              <w:top w:w="0" w:type="dxa"/>
              <w:right w:w="90" w:type="dxa"/>
              <w:bottom w:w="65" w:type="dxa"/>
            </w:tcMar>
            <w:tcW w:w="9864" w:type="dxa"/>
            <w:vAlign w:val="center"/>
          </w:tcPr>
          <w:p>
            <w:pPr>
              <w:pStyle w:val="1091"/>
              <w:pBdr/>
              <w:shd w:val="clear" w:color="auto" w:fill="1f5d7a"/>
              <w:spacing/>
              <w:ind/>
              <w:rPr/>
            </w:pPr>
            <w:r>
              <w:t xml:space="preserve">Governing: Capability versus unit release</w:t>
            </w:r>
            <w:r/>
          </w:p>
          <w:p>
            <w:pPr>
              <w:pStyle w:val="1092"/>
              <w:pBdr/>
              <w:spacing/>
              <w:ind/>
              <w:rPr/>
            </w:pPr>
            <w:r>
              <w:t xml:space="preserve">A project-level G4 or G5 PASS demonstrates that the process can be executed. It does not clear every record of that class. Per-record provenance, governance, rights, readiness and review still apply.</w:t>
            </w:r>
            <w:r/>
          </w:p>
        </w:tc>
      </w:tr>
    </w:tbl>
    <w:p>
      <w:pPr>
        <w:pStyle w:val="1097"/>
        <w:pBdr/>
        <w:spacing/>
        <w:ind/>
        <w:rPr/>
      </w:pPr>
      <w:r/>
      <w:r/>
    </w:p>
    <w:p>
      <w:pPr>
        <w:pStyle w:val="924"/>
        <w:keepNext w:val="true"/>
        <w:keepLines w:val="true"/>
        <w:pBdr/>
        <w:spacing/>
        <w:ind/>
        <w:rPr/>
      </w:pPr>
      <w:r/>
      <w:bookmarkStart w:id="161" w:name="gate_g6"/>
      <w:r>
        <w:t xml:space="preserve">C3.6 G6 — Claim and PublicationClaim traceability</w:t>
      </w:r>
      <w:bookmarkEnd w:id="161"/>
      <w:r/>
      <w:r/>
    </w:p>
    <w:p>
      <w:pPr>
        <w:pStyle w:val="1086"/>
        <w:keepNext w:val="true"/>
        <w:keepLines w:val="true"/>
        <w:pBdr/>
        <w:spacing/>
        <w:ind/>
        <w:rPr/>
      </w:pPr>
      <w:r/>
      <w:bookmarkStart w:id="162" w:name="tbl_g6_fields"/>
      <w:r>
        <w:t xml:space="preserve">Governing — G6 traceability report fields</w:t>
      </w:r>
      <w:bookmarkEnd w:id="162"/>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3141"/>
        <w:gridCol w:w="6865"/>
      </w:tblGrid>
      <w:tr>
        <w:trPr>
          <w:cantSplit/>
          <w:tblHeader/>
        </w:trPr>
        <w:tc>
          <w:tcPr>
            <w:shd w:val="clear" w:color="auto" w:fill="1f5d7a"/>
            <w:tcBorders/>
            <w:tcMar>
              <w:left w:w="55" w:type="dxa"/>
              <w:top w:w="45" w:type="dxa"/>
              <w:right w:w="55" w:type="dxa"/>
              <w:bottom w:w="45" w:type="dxa"/>
            </w:tcMar>
            <w:tcW w:w="3141" w:type="dxa"/>
            <w:vAlign w:val="top"/>
          </w:tcPr>
          <w:p>
            <w:pPr>
              <w:pStyle w:val="1090"/>
              <w:pBdr/>
              <w:spacing/>
              <w:ind/>
              <w:rPr/>
            </w:pPr>
            <w:r>
              <w:t xml:space="preserve">Report field</w:t>
            </w:r>
            <w:r/>
          </w:p>
        </w:tc>
        <w:tc>
          <w:tcPr>
            <w:shd w:val="clear" w:color="auto" w:fill="1f5d7a"/>
            <w:tcBorders/>
            <w:tcMar>
              <w:left w:w="55" w:type="dxa"/>
              <w:top w:w="45" w:type="dxa"/>
              <w:right w:w="55" w:type="dxa"/>
              <w:bottom w:w="45" w:type="dxa"/>
            </w:tcMar>
            <w:tcW w:w="6865" w:type="dxa"/>
            <w:vAlign w:val="top"/>
          </w:tcPr>
          <w:p>
            <w:pPr>
              <w:pStyle w:val="1090"/>
              <w:pBdr/>
              <w:spacing/>
              <w:ind/>
              <w:rPr/>
            </w:pPr>
            <w:r>
              <w:t xml:space="preserve">Meaning</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claim_id</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Canonical Claim.</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position_id</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Bounded attribution.</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claim_attachment</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Display/export label for ClaimRecord.attachment; values are claim_attachment:DEF / EXP / DER / CTX.</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claim_origin</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claim_origin:SOURCE_GROUNDED / ATLAS_INFERENCE.</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evidence_count</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SOURCE_GROUNDED release claims require at least one fit-for-purpose EvidenceLink.</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locator_complete</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Boolean under source-form locator rules.</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source_fit</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Human-reviewed CriterionResult PASS/FAIL.</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counterevidence_reviewed</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Required where material.</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derived_chain_complete</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Required for DER and ATLAS_INFERENCE as applicable.</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inference_rationale_complete</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Required for DER and ATLAS_INFERENCE as applicable.</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publication_claim_id</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Thesis-bearing publication claim, where in release scope.</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premise_chain_complete</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All premise IDs resolve and are release-eligible for the use made.</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scope_defeaters_complete</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Scope, qualifiers, disanalogies, counterexamples and prohibited stronger reading recorded.</w:t>
            </w:r>
            <w:r/>
          </w:p>
        </w:tc>
      </w:tr>
      <w:tr>
        <w:trPr>
          <w:cantSplit/>
        </w:trPr>
        <w:tc>
          <w:tcPr>
            <w:shd w:val="clear" w:color="auto" w:fill="f4f6f7"/>
            <w:tcBorders/>
            <w:tcMar>
              <w:left w:w="55" w:type="dxa"/>
              <w:top w:w="45" w:type="dxa"/>
              <w:right w:w="55" w:type="dxa"/>
              <w:bottom w:w="45" w:type="dxa"/>
            </w:tcMar>
            <w:tcW w:w="3141" w:type="dxa"/>
            <w:vAlign w:val="top"/>
          </w:tcPr>
          <w:p>
            <w:pPr>
              <w:pStyle w:val="1089"/>
              <w:pBdr/>
              <w:spacing/>
              <w:ind/>
              <w:rPr/>
            </w:pPr>
            <w:r>
              <w:t xml:space="preserve">review_status</w:t>
            </w:r>
            <w:r/>
          </w:p>
        </w:tc>
        <w:tc>
          <w:tcPr>
            <w:shd w:val="clear" w:color="auto" w:fill="f4f6f7"/>
            <w:tcBorders/>
            <w:tcMar>
              <w:left w:w="55" w:type="dxa"/>
              <w:top w:w="45" w:type="dxa"/>
              <w:right w:w="55" w:type="dxa"/>
              <w:bottom w:w="45" w:type="dxa"/>
            </w:tcMar>
            <w:tcW w:w="6865" w:type="dxa"/>
            <w:vAlign w:val="top"/>
          </w:tcPr>
          <w:p>
            <w:pPr>
              <w:pStyle w:val="1089"/>
              <w:pBdr/>
              <w:spacing/>
              <w:ind/>
              <w:rPr/>
            </w:pPr>
            <w:r>
              <w:t xml:space="preserve">Reviewer role, date and CriterionResults.</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release_eligible</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Computed only when every applicable Claim and PublicationClaim constraint passes.</w:t>
            </w:r>
            <w:r/>
          </w:p>
        </w:tc>
      </w:tr>
    </w:tbl>
    <w:p>
      <w:pPr>
        <w:pStyle w:val="1097"/>
        <w:pBdr/>
        <w:spacing/>
        <w:ind/>
        <w:rPr/>
      </w:pPr>
      <w:r/>
      <w:r/>
    </w:p>
    <w:p>
      <w:pPr>
        <w:pStyle w:val="1083"/>
        <w:keepLines w:val="false"/>
        <w:pBdr/>
        <w:spacing/>
        <w:ind/>
        <w:rPr/>
      </w:pPr>
      <w:r>
        <w:t xml:space="preserve">G6 has two required denominators. The Claim denominator is all substan</w:t>
      </w:r>
      <w:r>
        <w:t xml:space="preserve">tive release-candidate Claims in the scoped canonical build; the numerator is those satisfying the applicable origin, evidence, locator, derivation and counterevidence rules. The PublicationClaim denominator is all thesis-bearing release-candidate publicat</w:t>
      </w:r>
      <w:r>
        <w:t xml:space="preserve">ion claims; the numerator is those with complete canonical premise chains, rationale, scope and qualifiers, defeaters, applicable synthesis level and review state. Each ratio MUST equal 1.000. Held records are explicitly flagged and never silently dropped.</w:t>
      </w:r>
      <w:r/>
    </w:p>
    <w:p>
      <w:pPr>
        <w:pStyle w:val="1086"/>
        <w:keepNext w:val="true"/>
        <w:keepLines w:val="true"/>
        <w:pBdr/>
        <w:spacing/>
        <w:ind/>
        <w:rPr/>
      </w:pPr>
      <w:r>
        <w:t xml:space="preserve">Governing — G6 aggregate report and empty-scope handling</w:t>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3141"/>
        <w:gridCol w:w="6865"/>
      </w:tblGrid>
      <w:tr>
        <w:trPr>
          <w:cantSplit/>
          <w:tblHeader/>
        </w:trPr>
        <w:tc>
          <w:tcPr>
            <w:shd w:val="clear" w:color="auto" w:fill="1f5d7a"/>
            <w:tcBorders/>
            <w:tcMar>
              <w:left w:w="55" w:type="dxa"/>
              <w:top w:w="45" w:type="dxa"/>
              <w:right w:w="55" w:type="dxa"/>
              <w:bottom w:w="45" w:type="dxa"/>
            </w:tcMar>
            <w:tcW w:w="3141" w:type="dxa"/>
            <w:vAlign w:val="top"/>
          </w:tcPr>
          <w:p>
            <w:pPr>
              <w:pStyle w:val="1090"/>
              <w:pBdr/>
              <w:spacing/>
              <w:ind/>
              <w:rPr/>
            </w:pPr>
            <w:r>
              <w:t xml:space="preserve">Aggregate report field</w:t>
            </w:r>
            <w:r/>
          </w:p>
        </w:tc>
        <w:tc>
          <w:tcPr>
            <w:shd w:val="clear" w:color="auto" w:fill="1f5d7a"/>
            <w:tcBorders/>
            <w:tcMar>
              <w:left w:w="55" w:type="dxa"/>
              <w:top w:w="45" w:type="dxa"/>
              <w:right w:w="55" w:type="dxa"/>
              <w:bottom w:w="45" w:type="dxa"/>
            </w:tcMar>
            <w:tcW w:w="6865" w:type="dxa"/>
            <w:vAlign w:val="top"/>
          </w:tcPr>
          <w:p>
            <w:pPr>
              <w:pStyle w:val="1090"/>
              <w:pBdr/>
              <w:spacing/>
              <w:ind/>
              <w:rPr/>
            </w:pPr>
            <w:r>
              <w:t xml:space="preserve">Meaning</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claim_candidate_count</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Count of all substantive release-candidate Claims in the declared canonical build and scope.</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claim_qualifying_count</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Count in that population satisfying every applicable Claim traceability condition.</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publication_claim_candidate_count</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Count of all thesis-bearing release-candidate PublicationClaims in that same declared release scope.</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publication_claim_qualifying_count</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Count in that population satisfying every applicable PublicationClaim premise, rationale, scope, defeater and review condition.</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population_traceability_ratios</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Report each qualifying count / candidate count separately. Compute a ratio only for a positive denominator; retain numerator and denominator beside it.</w:t>
            </w:r>
            <w:r/>
          </w:p>
        </w:tc>
      </w:tr>
      <w:tr>
        <w:trPr>
          <w:cantSplit/>
        </w:trPr>
        <w:tc>
          <w:tcPr>
            <w:shd w:val="clear" w:color="auto" w:fill="ffffff"/>
            <w:tcBorders/>
            <w:tcMar>
              <w:left w:w="55" w:type="dxa"/>
              <w:top w:w="45" w:type="dxa"/>
              <w:right w:w="55" w:type="dxa"/>
              <w:bottom w:w="45" w:type="dxa"/>
            </w:tcMar>
            <w:tcW w:w="3141" w:type="dxa"/>
            <w:vAlign w:val="top"/>
          </w:tcPr>
          <w:p>
            <w:pPr>
              <w:pStyle w:val="1089"/>
              <w:pBdr/>
              <w:spacing/>
              <w:ind/>
              <w:rPr/>
            </w:pPr>
            <w:r>
              <w:t xml:space="preserve">audit_scope_and_completion</w:t>
            </w:r>
            <w:r/>
          </w:p>
        </w:tc>
        <w:tc>
          <w:tcPr>
            <w:shd w:val="clear" w:color="auto" w:fill="ffffff"/>
            <w:tcBorders/>
            <w:tcMar>
              <w:left w:w="55" w:type="dxa"/>
              <w:top w:w="45" w:type="dxa"/>
              <w:right w:w="55" w:type="dxa"/>
              <w:bottom w:w="45" w:type="dxa"/>
            </w:tcMar>
            <w:tcW w:w="6865" w:type="dxa"/>
            <w:vAlign w:val="top"/>
          </w:tcPr>
          <w:p>
            <w:pPr>
              <w:pStyle w:val="1089"/>
              <w:pBdr/>
              <w:spacing/>
              <w:ind/>
              <w:rPr/>
            </w:pPr>
            <w:r>
              <w:t xml:space="preserve">Identify the build, release scope, audited and unaudited candidate counts, review evidence and all held/excluded records with disposition; no silent population reduction.</w:t>
            </w:r>
            <w:r/>
          </w:p>
        </w:tc>
      </w:tr>
    </w:tbl>
    <w:p>
      <w:pPr>
        <w:pStyle w:val="1083"/>
        <w:pBdr/>
        <w:spacing/>
        <w:ind/>
        <w:rPr/>
      </w:pPr>
      <w:r>
        <w:t xml:space="preserve">These are report/export fields, not additional canonical fields. A completed qualifying G6 audit records PASS only when both required populations are non-empty, both ratios equal 1.000 and every required aud</w:t>
      </w:r>
      <w:r>
        <w:t xml:space="preserve">it and review condition is complete. A completed evaluable audit of both non-empty required populations records FAIL if either contains an incomplete chain; the affected release remains on HOLD unless the release scope is validly changed and audited again.</w:t>
      </w:r>
      <w:r/>
    </w:p>
    <w:p>
      <w:pPr>
        <w:pStyle w:val="1083"/>
        <w:pBdr/>
        <w:spacing/>
        <w:ind/>
        <w:rPr/>
      </w:pPr>
      <w:r>
        <w:t xml:space="preserve">A zero denominator is an empty evaluation scope, not a ratio of 1.000 or evidence of PASS. Where e</w:t>
      </w:r>
      <w:r>
        <w:t xml:space="preserve">ither required population is empty, or the required audit has not been completed, evaluation is PENDING; report the counts and known defects separately. Unavailable evidence cannot be relabeled as not applicable, and the two populations must not be merged.</w:t>
      </w:r>
      <w:r/>
    </w:p>
    <w:p>
      <w:pPr>
        <w:pStyle w:val="1083"/>
        <w:pBdr/>
        <w:spacing/>
        <w:ind/>
        <w:rPr/>
      </w:pPr>
      <w:r>
        <w:t xml:space="preserve">NOT_APPLICABLE is permitted only when an explicit gov</w:t>
      </w:r>
      <w:r>
        <w:t xml:space="preserve">erned release-scope decision under §13 establishes that G6 itself is not required for that use. An empty population alone cannot establish that decision. The Atlas manuscript and its thesis-bearing public evidence release retain both required populations a</w:t>
      </w:r>
      <w:r>
        <w:t xml:space="preserve">nd both 1.000 requirements; neither population may be waived by a formatting, omission or scope-label shortcut. Any changed release scope identifies the excluded treatment and requires its own applicable audit; exclusion does not certify the missing chain.</w:t>
      </w:r>
      <w:r/>
    </w:p>
    <w:p>
      <w:pPr>
        <w:pStyle w:val="924"/>
        <w:keepNext w:val="true"/>
        <w:keepLines w:val="true"/>
        <w:pBdr/>
        <w:spacing/>
        <w:ind/>
        <w:rPr/>
      </w:pPr>
      <w:r/>
      <w:bookmarkStart w:id="163" w:name="gate_g7"/>
      <w:r>
        <w:t xml:space="preserve">C3.7 G7 — Production regeneration</w:t>
      </w:r>
      <w:bookmarkEnd w:id="163"/>
      <w:r/>
      <w:r/>
    </w:p>
    <w:p>
      <w:pPr>
        <w:pStyle w:val="1086"/>
        <w:keepNext w:val="true"/>
        <w:keepLines w:val="true"/>
        <w:pBdr/>
        <w:spacing/>
        <w:ind/>
        <w:rPr/>
      </w:pPr>
      <w:r/>
      <w:bookmarkStart w:id="164" w:name="tbl_g7_views"/>
      <w:r>
        <w:t xml:space="preserve">Governing — Required Generated Evidence Views</w:t>
      </w:r>
      <w:bookmarkEnd w:id="164"/>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3287"/>
        <w:gridCol w:w="6719"/>
      </w:tblGrid>
      <w:tr>
        <w:trPr>
          <w:cantSplit/>
          <w:tblHeader/>
        </w:trPr>
        <w:tc>
          <w:tcPr>
            <w:shd w:val="clear" w:color="auto" w:fill="1f5d7a"/>
            <w:tcBorders/>
            <w:tcMar>
              <w:left w:w="55" w:type="dxa"/>
              <w:top w:w="45" w:type="dxa"/>
              <w:right w:w="55" w:type="dxa"/>
              <w:bottom w:w="45" w:type="dxa"/>
            </w:tcMar>
            <w:tcW w:w="3287" w:type="dxa"/>
            <w:vAlign w:val="top"/>
          </w:tcPr>
          <w:p>
            <w:pPr>
              <w:pStyle w:val="1090"/>
              <w:pBdr/>
              <w:spacing/>
              <w:ind/>
              <w:rPr/>
            </w:pPr>
            <w:r>
              <w:t xml:space="preserve">View</w:t>
            </w:r>
            <w:r/>
          </w:p>
        </w:tc>
        <w:tc>
          <w:tcPr>
            <w:shd w:val="clear" w:color="auto" w:fill="1f5d7a"/>
            <w:tcBorders/>
            <w:tcMar>
              <w:left w:w="55" w:type="dxa"/>
              <w:top w:w="45" w:type="dxa"/>
              <w:right w:w="55" w:type="dxa"/>
              <w:bottom w:w="45" w:type="dxa"/>
            </w:tcMar>
            <w:tcW w:w="6719" w:type="dxa"/>
            <w:vAlign w:val="top"/>
          </w:tcPr>
          <w:p>
            <w:pPr>
              <w:pStyle w:val="1090"/>
              <w:pBdr/>
              <w:spacing/>
              <w:ind/>
              <w:rPr/>
            </w:pPr>
            <w:r>
              <w:t xml:space="preserve">Minimum content</w:t>
            </w:r>
            <w:r/>
          </w:p>
        </w:tc>
      </w:tr>
      <w:tr>
        <w:trPr>
          <w:cantSplit/>
        </w:trPr>
        <w:tc>
          <w:tcPr>
            <w:shd w:val="clear" w:color="auto" w:fill="ffffff"/>
            <w:tcBorders/>
            <w:tcMar>
              <w:left w:w="55" w:type="dxa"/>
              <w:top w:w="45" w:type="dxa"/>
              <w:right w:w="55" w:type="dxa"/>
              <w:bottom w:w="45" w:type="dxa"/>
            </w:tcMar>
            <w:tcW w:w="3287" w:type="dxa"/>
            <w:vAlign w:val="top"/>
          </w:tcPr>
          <w:p>
            <w:pPr>
              <w:pStyle w:val="1089"/>
              <w:pBdr/>
              <w:spacing/>
              <w:ind/>
              <w:rPr/>
            </w:pPr>
            <w:r>
              <w:t xml:space="preserve">GV-01 Position profile</w:t>
            </w:r>
            <w:r/>
          </w:p>
        </w:tc>
        <w:tc>
          <w:tcPr>
            <w:shd w:val="clear" w:color="auto" w:fill="ffffff"/>
            <w:tcBorders/>
            <w:tcMar>
              <w:left w:w="55" w:type="dxa"/>
              <w:top w:w="45" w:type="dxa"/>
              <w:right w:w="55" w:type="dxa"/>
              <w:bottom w:w="45" w:type="dxa"/>
            </w:tcMar>
            <w:tcW w:w="6719" w:type="dxa"/>
            <w:vAlign w:val="top"/>
          </w:tcPr>
          <w:p>
            <w:pPr>
              <w:pStyle w:val="1089"/>
              <w:pBdr/>
              <w:spacing/>
              <w:ind/>
              <w:rPr/>
            </w:pPr>
            <w:r>
              <w:t xml:space="preserve">Bounded label/scope, emic orientation, D1-D15 summaries, key concepts, sources and RepresentationReadiness components.</w:t>
            </w:r>
            <w:r/>
          </w:p>
        </w:tc>
      </w:tr>
      <w:tr>
        <w:trPr>
          <w:cantSplit/>
        </w:trPr>
        <w:tc>
          <w:tcPr>
            <w:shd w:val="clear" w:color="auto" w:fill="f4f6f7"/>
            <w:tcBorders/>
            <w:tcMar>
              <w:left w:w="55" w:type="dxa"/>
              <w:top w:w="45" w:type="dxa"/>
              <w:right w:w="55" w:type="dxa"/>
              <w:bottom w:w="45" w:type="dxa"/>
            </w:tcMar>
            <w:tcW w:w="3287" w:type="dxa"/>
            <w:vAlign w:val="top"/>
          </w:tcPr>
          <w:p>
            <w:pPr>
              <w:pStyle w:val="1089"/>
              <w:pBdr/>
              <w:spacing/>
              <w:ind/>
              <w:rPr/>
            </w:pPr>
            <w:r>
              <w:t xml:space="preserve">GV-02 D1-D15 matrix</w:t>
            </w:r>
            <w:r/>
          </w:p>
        </w:tc>
        <w:tc>
          <w:tcPr>
            <w:shd w:val="clear" w:color="auto" w:fill="f4f6f7"/>
            <w:tcBorders/>
            <w:tcMar>
              <w:left w:w="55" w:type="dxa"/>
              <w:top w:w="45" w:type="dxa"/>
              <w:right w:w="55" w:type="dxa"/>
              <w:bottom w:w="45" w:type="dxa"/>
            </w:tcMar>
            <w:tcW w:w="6719" w:type="dxa"/>
            <w:vAlign w:val="top"/>
          </w:tcPr>
          <w:p>
            <w:pPr>
              <w:pStyle w:val="1089"/>
              <w:pBdr/>
              <w:spacing/>
              <w:ind/>
              <w:rPr/>
            </w:pPr>
            <w:r>
              <w:t xml:space="preserve">Selected release-candidate Positions x 15 questions with one primary state and CAT modifiers.</w:t>
            </w:r>
            <w:r/>
          </w:p>
        </w:tc>
      </w:tr>
      <w:tr>
        <w:trPr>
          <w:cantSplit/>
        </w:trPr>
        <w:tc>
          <w:tcPr>
            <w:shd w:val="clear" w:color="auto" w:fill="ffffff"/>
            <w:tcBorders/>
            <w:tcMar>
              <w:left w:w="55" w:type="dxa"/>
              <w:top w:w="45" w:type="dxa"/>
              <w:right w:w="55" w:type="dxa"/>
              <w:bottom w:w="45" w:type="dxa"/>
            </w:tcMar>
            <w:tcW w:w="3287" w:type="dxa"/>
            <w:vAlign w:val="top"/>
          </w:tcPr>
          <w:p>
            <w:pPr>
              <w:pStyle w:val="1089"/>
              <w:pBdr/>
              <w:spacing/>
              <w:ind/>
              <w:rPr/>
            </w:pPr>
            <w:r>
              <w:t xml:space="preserve">GV-03 Claim/evidence view</w:t>
            </w:r>
            <w:r/>
          </w:p>
        </w:tc>
        <w:tc>
          <w:tcPr>
            <w:shd w:val="clear" w:color="auto" w:fill="ffffff"/>
            <w:tcBorders/>
            <w:tcMar>
              <w:left w:w="55" w:type="dxa"/>
              <w:top w:w="45" w:type="dxa"/>
              <w:right w:w="55" w:type="dxa"/>
              <w:bottom w:w="45" w:type="dxa"/>
            </w:tcMar>
            <w:tcW w:w="6719" w:type="dxa"/>
            <w:vAlign w:val="top"/>
          </w:tcPr>
          <w:p>
            <w:pPr>
              <w:pStyle w:val="1089"/>
              <w:pBdr/>
              <w:spacing/>
              <w:ind/>
              <w:rPr/>
            </w:pPr>
            <w:r>
              <w:t xml:space="preserve">Atomic claims with attachment, function, origin, evidence links, locators, confidence and review.</w:t>
            </w:r>
            <w:r/>
          </w:p>
        </w:tc>
      </w:tr>
      <w:tr>
        <w:trPr>
          <w:cantSplit/>
        </w:trPr>
        <w:tc>
          <w:tcPr>
            <w:shd w:val="clear" w:color="auto" w:fill="f4f6f7"/>
            <w:tcBorders/>
            <w:tcMar>
              <w:left w:w="55" w:type="dxa"/>
              <w:top w:w="45" w:type="dxa"/>
              <w:right w:w="55" w:type="dxa"/>
              <w:bottom w:w="45" w:type="dxa"/>
            </w:tcMar>
            <w:tcW w:w="3287" w:type="dxa"/>
            <w:vAlign w:val="top"/>
          </w:tcPr>
          <w:p>
            <w:pPr>
              <w:pStyle w:val="1089"/>
              <w:pBdr/>
              <w:spacing/>
              <w:ind/>
              <w:rPr/>
            </w:pPr>
            <w:r>
              <w:t xml:space="preserve">GV-04 Comparison matrix</w:t>
            </w:r>
            <w:r/>
          </w:p>
        </w:tc>
        <w:tc>
          <w:tcPr>
            <w:shd w:val="clear" w:color="auto" w:fill="f4f6f7"/>
            <w:tcBorders/>
            <w:tcMar>
              <w:left w:w="55" w:type="dxa"/>
              <w:top w:w="45" w:type="dxa"/>
              <w:right w:w="55" w:type="dxa"/>
              <w:bottom w:w="45" w:type="dxa"/>
            </w:tcMar>
            <w:tcW w:w="6719" w:type="dxa"/>
            <w:vAlign w:val="top"/>
          </w:tcPr>
          <w:p>
            <w:pPr>
              <w:pStyle w:val="1089"/>
              <w:pBdr/>
              <w:spacing/>
              <w:ind/>
              <w:rPr/>
            </w:pPr>
            <w:r>
              <w:t xml:space="preserve">Selected tertia and relation stacks with exact claim pairs, dimensions, scopes, disanalogy links, tertium validity and coherence result.</w:t>
            </w:r>
            <w:r/>
          </w:p>
        </w:tc>
      </w:tr>
      <w:tr>
        <w:trPr>
          <w:cantSplit/>
        </w:trPr>
        <w:tc>
          <w:tcPr>
            <w:shd w:val="clear" w:color="auto" w:fill="ffffff"/>
            <w:tcBorders/>
            <w:tcMar>
              <w:left w:w="55" w:type="dxa"/>
              <w:top w:w="45" w:type="dxa"/>
              <w:right w:w="55" w:type="dxa"/>
              <w:bottom w:w="45" w:type="dxa"/>
            </w:tcMar>
            <w:tcW w:w="3287" w:type="dxa"/>
            <w:vAlign w:val="top"/>
          </w:tcPr>
          <w:p>
            <w:pPr>
              <w:pStyle w:val="1089"/>
              <w:pBdr/>
              <w:spacing/>
              <w:ind/>
              <w:rPr/>
            </w:pPr>
            <w:r>
              <w:t xml:space="preserve">GV-05 Provenance trace</w:t>
            </w:r>
            <w:r/>
          </w:p>
        </w:tc>
        <w:tc>
          <w:tcPr>
            <w:shd w:val="clear" w:color="auto" w:fill="ffffff"/>
            <w:tcBorders/>
            <w:tcMar>
              <w:left w:w="55" w:type="dxa"/>
              <w:top w:w="45" w:type="dxa"/>
              <w:right w:w="55" w:type="dxa"/>
              <w:bottom w:w="45" w:type="dxa"/>
            </w:tcMar>
            <w:tcW w:w="6719" w:type="dxa"/>
            <w:vAlign w:val="top"/>
          </w:tcPr>
          <w:p>
            <w:pPr>
              <w:pStyle w:val="1089"/>
              <w:pBdr/>
              <w:spacing/>
              <w:ind/>
              <w:rPr/>
            </w:pPr>
            <w:r>
              <w:t xml:space="preserve">Claim -&gt; EvidenceLink -&gt; SourceRecord/SourceInstance -&gt; artifact/locator -&gt; review/version. Instance paths resolve source_instance_id, source_ids, instance_scope and the cited review_version contract in Annex B §B2.6.</w:t>
            </w:r>
            <w:r/>
          </w:p>
        </w:tc>
      </w:tr>
      <w:tr>
        <w:trPr>
          <w:cantSplit/>
        </w:trPr>
        <w:tc>
          <w:tcPr>
            <w:shd w:val="clear" w:color="auto" w:fill="f4f6f7"/>
            <w:tcBorders/>
            <w:tcMar>
              <w:left w:w="55" w:type="dxa"/>
              <w:top w:w="45" w:type="dxa"/>
              <w:right w:w="55" w:type="dxa"/>
              <w:bottom w:w="45" w:type="dxa"/>
            </w:tcMar>
            <w:tcW w:w="3287" w:type="dxa"/>
            <w:vAlign w:val="top"/>
          </w:tcPr>
          <w:p>
            <w:pPr>
              <w:pStyle w:val="1089"/>
              <w:pBdr/>
              <w:spacing/>
              <w:ind/>
              <w:rPr/>
            </w:pPr>
            <w:r>
              <w:t xml:space="preserve">GV-06 Relation output</w:t>
            </w:r>
            <w:r/>
          </w:p>
        </w:tc>
        <w:tc>
          <w:tcPr>
            <w:shd w:val="clear" w:color="auto" w:fill="f4f6f7"/>
            <w:tcBorders/>
            <w:tcMar>
              <w:left w:w="55" w:type="dxa"/>
              <w:top w:w="45" w:type="dxa"/>
              <w:right w:w="55" w:type="dxa"/>
              <w:bottom w:w="45" w:type="dxa"/>
            </w:tcMar>
            <w:tcW w:w="6719" w:type="dxa"/>
            <w:vAlign w:val="top"/>
          </w:tcPr>
          <w:p>
            <w:pPr>
              <w:pStyle w:val="1089"/>
              <w:pBdr/>
              <w:spacing/>
              <w:ind/>
              <w:rPr/>
            </w:pPr>
            <w:r>
              <w:t xml:space="preserve">ComparisonEvent plus all ComparativeRelation records, genealogy/independence and OEQ burden.</w:t>
            </w:r>
            <w:r/>
          </w:p>
        </w:tc>
      </w:tr>
      <w:tr>
        <w:trPr>
          <w:cantSplit/>
        </w:trPr>
        <w:tc>
          <w:tcPr>
            <w:shd w:val="clear" w:color="auto" w:fill="ffffff"/>
            <w:tcBorders/>
            <w:tcMar>
              <w:left w:w="55" w:type="dxa"/>
              <w:top w:w="45" w:type="dxa"/>
              <w:right w:w="55" w:type="dxa"/>
              <w:bottom w:w="45" w:type="dxa"/>
            </w:tcMar>
            <w:tcW w:w="3287" w:type="dxa"/>
            <w:vAlign w:val="top"/>
          </w:tcPr>
          <w:p>
            <w:pPr>
              <w:pStyle w:val="1089"/>
              <w:pBdr/>
              <w:spacing/>
              <w:ind/>
              <w:rPr/>
            </w:pPr>
            <w:r>
              <w:t xml:space="preserve">GV-07 Synthesis and publication-claim view</w:t>
            </w:r>
            <w:r/>
          </w:p>
        </w:tc>
        <w:tc>
          <w:tcPr>
            <w:shd w:val="clear" w:color="auto" w:fill="ffffff"/>
            <w:tcBorders/>
            <w:tcMar>
              <w:left w:w="55" w:type="dxa"/>
              <w:top w:w="45" w:type="dxa"/>
              <w:right w:w="55" w:type="dxa"/>
              <w:bottom w:w="45" w:type="dxa"/>
            </w:tcMar>
            <w:tcW w:w="6719" w:type="dxa"/>
            <w:vAlign w:val="top"/>
          </w:tcPr>
          <w:p>
            <w:pPr>
              <w:pStyle w:val="1089"/>
              <w:pBdr/>
              <w:spacing/>
              <w:ind/>
              <w:rPr/>
            </w:pPr>
            <w:r>
              <w:t xml:space="preserve">Synthesis level/maturity and every release-candidate PublicationClaim with premise chain, scope, defeaters and prohibited stronger reading.</w:t>
            </w:r>
            <w:r/>
          </w:p>
        </w:tc>
      </w:tr>
      <w:tr>
        <w:trPr>
          <w:cantSplit/>
        </w:trPr>
        <w:tc>
          <w:tcPr>
            <w:shd w:val="clear" w:color="auto" w:fill="f4f6f7"/>
            <w:tcBorders/>
            <w:tcMar>
              <w:left w:w="55" w:type="dxa"/>
              <w:top w:w="45" w:type="dxa"/>
              <w:right w:w="55" w:type="dxa"/>
              <w:bottom w:w="45" w:type="dxa"/>
            </w:tcMar>
            <w:tcW w:w="3287" w:type="dxa"/>
            <w:vAlign w:val="top"/>
          </w:tcPr>
          <w:p>
            <w:pPr>
              <w:pStyle w:val="1089"/>
              <w:pBdr/>
              <w:spacing/>
              <w:ind/>
              <w:rPr/>
            </w:pPr>
            <w:r>
              <w:t xml:space="preserve">GV-08 Gate dashboard</w:t>
            </w:r>
            <w:r/>
          </w:p>
        </w:tc>
        <w:tc>
          <w:tcPr>
            <w:shd w:val="clear" w:color="auto" w:fill="f4f6f7"/>
            <w:tcBorders/>
            <w:tcMar>
              <w:left w:w="55" w:type="dxa"/>
              <w:top w:w="45" w:type="dxa"/>
              <w:right w:w="55" w:type="dxa"/>
              <w:bottom w:w="45" w:type="dxa"/>
            </w:tcMar>
            <w:tcW w:w="6719" w:type="dxa"/>
            <w:vAlign w:val="top"/>
          </w:tcPr>
          <w:p>
            <w:pPr>
              <w:pStyle w:val="1089"/>
              <w:pBdr/>
              <w:spacing/>
              <w:ind/>
              <w:rPr/>
            </w:pPr>
            <w:r>
              <w:t xml:space="preserve">Evidence-derived G1-G8 GateRuns with verdict and evidence maturity separately linked to proof artifacts.</w:t>
            </w:r>
            <w:r/>
          </w:p>
        </w:tc>
      </w:tr>
    </w:tbl>
    <w:p>
      <w:pPr>
        <w:pStyle w:val="1097"/>
        <w:pBdr/>
        <w:spacing/>
        <w:ind/>
        <w:rPr/>
      </w:pPr>
      <w:r/>
      <w:r/>
    </w:p>
    <w:p>
      <w:pPr>
        <w:pStyle w:val="1085"/>
        <w:keepLines w:val="false"/>
        <w:pBdr/>
        <w:spacing/>
        <w:ind/>
        <w:rPr/>
      </w:pPr>
      <w:r>
        <w:t xml:space="preserve">1. Freeze canonical build A and record its ID and dataset hash.</w:t>
      </w:r>
      <w:r/>
    </w:p>
    <w:p>
      <w:pPr>
        <w:pStyle w:val="1085"/>
        <w:keepLines w:val="false"/>
        <w:pBdr/>
        <w:spacing/>
        <w:ind/>
        <w:rPr/>
      </w:pPr>
      <w:r>
        <w:t xml:space="preserve">2. Generate GV-01–GV-08 using versioned queries or scripts; record schema and vocabulary versions, query or generation version and output hashes.</w:t>
      </w:r>
      <w:r/>
    </w:p>
    <w:p>
      <w:pPr>
        <w:pStyle w:val="1085"/>
        <w:keepLines w:val="false"/>
        <w:pBdr/>
        <w:spacing/>
        <w:ind/>
        <w:rPr/>
      </w:pPr>
      <w:r>
        <w:t xml:space="preserve">3. Have a human reviewer confirm that no factual content or thesis-bearing inference was manually re-authored into generated views.</w:t>
      </w:r>
      <w:r/>
    </w:p>
    <w:p>
      <w:pPr>
        <w:pStyle w:val="1085"/>
        <w:keepLines w:val="false"/>
        <w:pBdr/>
        <w:spacing/>
        <w:ind/>
        <w:rPr/>
      </w:pPr>
      <w:r>
        <w:t xml:space="preserve">4. Make one controlled canonical change and freeze build B.</w:t>
      </w:r>
      <w:r/>
    </w:p>
    <w:p>
      <w:pPr>
        <w:pStyle w:val="1085"/>
        <w:keepLines w:val="false"/>
        <w:pBdr/>
        <w:spacing/>
        <w:ind/>
        <w:rPr/>
      </w:pPr>
      <w:r>
        <w:t xml:space="preserve">5. Regenerate all affected views without editing view files; confirm expected downstream differences and unchanged unrelated views.</w:t>
      </w:r>
      <w:r/>
    </w:p>
    <w:p>
      <w:pPr>
        <w:pStyle w:val="1085"/>
        <w:keepLines w:val="false"/>
        <w:pBdr/>
        <w:spacing/>
        <w:ind/>
        <w:rPr/>
      </w:pPr>
      <w:r>
        <w:t xml:space="preserve">6. Resolve every displayed claim, status, relation, synthesis and PublicationClaim to canonical IDs and archive manifests and logs.</w:t>
      </w:r>
      <w:r/>
    </w:p>
    <w:p>
      <w:pPr>
        <w:pStyle w:val="1085"/>
        <w:keepLines w:val="false"/>
        <w:pBdr/>
        <w:spacing/>
        <w:ind/>
        <w:rPr/>
      </w:pPr>
      <w:r>
        <w:t xml:space="preserve">7. Confirm that the Public Digital Atlas exposes only release-authorized records and views.</w:t>
      </w:r>
      <w:r/>
    </w:p>
    <w:p>
      <w:pPr>
        <w:pStyle w:val="924"/>
        <w:keepNext w:val="true"/>
        <w:keepLines w:val="true"/>
        <w:pBdr/>
        <w:spacing/>
        <w:ind/>
        <w:rPr/>
      </w:pPr>
      <w:r/>
      <w:bookmarkStart w:id="165" w:name="gate_g8"/>
      <w:r>
        <w:t xml:space="preserve">C3.8 G8 — Novelty refresh</w:t>
      </w:r>
      <w:bookmarkEnd w:id="165"/>
      <w:r/>
      <w:r/>
    </w:p>
    <w:p>
      <w:pPr>
        <w:pStyle w:val="1083"/>
        <w:keepLines w:val="false"/>
        <w:pBdr/>
        <w:spacing/>
        <w:ind/>
        <w:rPr/>
      </w:pPr>
      <w:r>
        <w:t xml:space="preserve">G8 requires a dated scoped originality and precedent review. Before any later public originality or priority language, </w:t>
      </w:r>
      <w:r>
        <w:t xml:space="preserve">rerun the landscape against current comparative-method, structured-database, ontology or knowledge-graph, computational-philosophy, philosophy-as-way-of-life, transformative-philosophy, epistemic or knower-transformation, contemplative or participatory kno</w:t>
      </w:r>
      <w:r>
        <w:t xml:space="preserve">wing, embodied or situated knowing, self-cultivation and ontology–epistemology–praxis research. The review must test whether the proposed integration of bounded ontology, epistemic access, diagnosis, transformative praxis, negative states, provenance, disa</w:t>
      </w:r>
      <w:r>
        <w:t xml:space="preserve">nalogy, genealogy and gated synthesis has a close precedent, including universalizing integrative frameworks that the Atlas expressly refuses. A stale novelty review constrains positioning language; it does not alter D1–D15 or the publication architecture.</w:t>
      </w:r>
      <w:r/>
    </w:p>
    <w:p>
      <w:pPr>
        <w:pStyle w:val="923"/>
        <w:keepNext w:val="true"/>
        <w:keepLines w:val="true"/>
        <w:pBdr/>
        <w:spacing/>
        <w:ind/>
        <w:rPr/>
      </w:pPr>
      <w:r/>
      <w:bookmarkStart w:id="166" w:name="annex_c4_templates"/>
      <w:r>
        <w:t xml:space="preserve">C4. Gate evidence and authorization templates</w:t>
      </w:r>
      <w:bookmarkEnd w:id="166"/>
      <w:r/>
      <w:r/>
    </w:p>
    <w:p>
      <w:pPr>
        <w:pStyle w:val="1086"/>
        <w:keepNext w:val="true"/>
        <w:keepLines w:val="true"/>
        <w:pBdr/>
        <w:spacing/>
        <w:ind/>
        <w:rPr/>
      </w:pPr>
      <w:r/>
      <w:bookmarkStart w:id="167" w:name="tbl_gate_evidence_template"/>
      <w:r>
        <w:t xml:space="preserve">Template — Gate evidence register</w:t>
      </w:r>
      <w:bookmarkEnd w:id="167"/>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949"/>
        <w:gridCol w:w="5477"/>
        <w:gridCol w:w="2118"/>
        <w:gridCol w:w="1460"/>
      </w:tblGrid>
      <w:tr>
        <w:trPr>
          <w:cantSplit/>
          <w:tblHeader/>
        </w:trPr>
        <w:tc>
          <w:tcPr>
            <w:shd w:val="clear" w:color="auto" w:fill="1f5d7a"/>
            <w:tcBorders/>
            <w:tcMar>
              <w:left w:w="55" w:type="dxa"/>
              <w:top w:w="45" w:type="dxa"/>
              <w:right w:w="55" w:type="dxa"/>
              <w:bottom w:w="45" w:type="dxa"/>
            </w:tcMar>
            <w:tcW w:w="949" w:type="dxa"/>
            <w:vAlign w:val="top"/>
          </w:tcPr>
          <w:p>
            <w:pPr>
              <w:pStyle w:val="1090"/>
              <w:pBdr/>
              <w:spacing/>
              <w:ind/>
              <w:rPr/>
            </w:pPr>
            <w:r>
              <w:t xml:space="preserve">Gate</w:t>
            </w:r>
            <w:r/>
          </w:p>
        </w:tc>
        <w:tc>
          <w:tcPr>
            <w:shd w:val="clear" w:color="auto" w:fill="1f5d7a"/>
            <w:tcBorders/>
            <w:tcMar>
              <w:left w:w="55" w:type="dxa"/>
              <w:top w:w="45" w:type="dxa"/>
              <w:right w:w="55" w:type="dxa"/>
              <w:bottom w:w="45" w:type="dxa"/>
            </w:tcMar>
            <w:tcW w:w="5477" w:type="dxa"/>
            <w:vAlign w:val="top"/>
          </w:tcPr>
          <w:p>
            <w:pPr>
              <w:pStyle w:val="1090"/>
              <w:pBdr/>
              <w:spacing/>
              <w:ind/>
              <w:rPr/>
            </w:pPr>
            <w:r>
              <w:t xml:space="preserve">Acceptance evidence</w:t>
            </w:r>
            <w:r/>
          </w:p>
        </w:tc>
        <w:tc>
          <w:tcPr>
            <w:shd w:val="clear" w:color="auto" w:fill="1f5d7a"/>
            <w:tcBorders/>
            <w:tcMar>
              <w:left w:w="55" w:type="dxa"/>
              <w:top w:w="45" w:type="dxa"/>
              <w:right w:w="55" w:type="dxa"/>
              <w:bottom w:w="45" w:type="dxa"/>
            </w:tcMar>
            <w:tcW w:w="2118" w:type="dxa"/>
            <w:vAlign w:val="top"/>
          </w:tcPr>
          <w:p>
            <w:pPr>
              <w:pStyle w:val="1090"/>
              <w:pBdr/>
              <w:spacing/>
              <w:ind/>
              <w:rPr/>
            </w:pPr>
            <w:r>
              <w:t xml:space="preserve">Evidence IDs / notes</w:t>
            </w:r>
            <w:r/>
          </w:p>
        </w:tc>
        <w:tc>
          <w:tcPr>
            <w:shd w:val="clear" w:color="auto" w:fill="1f5d7a"/>
            <w:tcBorders/>
            <w:tcMar>
              <w:left w:w="55" w:type="dxa"/>
              <w:top w:w="45" w:type="dxa"/>
              <w:right w:w="55" w:type="dxa"/>
              <w:bottom w:w="45" w:type="dxa"/>
            </w:tcMar>
            <w:tcW w:w="1460" w:type="dxa"/>
            <w:vAlign w:val="top"/>
          </w:tcPr>
          <w:p>
            <w:pPr>
              <w:pStyle w:val="1090"/>
              <w:pBdr/>
              <w:spacing/>
              <w:ind/>
              <w:rPr/>
            </w:pPr>
            <w:r>
              <w:t xml:space="preserve">Run date / owner</w:t>
            </w:r>
            <w:r/>
          </w:p>
        </w:tc>
      </w:tr>
      <w:tr>
        <w:trPr>
          <w:cantSplit/>
        </w:trPr>
        <w:tc>
          <w:tcPr>
            <w:shd w:val="clear" w:color="auto" w:fill="ffffff"/>
            <w:tcBorders/>
            <w:tcMar>
              <w:left w:w="55" w:type="dxa"/>
              <w:top w:w="45" w:type="dxa"/>
              <w:right w:w="55" w:type="dxa"/>
              <w:bottom w:w="45" w:type="dxa"/>
            </w:tcMar>
            <w:tcW w:w="949" w:type="dxa"/>
            <w:vAlign w:val="top"/>
          </w:tcPr>
          <w:p>
            <w:pPr>
              <w:pStyle w:val="1089"/>
              <w:pBdr/>
              <w:spacing/>
              <w:ind/>
              <w:rPr/>
            </w:pPr>
            <w:r>
              <w:t xml:space="preserve">G1</w:t>
            </w:r>
            <w:r/>
          </w:p>
        </w:tc>
        <w:tc>
          <w:tcPr>
            <w:shd w:val="clear" w:color="auto" w:fill="ffffff"/>
            <w:tcBorders/>
            <w:tcMar>
              <w:left w:w="55" w:type="dxa"/>
              <w:top w:w="45" w:type="dxa"/>
              <w:right w:w="55" w:type="dxa"/>
              <w:bottom w:w="45" w:type="dxa"/>
            </w:tcMar>
            <w:tcW w:w="5477" w:type="dxa"/>
            <w:vAlign w:val="top"/>
          </w:tcPr>
          <w:p>
            <w:pPr>
              <w:pStyle w:val="1089"/>
              <w:pBdr/>
              <w:spacing/>
              <w:ind/>
              <w:rPr/>
            </w:pPr>
            <w:r>
              <w:t xml:space="preserve">Current-version defect log reviewed; no repeated core structural failure under current governed semantics.</w:t>
            </w:r>
            <w:r/>
          </w:p>
        </w:tc>
        <w:tc>
          <w:tcPr>
            <w:shd w:val="clear" w:color="auto" w:fill="ffffff"/>
            <w:tcBorders/>
            <w:tcMar>
              <w:left w:w="55" w:type="dxa"/>
              <w:top w:w="45" w:type="dxa"/>
              <w:right w:w="55" w:type="dxa"/>
              <w:bottom w:w="45" w:type="dxa"/>
            </w:tcMar>
            <w:tcW w:w="2118" w:type="dxa"/>
            <w:vAlign w:val="top"/>
          </w:tcPr>
          <w:p>
            <w:pPr>
              <w:pStyle w:val="1089"/>
              <w:pBdr/>
              <w:spacing/>
              <w:ind/>
              <w:rPr/>
            </w:pPr>
            <w:r/>
            <w:r/>
          </w:p>
        </w:tc>
        <w:tc>
          <w:tcPr>
            <w:shd w:val="clear" w:color="auto" w:fill="ffffff"/>
            <w:tcBorders/>
            <w:tcMar>
              <w:left w:w="55" w:type="dxa"/>
              <w:top w:w="45" w:type="dxa"/>
              <w:right w:w="55" w:type="dxa"/>
              <w:bottom w:w="45" w:type="dxa"/>
            </w:tcMar>
            <w:tcW w:w="1460" w:type="dxa"/>
            <w:vAlign w:val="top"/>
          </w:tcPr>
          <w:p>
            <w:pPr>
              <w:pStyle w:val="1089"/>
              <w:pBdr/>
              <w:spacing/>
              <w:ind/>
              <w:rPr/>
            </w:pPr>
            <w:r/>
            <w:r/>
          </w:p>
        </w:tc>
      </w:tr>
      <w:tr>
        <w:trPr>
          <w:cantSplit/>
        </w:trPr>
        <w:tc>
          <w:tcPr>
            <w:shd w:val="clear" w:color="auto" w:fill="f4f6f7"/>
            <w:tcBorders/>
            <w:tcMar>
              <w:left w:w="55" w:type="dxa"/>
              <w:top w:w="45" w:type="dxa"/>
              <w:right w:w="55" w:type="dxa"/>
              <w:bottom w:w="45" w:type="dxa"/>
            </w:tcMar>
            <w:tcW w:w="949" w:type="dxa"/>
            <w:vAlign w:val="top"/>
          </w:tcPr>
          <w:p>
            <w:pPr>
              <w:pStyle w:val="1089"/>
              <w:pBdr/>
              <w:spacing/>
              <w:ind/>
              <w:rPr/>
            </w:pPr>
            <w:r>
              <w:t xml:space="preserve">G2</w:t>
            </w:r>
            <w:r/>
          </w:p>
        </w:tc>
        <w:tc>
          <w:tcPr>
            <w:shd w:val="clear" w:color="auto" w:fill="f4f6f7"/>
            <w:tcBorders/>
            <w:tcMar>
              <w:left w:w="55" w:type="dxa"/>
              <w:top w:w="45" w:type="dxa"/>
              <w:right w:w="55" w:type="dxa"/>
              <w:bottom w:w="45" w:type="dxa"/>
            </w:tcMar>
            <w:tcW w:w="5477" w:type="dxa"/>
            <w:vAlign w:val="top"/>
          </w:tcPr>
          <w:p>
            <w:pPr>
              <w:pStyle w:val="1089"/>
              <w:pBdr/>
              <w:spacing/>
              <w:ind/>
              <w:rPr/>
            </w:pPr>
            <w:r>
              <w:t xml:space="preserve">Blind all-state packet + eight-state reliability + CAT reliability + confusion tables + coder independence declarations.</w:t>
            </w:r>
            <w:r/>
          </w:p>
        </w:tc>
        <w:tc>
          <w:tcPr>
            <w:shd w:val="clear" w:color="auto" w:fill="f4f6f7"/>
            <w:tcBorders/>
            <w:tcMar>
              <w:left w:w="55" w:type="dxa"/>
              <w:top w:w="45" w:type="dxa"/>
              <w:right w:w="55" w:type="dxa"/>
              <w:bottom w:w="45" w:type="dxa"/>
            </w:tcMar>
            <w:tcW w:w="2118" w:type="dxa"/>
            <w:vAlign w:val="top"/>
          </w:tcPr>
          <w:p>
            <w:pPr>
              <w:pStyle w:val="1089"/>
              <w:pBdr/>
              <w:spacing/>
              <w:ind/>
              <w:rPr/>
            </w:pPr>
            <w:r/>
            <w:r/>
          </w:p>
        </w:tc>
        <w:tc>
          <w:tcPr>
            <w:shd w:val="clear" w:color="auto" w:fill="f4f6f7"/>
            <w:tcBorders/>
            <w:tcMar>
              <w:left w:w="55" w:type="dxa"/>
              <w:top w:w="45" w:type="dxa"/>
              <w:right w:w="55" w:type="dxa"/>
              <w:bottom w:w="45" w:type="dxa"/>
            </w:tcMar>
            <w:tcW w:w="1460" w:type="dxa"/>
            <w:vAlign w:val="top"/>
          </w:tcPr>
          <w:p>
            <w:pPr>
              <w:pStyle w:val="1089"/>
              <w:pBdr/>
              <w:spacing/>
              <w:ind/>
              <w:rPr/>
            </w:pPr>
            <w:r/>
            <w:r/>
          </w:p>
        </w:tc>
      </w:tr>
      <w:tr>
        <w:trPr>
          <w:cantSplit/>
        </w:trPr>
        <w:tc>
          <w:tcPr>
            <w:shd w:val="clear" w:color="auto" w:fill="ffffff"/>
            <w:tcBorders/>
            <w:tcMar>
              <w:left w:w="55" w:type="dxa"/>
              <w:top w:w="45" w:type="dxa"/>
              <w:right w:w="55" w:type="dxa"/>
              <w:bottom w:w="45" w:type="dxa"/>
            </w:tcMar>
            <w:tcW w:w="949" w:type="dxa"/>
            <w:vAlign w:val="top"/>
          </w:tcPr>
          <w:p>
            <w:pPr>
              <w:pStyle w:val="1089"/>
              <w:pBdr/>
              <w:spacing/>
              <w:ind/>
              <w:rPr/>
            </w:pPr>
            <w:r>
              <w:t xml:space="preserve">G3</w:t>
            </w:r>
            <w:r/>
          </w:p>
        </w:tc>
        <w:tc>
          <w:tcPr>
            <w:shd w:val="clear" w:color="auto" w:fill="ffffff"/>
            <w:tcBorders/>
            <w:tcMar>
              <w:left w:w="55" w:type="dxa"/>
              <w:top w:w="45" w:type="dxa"/>
              <w:right w:w="55" w:type="dxa"/>
              <w:bottom w:w="45" w:type="dxa"/>
            </w:tcMar>
            <w:tcW w:w="5477" w:type="dxa"/>
            <w:vAlign w:val="top"/>
          </w:tcPr>
          <w:p>
            <w:pPr>
              <w:pStyle w:val="1089"/>
              <w:pBdr/>
              <w:spacing/>
              <w:ind/>
              <w:rPr/>
            </w:pPr>
            <w:r>
              <w:t xml:space="preserve">Blind full-taxonomy multi-label relation packet + scope/coherence results + disanalogy audit + OEQ safeguard review.</w:t>
            </w:r>
            <w:r/>
          </w:p>
        </w:tc>
        <w:tc>
          <w:tcPr>
            <w:shd w:val="clear" w:color="auto" w:fill="ffffff"/>
            <w:tcBorders/>
            <w:tcMar>
              <w:left w:w="55" w:type="dxa"/>
              <w:top w:w="45" w:type="dxa"/>
              <w:right w:w="55" w:type="dxa"/>
              <w:bottom w:w="45" w:type="dxa"/>
            </w:tcMar>
            <w:tcW w:w="2118" w:type="dxa"/>
            <w:vAlign w:val="top"/>
          </w:tcPr>
          <w:p>
            <w:pPr>
              <w:pStyle w:val="1089"/>
              <w:pBdr/>
              <w:spacing/>
              <w:ind/>
              <w:rPr/>
            </w:pPr>
            <w:r/>
            <w:r/>
          </w:p>
        </w:tc>
        <w:tc>
          <w:tcPr>
            <w:shd w:val="clear" w:color="auto" w:fill="ffffff"/>
            <w:tcBorders/>
            <w:tcMar>
              <w:left w:w="55" w:type="dxa"/>
              <w:top w:w="45" w:type="dxa"/>
              <w:right w:w="55" w:type="dxa"/>
              <w:bottom w:w="45" w:type="dxa"/>
            </w:tcMar>
            <w:tcW w:w="1460" w:type="dxa"/>
            <w:vAlign w:val="top"/>
          </w:tcPr>
          <w:p>
            <w:pPr>
              <w:pStyle w:val="1089"/>
              <w:pBdr/>
              <w:spacing/>
              <w:ind/>
              <w:rPr/>
            </w:pPr>
            <w:r/>
            <w:r/>
          </w:p>
        </w:tc>
      </w:tr>
      <w:tr>
        <w:trPr>
          <w:cantSplit/>
        </w:trPr>
        <w:tc>
          <w:tcPr>
            <w:shd w:val="clear" w:color="auto" w:fill="f4f6f7"/>
            <w:tcBorders/>
            <w:tcMar>
              <w:left w:w="55" w:type="dxa"/>
              <w:top w:w="45" w:type="dxa"/>
              <w:right w:w="55" w:type="dxa"/>
              <w:bottom w:w="45" w:type="dxa"/>
            </w:tcMar>
            <w:tcW w:w="949" w:type="dxa"/>
            <w:vAlign w:val="top"/>
          </w:tcPr>
          <w:p>
            <w:pPr>
              <w:pStyle w:val="1089"/>
              <w:pBdr/>
              <w:spacing/>
              <w:ind/>
              <w:rPr/>
            </w:pPr>
            <w:r>
              <w:t xml:space="preserve">G4</w:t>
            </w:r>
            <w:r/>
          </w:p>
        </w:tc>
        <w:tc>
          <w:tcPr>
            <w:shd w:val="clear" w:color="auto" w:fill="f4f6f7"/>
            <w:tcBorders/>
            <w:tcMar>
              <w:left w:w="55" w:type="dxa"/>
              <w:top w:w="45" w:type="dxa"/>
              <w:right w:w="55" w:type="dxa"/>
              <w:bottom w:w="45" w:type="dxa"/>
            </w:tcMar>
            <w:tcW w:w="5477" w:type="dxa"/>
            <w:vAlign w:val="top"/>
          </w:tcPr>
          <w:p>
            <w:pPr>
              <w:pStyle w:val="1089"/>
              <w:pBdr/>
              <w:spacing/>
              <w:ind/>
              <w:rPr/>
            </w:pPr>
            <w:r>
              <w:t xml:space="preserve">One complete oral/performance event/artifact provenance chain.</w:t>
            </w:r>
            <w:r/>
          </w:p>
        </w:tc>
        <w:tc>
          <w:tcPr>
            <w:shd w:val="clear" w:color="auto" w:fill="f4f6f7"/>
            <w:tcBorders/>
            <w:tcMar>
              <w:left w:w="55" w:type="dxa"/>
              <w:top w:w="45" w:type="dxa"/>
              <w:right w:w="55" w:type="dxa"/>
              <w:bottom w:w="45" w:type="dxa"/>
            </w:tcMar>
            <w:tcW w:w="2118" w:type="dxa"/>
            <w:vAlign w:val="top"/>
          </w:tcPr>
          <w:p>
            <w:pPr>
              <w:pStyle w:val="1089"/>
              <w:pBdr/>
              <w:spacing/>
              <w:ind/>
              <w:rPr/>
            </w:pPr>
            <w:r/>
            <w:r/>
          </w:p>
        </w:tc>
        <w:tc>
          <w:tcPr>
            <w:shd w:val="clear" w:color="auto" w:fill="f4f6f7"/>
            <w:tcBorders/>
            <w:tcMar>
              <w:left w:w="55" w:type="dxa"/>
              <w:top w:w="45" w:type="dxa"/>
              <w:right w:w="55" w:type="dxa"/>
              <w:bottom w:w="45" w:type="dxa"/>
            </w:tcMar>
            <w:tcW w:w="1460" w:type="dxa"/>
            <w:vAlign w:val="top"/>
          </w:tcPr>
          <w:p>
            <w:pPr>
              <w:pStyle w:val="1089"/>
              <w:pBdr/>
              <w:spacing/>
              <w:ind/>
              <w:rPr/>
            </w:pPr>
            <w:r/>
            <w:r/>
          </w:p>
        </w:tc>
      </w:tr>
      <w:tr>
        <w:trPr>
          <w:cantSplit/>
        </w:trPr>
        <w:tc>
          <w:tcPr>
            <w:shd w:val="clear" w:color="auto" w:fill="ffffff"/>
            <w:tcBorders/>
            <w:tcMar>
              <w:left w:w="55" w:type="dxa"/>
              <w:top w:w="45" w:type="dxa"/>
              <w:right w:w="55" w:type="dxa"/>
              <w:bottom w:w="45" w:type="dxa"/>
            </w:tcMar>
            <w:tcW w:w="949" w:type="dxa"/>
            <w:vAlign w:val="top"/>
          </w:tcPr>
          <w:p>
            <w:pPr>
              <w:pStyle w:val="1089"/>
              <w:pBdr/>
              <w:spacing/>
              <w:ind/>
              <w:rPr/>
            </w:pPr>
            <w:r>
              <w:t xml:space="preserve">G5</w:t>
            </w:r>
            <w:r/>
          </w:p>
        </w:tc>
        <w:tc>
          <w:tcPr>
            <w:shd w:val="clear" w:color="auto" w:fill="ffffff"/>
            <w:tcBorders/>
            <w:tcMar>
              <w:left w:w="55" w:type="dxa"/>
              <w:top w:w="45" w:type="dxa"/>
              <w:right w:w="55" w:type="dxa"/>
              <w:bottom w:w="45" w:type="dxa"/>
            </w:tcMar>
            <w:tcW w:w="5477" w:type="dxa"/>
            <w:vAlign w:val="top"/>
          </w:tcPr>
          <w:p>
            <w:pPr>
              <w:pStyle w:val="1089"/>
              <w:pBdr/>
              <w:spacing/>
              <w:ind/>
              <w:rPr/>
            </w:pPr>
            <w:r>
              <w:t xml:space="preserve">One adequate applicable source-community coverage/release record.</w:t>
            </w:r>
            <w:r/>
          </w:p>
        </w:tc>
        <w:tc>
          <w:tcPr>
            <w:shd w:val="clear" w:color="auto" w:fill="ffffff"/>
            <w:tcBorders/>
            <w:tcMar>
              <w:left w:w="55" w:type="dxa"/>
              <w:top w:w="45" w:type="dxa"/>
              <w:right w:w="55" w:type="dxa"/>
              <w:bottom w:w="45" w:type="dxa"/>
            </w:tcMar>
            <w:tcW w:w="2118" w:type="dxa"/>
            <w:vAlign w:val="top"/>
          </w:tcPr>
          <w:p>
            <w:pPr>
              <w:pStyle w:val="1089"/>
              <w:pBdr/>
              <w:spacing/>
              <w:ind/>
              <w:rPr/>
            </w:pPr>
            <w:r/>
            <w:r/>
          </w:p>
        </w:tc>
        <w:tc>
          <w:tcPr>
            <w:shd w:val="clear" w:color="auto" w:fill="ffffff"/>
            <w:tcBorders/>
            <w:tcMar>
              <w:left w:w="55" w:type="dxa"/>
              <w:top w:w="45" w:type="dxa"/>
              <w:right w:w="55" w:type="dxa"/>
              <w:bottom w:w="45" w:type="dxa"/>
            </w:tcMar>
            <w:tcW w:w="1460" w:type="dxa"/>
            <w:vAlign w:val="top"/>
          </w:tcPr>
          <w:p>
            <w:pPr>
              <w:pStyle w:val="1089"/>
              <w:pBdr/>
              <w:spacing/>
              <w:ind/>
              <w:rPr/>
            </w:pPr>
            <w:r/>
            <w:r/>
          </w:p>
        </w:tc>
      </w:tr>
      <w:tr>
        <w:trPr>
          <w:cantSplit/>
        </w:trPr>
        <w:tc>
          <w:tcPr>
            <w:shd w:val="clear" w:color="auto" w:fill="f4f6f7"/>
            <w:tcBorders/>
            <w:tcMar>
              <w:left w:w="55" w:type="dxa"/>
              <w:top w:w="45" w:type="dxa"/>
              <w:right w:w="55" w:type="dxa"/>
              <w:bottom w:w="45" w:type="dxa"/>
            </w:tcMar>
            <w:tcW w:w="949" w:type="dxa"/>
            <w:vAlign w:val="top"/>
          </w:tcPr>
          <w:p>
            <w:pPr>
              <w:pStyle w:val="1089"/>
              <w:pBdr/>
              <w:spacing/>
              <w:ind/>
              <w:rPr/>
            </w:pPr>
            <w:r>
              <w:t xml:space="preserve">G6</w:t>
            </w:r>
            <w:r/>
          </w:p>
        </w:tc>
        <w:tc>
          <w:tcPr>
            <w:shd w:val="clear" w:color="auto" w:fill="f4f6f7"/>
            <w:tcBorders/>
            <w:tcMar>
              <w:left w:w="55" w:type="dxa"/>
              <w:top w:w="45" w:type="dxa"/>
              <w:right w:w="55" w:type="dxa"/>
              <w:bottom w:w="45" w:type="dxa"/>
            </w:tcMar>
            <w:tcW w:w="5477" w:type="dxa"/>
            <w:vAlign w:val="top"/>
          </w:tcPr>
          <w:p>
            <w:pPr>
              <w:pStyle w:val="1089"/>
              <w:pBdr/>
              <w:spacing/>
              <w:ind/>
              <w:rPr/>
            </w:pPr>
            <w:r>
              <w:t xml:space="preserve">Numerator and denominator for each required population, complete audit evidence, Claim ratio 1.000 and PublicationClaim ratio 1.000; empty-scope rules in §C3.6.</w:t>
            </w:r>
            <w:r/>
          </w:p>
        </w:tc>
        <w:tc>
          <w:tcPr>
            <w:shd w:val="clear" w:color="auto" w:fill="f4f6f7"/>
            <w:tcBorders/>
            <w:tcMar>
              <w:left w:w="55" w:type="dxa"/>
              <w:top w:w="45" w:type="dxa"/>
              <w:right w:w="55" w:type="dxa"/>
              <w:bottom w:w="45" w:type="dxa"/>
            </w:tcMar>
            <w:tcW w:w="2118" w:type="dxa"/>
            <w:vAlign w:val="top"/>
          </w:tcPr>
          <w:p>
            <w:pPr>
              <w:pStyle w:val="1089"/>
              <w:pBdr/>
              <w:spacing/>
              <w:ind/>
              <w:rPr/>
            </w:pPr>
            <w:r/>
            <w:r/>
          </w:p>
        </w:tc>
        <w:tc>
          <w:tcPr>
            <w:shd w:val="clear" w:color="auto" w:fill="f4f6f7"/>
            <w:tcBorders/>
            <w:tcMar>
              <w:left w:w="55" w:type="dxa"/>
              <w:top w:w="45" w:type="dxa"/>
              <w:right w:w="55" w:type="dxa"/>
              <w:bottom w:w="45" w:type="dxa"/>
            </w:tcMar>
            <w:tcW w:w="1460" w:type="dxa"/>
            <w:vAlign w:val="top"/>
          </w:tcPr>
          <w:p>
            <w:pPr>
              <w:pStyle w:val="1089"/>
              <w:pBdr/>
              <w:spacing/>
              <w:ind/>
              <w:rPr/>
            </w:pPr>
            <w:r/>
            <w:r/>
          </w:p>
        </w:tc>
      </w:tr>
      <w:tr>
        <w:trPr>
          <w:cantSplit/>
        </w:trPr>
        <w:tc>
          <w:tcPr>
            <w:shd w:val="clear" w:color="auto" w:fill="ffffff"/>
            <w:tcBorders/>
            <w:tcMar>
              <w:left w:w="55" w:type="dxa"/>
              <w:top w:w="45" w:type="dxa"/>
              <w:right w:w="55" w:type="dxa"/>
              <w:bottom w:w="45" w:type="dxa"/>
            </w:tcMar>
            <w:tcW w:w="949" w:type="dxa"/>
            <w:vAlign w:val="top"/>
          </w:tcPr>
          <w:p>
            <w:pPr>
              <w:pStyle w:val="1089"/>
              <w:pBdr/>
              <w:spacing/>
              <w:ind/>
              <w:rPr/>
            </w:pPr>
            <w:r>
              <w:t xml:space="preserve">G7</w:t>
            </w:r>
            <w:r/>
          </w:p>
        </w:tc>
        <w:tc>
          <w:tcPr>
            <w:shd w:val="clear" w:color="auto" w:fill="ffffff"/>
            <w:tcBorders/>
            <w:tcMar>
              <w:left w:w="55" w:type="dxa"/>
              <w:top w:w="45" w:type="dxa"/>
              <w:right w:w="55" w:type="dxa"/>
              <w:bottom w:w="45" w:type="dxa"/>
            </w:tcMar>
            <w:tcW w:w="5477" w:type="dxa"/>
            <w:vAlign w:val="top"/>
          </w:tcPr>
          <w:p>
            <w:pPr>
              <w:pStyle w:val="1089"/>
              <w:pBdr/>
              <w:spacing/>
              <w:ind/>
              <w:rPr/>
            </w:pPr>
            <w:r>
              <w:t xml:space="preserve">Production regeneration + controlled-change propagation + build/query/output manifests.</w:t>
            </w:r>
            <w:r/>
          </w:p>
        </w:tc>
        <w:tc>
          <w:tcPr>
            <w:shd w:val="clear" w:color="auto" w:fill="ffffff"/>
            <w:tcBorders/>
            <w:tcMar>
              <w:left w:w="55" w:type="dxa"/>
              <w:top w:w="45" w:type="dxa"/>
              <w:right w:w="55" w:type="dxa"/>
              <w:bottom w:w="45" w:type="dxa"/>
            </w:tcMar>
            <w:tcW w:w="2118" w:type="dxa"/>
            <w:vAlign w:val="top"/>
          </w:tcPr>
          <w:p>
            <w:pPr>
              <w:pStyle w:val="1089"/>
              <w:pBdr/>
              <w:spacing/>
              <w:ind/>
              <w:rPr/>
            </w:pPr>
            <w:r/>
            <w:r/>
          </w:p>
        </w:tc>
        <w:tc>
          <w:tcPr>
            <w:shd w:val="clear" w:color="auto" w:fill="ffffff"/>
            <w:tcBorders/>
            <w:tcMar>
              <w:left w:w="55" w:type="dxa"/>
              <w:top w:w="45" w:type="dxa"/>
              <w:right w:w="55" w:type="dxa"/>
              <w:bottom w:w="45" w:type="dxa"/>
            </w:tcMar>
            <w:tcW w:w="1460" w:type="dxa"/>
            <w:vAlign w:val="top"/>
          </w:tcPr>
          <w:p>
            <w:pPr>
              <w:pStyle w:val="1089"/>
              <w:pBdr/>
              <w:spacing/>
              <w:ind/>
              <w:rPr/>
            </w:pPr>
            <w:r/>
            <w:r/>
          </w:p>
        </w:tc>
      </w:tr>
      <w:tr>
        <w:trPr>
          <w:cantSplit/>
        </w:trPr>
        <w:tc>
          <w:tcPr>
            <w:shd w:val="clear" w:color="auto" w:fill="f4f6f7"/>
            <w:tcBorders/>
            <w:tcMar>
              <w:left w:w="55" w:type="dxa"/>
              <w:top w:w="45" w:type="dxa"/>
              <w:right w:w="55" w:type="dxa"/>
              <w:bottom w:w="45" w:type="dxa"/>
            </w:tcMar>
            <w:tcW w:w="949" w:type="dxa"/>
            <w:vAlign w:val="top"/>
          </w:tcPr>
          <w:p>
            <w:pPr>
              <w:pStyle w:val="1089"/>
              <w:pBdr/>
              <w:spacing/>
              <w:ind/>
              <w:rPr/>
            </w:pPr>
            <w:r>
              <w:t xml:space="preserve">G8</w:t>
            </w:r>
            <w:r/>
          </w:p>
        </w:tc>
        <w:tc>
          <w:tcPr>
            <w:shd w:val="clear" w:color="auto" w:fill="f4f6f7"/>
            <w:tcBorders/>
            <w:tcMar>
              <w:left w:w="55" w:type="dxa"/>
              <w:top w:w="45" w:type="dxa"/>
              <w:right w:w="55" w:type="dxa"/>
              <w:bottom w:w="45" w:type="dxa"/>
            </w:tcMar>
            <w:tcW w:w="5477" w:type="dxa"/>
            <w:vAlign w:val="top"/>
          </w:tcPr>
          <w:p>
            <w:pPr>
              <w:pStyle w:val="1089"/>
              <w:pBdr/>
              <w:spacing/>
              <w:ind/>
              <w:rPr/>
            </w:pPr>
            <w:r>
              <w:t xml:space="preserve">Dated novelty refresh current for public originality language.</w:t>
            </w:r>
            <w:r/>
          </w:p>
        </w:tc>
        <w:tc>
          <w:tcPr>
            <w:shd w:val="clear" w:color="auto" w:fill="f4f6f7"/>
            <w:tcBorders/>
            <w:tcMar>
              <w:left w:w="55" w:type="dxa"/>
              <w:top w:w="45" w:type="dxa"/>
              <w:right w:w="55" w:type="dxa"/>
              <w:bottom w:w="45" w:type="dxa"/>
            </w:tcMar>
            <w:tcW w:w="2118" w:type="dxa"/>
            <w:vAlign w:val="top"/>
          </w:tcPr>
          <w:p>
            <w:pPr>
              <w:pStyle w:val="1089"/>
              <w:pBdr/>
              <w:spacing/>
              <w:ind/>
              <w:rPr/>
            </w:pPr>
            <w:r/>
            <w:r/>
          </w:p>
        </w:tc>
        <w:tc>
          <w:tcPr>
            <w:shd w:val="clear" w:color="auto" w:fill="f4f6f7"/>
            <w:tcBorders/>
            <w:tcMar>
              <w:left w:w="55" w:type="dxa"/>
              <w:top w:w="45" w:type="dxa"/>
              <w:right w:w="55" w:type="dxa"/>
              <w:bottom w:w="45" w:type="dxa"/>
            </w:tcMar>
            <w:tcW w:w="1460" w:type="dxa"/>
            <w:vAlign w:val="top"/>
          </w:tcPr>
          <w:p>
            <w:pPr>
              <w:pStyle w:val="1089"/>
              <w:pBdr/>
              <w:spacing/>
              <w:ind/>
              <w:rPr/>
            </w:pPr>
            <w:r/>
            <w:r/>
          </w:p>
        </w:tc>
      </w:tr>
    </w:tbl>
    <w:p>
      <w:pPr>
        <w:pStyle w:val="1097"/>
        <w:pBdr/>
        <w:spacing/>
        <w:ind/>
        <w:rPr/>
      </w:pPr>
      <w:r/>
      <w:r/>
    </w:p>
    <w:p>
      <w:pPr>
        <w:pStyle w:val="1086"/>
        <w:keepNext w:val="true"/>
        <w:keepLines w:val="true"/>
        <w:pBdr/>
        <w:spacing/>
        <w:ind/>
        <w:rPr/>
      </w:pPr>
      <w:r/>
      <w:bookmarkStart w:id="168" w:name="tbl_gate_result_template"/>
      <w:r>
        <w:t xml:space="preserve">Template — Gate result register</w:t>
      </w:r>
      <w:bookmarkEnd w:id="168"/>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1095"/>
        <w:gridCol w:w="1460"/>
        <w:gridCol w:w="1972"/>
        <w:gridCol w:w="5477"/>
      </w:tblGrid>
      <w:tr>
        <w:trPr>
          <w:cantSplit/>
          <w:tblHeader/>
        </w:trPr>
        <w:tc>
          <w:tcPr>
            <w:shd w:val="clear" w:color="auto" w:fill="1f5d7a"/>
            <w:tcBorders/>
            <w:tcMar>
              <w:left w:w="55" w:type="dxa"/>
              <w:top w:w="45" w:type="dxa"/>
              <w:right w:w="55" w:type="dxa"/>
              <w:bottom w:w="45" w:type="dxa"/>
            </w:tcMar>
            <w:tcW w:w="1095" w:type="dxa"/>
            <w:vAlign w:val="top"/>
          </w:tcPr>
          <w:p>
            <w:pPr>
              <w:pStyle w:val="1090"/>
              <w:pBdr/>
              <w:spacing/>
              <w:ind/>
              <w:rPr/>
            </w:pPr>
            <w:r>
              <w:t xml:space="preserve">Gate</w:t>
            </w:r>
            <w:r/>
          </w:p>
        </w:tc>
        <w:tc>
          <w:tcPr>
            <w:shd w:val="clear" w:color="auto" w:fill="1f5d7a"/>
            <w:tcBorders/>
            <w:tcMar>
              <w:left w:w="55" w:type="dxa"/>
              <w:top w:w="45" w:type="dxa"/>
              <w:right w:w="55" w:type="dxa"/>
              <w:bottom w:w="45" w:type="dxa"/>
            </w:tcMar>
            <w:tcW w:w="1460" w:type="dxa"/>
            <w:vAlign w:val="top"/>
          </w:tcPr>
          <w:p>
            <w:pPr>
              <w:pStyle w:val="1090"/>
              <w:pBdr/>
              <w:spacing/>
              <w:ind/>
              <w:rPr/>
            </w:pPr>
            <w:r>
              <w:t xml:space="preserve">Verdict</w:t>
            </w:r>
            <w:r/>
          </w:p>
        </w:tc>
        <w:tc>
          <w:tcPr>
            <w:shd w:val="clear" w:color="auto" w:fill="1f5d7a"/>
            <w:tcBorders/>
            <w:tcMar>
              <w:left w:w="55" w:type="dxa"/>
              <w:top w:w="45" w:type="dxa"/>
              <w:right w:w="55" w:type="dxa"/>
              <w:bottom w:w="45" w:type="dxa"/>
            </w:tcMar>
            <w:tcW w:w="1972" w:type="dxa"/>
            <w:vAlign w:val="top"/>
          </w:tcPr>
          <w:p>
            <w:pPr>
              <w:pStyle w:val="1090"/>
              <w:pBdr/>
              <w:spacing/>
              <w:ind/>
              <w:rPr/>
            </w:pPr>
            <w:r>
              <w:t xml:space="preserve">Evidence maturity</w:t>
            </w:r>
            <w:r/>
          </w:p>
        </w:tc>
        <w:tc>
          <w:tcPr>
            <w:shd w:val="clear" w:color="auto" w:fill="1f5d7a"/>
            <w:tcBorders/>
            <w:tcMar>
              <w:left w:w="55" w:type="dxa"/>
              <w:top w:w="45" w:type="dxa"/>
              <w:right w:w="55" w:type="dxa"/>
              <w:bottom w:w="45" w:type="dxa"/>
            </w:tcMar>
            <w:tcW w:w="5477" w:type="dxa"/>
            <w:vAlign w:val="top"/>
          </w:tcPr>
          <w:p>
            <w:pPr>
              <w:pStyle w:val="1090"/>
              <w:pBdr/>
              <w:spacing/>
              <w:ind/>
              <w:rPr/>
            </w:pPr>
            <w:r>
              <w:t xml:space="preserve">Rationale / unresolved issues</w:t>
            </w:r>
            <w:r/>
          </w:p>
        </w:tc>
      </w:tr>
      <w:tr>
        <w:trPr>
          <w:cantSplit/>
        </w:trPr>
        <w:tc>
          <w:tcPr>
            <w:shd w:val="clear" w:color="auto" w:fill="ffffff"/>
            <w:tcBorders/>
            <w:tcMar>
              <w:left w:w="55" w:type="dxa"/>
              <w:top w:w="45" w:type="dxa"/>
              <w:right w:w="55" w:type="dxa"/>
              <w:bottom w:w="45" w:type="dxa"/>
            </w:tcMar>
            <w:tcW w:w="1095" w:type="dxa"/>
            <w:vAlign w:val="top"/>
          </w:tcPr>
          <w:p>
            <w:pPr>
              <w:pStyle w:val="1089"/>
              <w:pBdr/>
              <w:spacing/>
              <w:ind/>
              <w:rPr/>
            </w:pPr>
            <w:r>
              <w:t xml:space="preserve">G1</w:t>
            </w:r>
            <w:r/>
          </w:p>
        </w:tc>
        <w:tc>
          <w:tcPr>
            <w:shd w:val="clear" w:color="auto" w:fill="ffffff"/>
            <w:tcBorders/>
            <w:tcMar>
              <w:left w:w="55" w:type="dxa"/>
              <w:top w:w="45" w:type="dxa"/>
              <w:right w:w="55" w:type="dxa"/>
              <w:bottom w:w="45" w:type="dxa"/>
            </w:tcMar>
            <w:tcW w:w="1460" w:type="dxa"/>
            <w:vAlign w:val="top"/>
          </w:tcPr>
          <w:p>
            <w:pPr>
              <w:pStyle w:val="1089"/>
              <w:pBdr/>
              <w:spacing/>
              <w:ind/>
              <w:rPr/>
            </w:pPr>
            <w:r/>
            <w:r/>
          </w:p>
        </w:tc>
        <w:tc>
          <w:tcPr>
            <w:shd w:val="clear" w:color="auto" w:fill="ffffff"/>
            <w:tcBorders/>
            <w:tcMar>
              <w:left w:w="55" w:type="dxa"/>
              <w:top w:w="45" w:type="dxa"/>
              <w:right w:w="55" w:type="dxa"/>
              <w:bottom w:w="45" w:type="dxa"/>
            </w:tcMar>
            <w:tcW w:w="1972" w:type="dxa"/>
            <w:vAlign w:val="top"/>
          </w:tcPr>
          <w:p>
            <w:pPr>
              <w:pStyle w:val="1089"/>
              <w:pBdr/>
              <w:spacing/>
              <w:ind/>
              <w:rPr/>
            </w:pPr>
            <w:r/>
            <w:r/>
          </w:p>
        </w:tc>
        <w:tc>
          <w:tcPr>
            <w:shd w:val="clear" w:color="auto" w:fill="ffffff"/>
            <w:tcBorders/>
            <w:tcMar>
              <w:left w:w="55" w:type="dxa"/>
              <w:top w:w="45" w:type="dxa"/>
              <w:right w:w="55" w:type="dxa"/>
              <w:bottom w:w="45" w:type="dxa"/>
            </w:tcMar>
            <w:tcW w:w="5477" w:type="dxa"/>
            <w:vAlign w:val="top"/>
          </w:tcPr>
          <w:p>
            <w:pPr>
              <w:pStyle w:val="1089"/>
              <w:pBdr/>
              <w:spacing/>
              <w:ind/>
              <w:rPr/>
            </w:pPr>
            <w:r/>
            <w:r/>
          </w:p>
        </w:tc>
      </w:tr>
      <w:tr>
        <w:trPr>
          <w:cantSplit/>
        </w:trPr>
        <w:tc>
          <w:tcPr>
            <w:shd w:val="clear" w:color="auto" w:fill="f4f6f7"/>
            <w:tcBorders/>
            <w:tcMar>
              <w:left w:w="55" w:type="dxa"/>
              <w:top w:w="45" w:type="dxa"/>
              <w:right w:w="55" w:type="dxa"/>
              <w:bottom w:w="45" w:type="dxa"/>
            </w:tcMar>
            <w:tcW w:w="1095" w:type="dxa"/>
            <w:vAlign w:val="top"/>
          </w:tcPr>
          <w:p>
            <w:pPr>
              <w:pStyle w:val="1089"/>
              <w:pBdr/>
              <w:spacing/>
              <w:ind/>
              <w:rPr/>
            </w:pPr>
            <w:r>
              <w:t xml:space="preserve">G2</w:t>
            </w:r>
            <w:r/>
          </w:p>
        </w:tc>
        <w:tc>
          <w:tcPr>
            <w:shd w:val="clear" w:color="auto" w:fill="f4f6f7"/>
            <w:tcBorders/>
            <w:tcMar>
              <w:left w:w="55" w:type="dxa"/>
              <w:top w:w="45" w:type="dxa"/>
              <w:right w:w="55" w:type="dxa"/>
              <w:bottom w:w="45" w:type="dxa"/>
            </w:tcMar>
            <w:tcW w:w="1460" w:type="dxa"/>
            <w:vAlign w:val="top"/>
          </w:tcPr>
          <w:p>
            <w:pPr>
              <w:pStyle w:val="1089"/>
              <w:pBdr/>
              <w:spacing/>
              <w:ind/>
              <w:rPr/>
            </w:pPr>
            <w:r/>
            <w:r/>
          </w:p>
        </w:tc>
        <w:tc>
          <w:tcPr>
            <w:shd w:val="clear" w:color="auto" w:fill="f4f6f7"/>
            <w:tcBorders/>
            <w:tcMar>
              <w:left w:w="55" w:type="dxa"/>
              <w:top w:w="45" w:type="dxa"/>
              <w:right w:w="55" w:type="dxa"/>
              <w:bottom w:w="45" w:type="dxa"/>
            </w:tcMar>
            <w:tcW w:w="1972" w:type="dxa"/>
            <w:vAlign w:val="top"/>
          </w:tcPr>
          <w:p>
            <w:pPr>
              <w:pStyle w:val="1089"/>
              <w:pBdr/>
              <w:spacing/>
              <w:ind/>
              <w:rPr/>
            </w:pPr>
            <w:r/>
            <w:r/>
          </w:p>
        </w:tc>
        <w:tc>
          <w:tcPr>
            <w:shd w:val="clear" w:color="auto" w:fill="f4f6f7"/>
            <w:tcBorders/>
            <w:tcMar>
              <w:left w:w="55" w:type="dxa"/>
              <w:top w:w="45" w:type="dxa"/>
              <w:right w:w="55" w:type="dxa"/>
              <w:bottom w:w="45" w:type="dxa"/>
            </w:tcMar>
            <w:tcW w:w="5477" w:type="dxa"/>
            <w:vAlign w:val="top"/>
          </w:tcPr>
          <w:p>
            <w:pPr>
              <w:pStyle w:val="1089"/>
              <w:pBdr/>
              <w:spacing/>
              <w:ind/>
              <w:rPr/>
            </w:pPr>
            <w:r/>
            <w:r/>
          </w:p>
        </w:tc>
      </w:tr>
      <w:tr>
        <w:trPr>
          <w:cantSplit/>
        </w:trPr>
        <w:tc>
          <w:tcPr>
            <w:shd w:val="clear" w:color="auto" w:fill="ffffff"/>
            <w:tcBorders/>
            <w:tcMar>
              <w:left w:w="55" w:type="dxa"/>
              <w:top w:w="45" w:type="dxa"/>
              <w:right w:w="55" w:type="dxa"/>
              <w:bottom w:w="45" w:type="dxa"/>
            </w:tcMar>
            <w:tcW w:w="1095" w:type="dxa"/>
            <w:vAlign w:val="top"/>
          </w:tcPr>
          <w:p>
            <w:pPr>
              <w:pStyle w:val="1089"/>
              <w:pBdr/>
              <w:spacing/>
              <w:ind/>
              <w:rPr/>
            </w:pPr>
            <w:r>
              <w:t xml:space="preserve">G3</w:t>
            </w:r>
            <w:r/>
          </w:p>
        </w:tc>
        <w:tc>
          <w:tcPr>
            <w:shd w:val="clear" w:color="auto" w:fill="ffffff"/>
            <w:tcBorders/>
            <w:tcMar>
              <w:left w:w="55" w:type="dxa"/>
              <w:top w:w="45" w:type="dxa"/>
              <w:right w:w="55" w:type="dxa"/>
              <w:bottom w:w="45" w:type="dxa"/>
            </w:tcMar>
            <w:tcW w:w="1460" w:type="dxa"/>
            <w:vAlign w:val="top"/>
          </w:tcPr>
          <w:p>
            <w:pPr>
              <w:pStyle w:val="1089"/>
              <w:pBdr/>
              <w:spacing/>
              <w:ind/>
              <w:rPr/>
            </w:pPr>
            <w:r/>
            <w:r/>
          </w:p>
        </w:tc>
        <w:tc>
          <w:tcPr>
            <w:shd w:val="clear" w:color="auto" w:fill="ffffff"/>
            <w:tcBorders/>
            <w:tcMar>
              <w:left w:w="55" w:type="dxa"/>
              <w:top w:w="45" w:type="dxa"/>
              <w:right w:w="55" w:type="dxa"/>
              <w:bottom w:w="45" w:type="dxa"/>
            </w:tcMar>
            <w:tcW w:w="1972" w:type="dxa"/>
            <w:vAlign w:val="top"/>
          </w:tcPr>
          <w:p>
            <w:pPr>
              <w:pStyle w:val="1089"/>
              <w:pBdr/>
              <w:spacing/>
              <w:ind/>
              <w:rPr/>
            </w:pPr>
            <w:r/>
            <w:r/>
          </w:p>
        </w:tc>
        <w:tc>
          <w:tcPr>
            <w:shd w:val="clear" w:color="auto" w:fill="ffffff"/>
            <w:tcBorders/>
            <w:tcMar>
              <w:left w:w="55" w:type="dxa"/>
              <w:top w:w="45" w:type="dxa"/>
              <w:right w:w="55" w:type="dxa"/>
              <w:bottom w:w="45" w:type="dxa"/>
            </w:tcMar>
            <w:tcW w:w="5477" w:type="dxa"/>
            <w:vAlign w:val="top"/>
          </w:tcPr>
          <w:p>
            <w:pPr>
              <w:pStyle w:val="1089"/>
              <w:pBdr/>
              <w:spacing/>
              <w:ind/>
              <w:rPr/>
            </w:pPr>
            <w:r/>
            <w:r/>
          </w:p>
        </w:tc>
      </w:tr>
      <w:tr>
        <w:trPr>
          <w:cantSplit/>
        </w:trPr>
        <w:tc>
          <w:tcPr>
            <w:shd w:val="clear" w:color="auto" w:fill="f4f6f7"/>
            <w:tcBorders/>
            <w:tcMar>
              <w:left w:w="55" w:type="dxa"/>
              <w:top w:w="45" w:type="dxa"/>
              <w:right w:w="55" w:type="dxa"/>
              <w:bottom w:w="45" w:type="dxa"/>
            </w:tcMar>
            <w:tcW w:w="1095" w:type="dxa"/>
            <w:vAlign w:val="top"/>
          </w:tcPr>
          <w:p>
            <w:pPr>
              <w:pStyle w:val="1089"/>
              <w:pBdr/>
              <w:spacing/>
              <w:ind/>
              <w:rPr/>
            </w:pPr>
            <w:r>
              <w:t xml:space="preserve">G4</w:t>
            </w:r>
            <w:r/>
          </w:p>
        </w:tc>
        <w:tc>
          <w:tcPr>
            <w:shd w:val="clear" w:color="auto" w:fill="f4f6f7"/>
            <w:tcBorders/>
            <w:tcMar>
              <w:left w:w="55" w:type="dxa"/>
              <w:top w:w="45" w:type="dxa"/>
              <w:right w:w="55" w:type="dxa"/>
              <w:bottom w:w="45" w:type="dxa"/>
            </w:tcMar>
            <w:tcW w:w="1460" w:type="dxa"/>
            <w:vAlign w:val="top"/>
          </w:tcPr>
          <w:p>
            <w:pPr>
              <w:pStyle w:val="1089"/>
              <w:pBdr/>
              <w:spacing/>
              <w:ind/>
              <w:rPr/>
            </w:pPr>
            <w:r/>
            <w:r/>
          </w:p>
        </w:tc>
        <w:tc>
          <w:tcPr>
            <w:shd w:val="clear" w:color="auto" w:fill="f4f6f7"/>
            <w:tcBorders/>
            <w:tcMar>
              <w:left w:w="55" w:type="dxa"/>
              <w:top w:w="45" w:type="dxa"/>
              <w:right w:w="55" w:type="dxa"/>
              <w:bottom w:w="45" w:type="dxa"/>
            </w:tcMar>
            <w:tcW w:w="1972" w:type="dxa"/>
            <w:vAlign w:val="top"/>
          </w:tcPr>
          <w:p>
            <w:pPr>
              <w:pStyle w:val="1089"/>
              <w:pBdr/>
              <w:spacing/>
              <w:ind/>
              <w:rPr/>
            </w:pPr>
            <w:r/>
            <w:r/>
          </w:p>
        </w:tc>
        <w:tc>
          <w:tcPr>
            <w:shd w:val="clear" w:color="auto" w:fill="f4f6f7"/>
            <w:tcBorders/>
            <w:tcMar>
              <w:left w:w="55" w:type="dxa"/>
              <w:top w:w="45" w:type="dxa"/>
              <w:right w:w="55" w:type="dxa"/>
              <w:bottom w:w="45" w:type="dxa"/>
            </w:tcMar>
            <w:tcW w:w="5477" w:type="dxa"/>
            <w:vAlign w:val="top"/>
          </w:tcPr>
          <w:p>
            <w:pPr>
              <w:pStyle w:val="1089"/>
              <w:pBdr/>
              <w:spacing/>
              <w:ind/>
              <w:rPr/>
            </w:pPr>
            <w:r/>
            <w:r/>
          </w:p>
        </w:tc>
      </w:tr>
      <w:tr>
        <w:trPr>
          <w:cantSplit/>
        </w:trPr>
        <w:tc>
          <w:tcPr>
            <w:shd w:val="clear" w:color="auto" w:fill="ffffff"/>
            <w:tcBorders/>
            <w:tcMar>
              <w:left w:w="55" w:type="dxa"/>
              <w:top w:w="45" w:type="dxa"/>
              <w:right w:w="55" w:type="dxa"/>
              <w:bottom w:w="45" w:type="dxa"/>
            </w:tcMar>
            <w:tcW w:w="1095" w:type="dxa"/>
            <w:vAlign w:val="top"/>
          </w:tcPr>
          <w:p>
            <w:pPr>
              <w:pStyle w:val="1089"/>
              <w:pBdr/>
              <w:spacing/>
              <w:ind/>
              <w:rPr/>
            </w:pPr>
            <w:r>
              <w:t xml:space="preserve">G5</w:t>
            </w:r>
            <w:r/>
          </w:p>
        </w:tc>
        <w:tc>
          <w:tcPr>
            <w:shd w:val="clear" w:color="auto" w:fill="ffffff"/>
            <w:tcBorders/>
            <w:tcMar>
              <w:left w:w="55" w:type="dxa"/>
              <w:top w:w="45" w:type="dxa"/>
              <w:right w:w="55" w:type="dxa"/>
              <w:bottom w:w="45" w:type="dxa"/>
            </w:tcMar>
            <w:tcW w:w="1460" w:type="dxa"/>
            <w:vAlign w:val="top"/>
          </w:tcPr>
          <w:p>
            <w:pPr>
              <w:pStyle w:val="1089"/>
              <w:pBdr/>
              <w:spacing/>
              <w:ind/>
              <w:rPr/>
            </w:pPr>
            <w:r/>
            <w:r/>
          </w:p>
        </w:tc>
        <w:tc>
          <w:tcPr>
            <w:shd w:val="clear" w:color="auto" w:fill="ffffff"/>
            <w:tcBorders/>
            <w:tcMar>
              <w:left w:w="55" w:type="dxa"/>
              <w:top w:w="45" w:type="dxa"/>
              <w:right w:w="55" w:type="dxa"/>
              <w:bottom w:w="45" w:type="dxa"/>
            </w:tcMar>
            <w:tcW w:w="1972" w:type="dxa"/>
            <w:vAlign w:val="top"/>
          </w:tcPr>
          <w:p>
            <w:pPr>
              <w:pStyle w:val="1089"/>
              <w:pBdr/>
              <w:spacing/>
              <w:ind/>
              <w:rPr/>
            </w:pPr>
            <w:r/>
            <w:r/>
          </w:p>
        </w:tc>
        <w:tc>
          <w:tcPr>
            <w:shd w:val="clear" w:color="auto" w:fill="ffffff"/>
            <w:tcBorders/>
            <w:tcMar>
              <w:left w:w="55" w:type="dxa"/>
              <w:top w:w="45" w:type="dxa"/>
              <w:right w:w="55" w:type="dxa"/>
              <w:bottom w:w="45" w:type="dxa"/>
            </w:tcMar>
            <w:tcW w:w="5477" w:type="dxa"/>
            <w:vAlign w:val="top"/>
          </w:tcPr>
          <w:p>
            <w:pPr>
              <w:pStyle w:val="1089"/>
              <w:pBdr/>
              <w:spacing/>
              <w:ind/>
              <w:rPr/>
            </w:pPr>
            <w:r/>
            <w:r/>
          </w:p>
        </w:tc>
      </w:tr>
      <w:tr>
        <w:trPr>
          <w:cantSplit/>
        </w:trPr>
        <w:tc>
          <w:tcPr>
            <w:shd w:val="clear" w:color="auto" w:fill="f4f6f7"/>
            <w:tcBorders/>
            <w:tcMar>
              <w:left w:w="55" w:type="dxa"/>
              <w:top w:w="45" w:type="dxa"/>
              <w:right w:w="55" w:type="dxa"/>
              <w:bottom w:w="45" w:type="dxa"/>
            </w:tcMar>
            <w:tcW w:w="1095" w:type="dxa"/>
            <w:vAlign w:val="top"/>
          </w:tcPr>
          <w:p>
            <w:pPr>
              <w:pStyle w:val="1089"/>
              <w:pBdr/>
              <w:spacing/>
              <w:ind/>
              <w:rPr/>
            </w:pPr>
            <w:r>
              <w:t xml:space="preserve">G6</w:t>
            </w:r>
            <w:r/>
          </w:p>
        </w:tc>
        <w:tc>
          <w:tcPr>
            <w:shd w:val="clear" w:color="auto" w:fill="f4f6f7"/>
            <w:tcBorders/>
            <w:tcMar>
              <w:left w:w="55" w:type="dxa"/>
              <w:top w:w="45" w:type="dxa"/>
              <w:right w:w="55" w:type="dxa"/>
              <w:bottom w:w="45" w:type="dxa"/>
            </w:tcMar>
            <w:tcW w:w="1460" w:type="dxa"/>
            <w:vAlign w:val="top"/>
          </w:tcPr>
          <w:p>
            <w:pPr>
              <w:pStyle w:val="1089"/>
              <w:pBdr/>
              <w:spacing/>
              <w:ind/>
              <w:rPr/>
            </w:pPr>
            <w:r/>
            <w:r/>
          </w:p>
        </w:tc>
        <w:tc>
          <w:tcPr>
            <w:shd w:val="clear" w:color="auto" w:fill="f4f6f7"/>
            <w:tcBorders/>
            <w:tcMar>
              <w:left w:w="55" w:type="dxa"/>
              <w:top w:w="45" w:type="dxa"/>
              <w:right w:w="55" w:type="dxa"/>
              <w:bottom w:w="45" w:type="dxa"/>
            </w:tcMar>
            <w:tcW w:w="1972" w:type="dxa"/>
            <w:vAlign w:val="top"/>
          </w:tcPr>
          <w:p>
            <w:pPr>
              <w:pStyle w:val="1089"/>
              <w:pBdr/>
              <w:spacing/>
              <w:ind/>
              <w:rPr/>
            </w:pPr>
            <w:r/>
            <w:r/>
          </w:p>
        </w:tc>
        <w:tc>
          <w:tcPr>
            <w:shd w:val="clear" w:color="auto" w:fill="f4f6f7"/>
            <w:tcBorders/>
            <w:tcMar>
              <w:left w:w="55" w:type="dxa"/>
              <w:top w:w="45" w:type="dxa"/>
              <w:right w:w="55" w:type="dxa"/>
              <w:bottom w:w="45" w:type="dxa"/>
            </w:tcMar>
            <w:tcW w:w="5477" w:type="dxa"/>
            <w:vAlign w:val="top"/>
          </w:tcPr>
          <w:p>
            <w:pPr>
              <w:pStyle w:val="1089"/>
              <w:pBdr/>
              <w:spacing/>
              <w:ind/>
              <w:rPr/>
            </w:pPr>
            <w:r/>
            <w:r/>
          </w:p>
        </w:tc>
      </w:tr>
      <w:tr>
        <w:trPr>
          <w:cantSplit/>
        </w:trPr>
        <w:tc>
          <w:tcPr>
            <w:shd w:val="clear" w:color="auto" w:fill="ffffff"/>
            <w:tcBorders/>
            <w:tcMar>
              <w:left w:w="55" w:type="dxa"/>
              <w:top w:w="45" w:type="dxa"/>
              <w:right w:w="55" w:type="dxa"/>
              <w:bottom w:w="45" w:type="dxa"/>
            </w:tcMar>
            <w:tcW w:w="1095" w:type="dxa"/>
            <w:vAlign w:val="top"/>
          </w:tcPr>
          <w:p>
            <w:pPr>
              <w:pStyle w:val="1089"/>
              <w:pBdr/>
              <w:spacing/>
              <w:ind/>
              <w:rPr/>
            </w:pPr>
            <w:r>
              <w:t xml:space="preserve">G7</w:t>
            </w:r>
            <w:r/>
          </w:p>
        </w:tc>
        <w:tc>
          <w:tcPr>
            <w:shd w:val="clear" w:color="auto" w:fill="ffffff"/>
            <w:tcBorders/>
            <w:tcMar>
              <w:left w:w="55" w:type="dxa"/>
              <w:top w:w="45" w:type="dxa"/>
              <w:right w:w="55" w:type="dxa"/>
              <w:bottom w:w="45" w:type="dxa"/>
            </w:tcMar>
            <w:tcW w:w="1460" w:type="dxa"/>
            <w:vAlign w:val="top"/>
          </w:tcPr>
          <w:p>
            <w:pPr>
              <w:pStyle w:val="1089"/>
              <w:pBdr/>
              <w:spacing/>
              <w:ind/>
              <w:rPr/>
            </w:pPr>
            <w:r/>
            <w:r/>
          </w:p>
        </w:tc>
        <w:tc>
          <w:tcPr>
            <w:shd w:val="clear" w:color="auto" w:fill="ffffff"/>
            <w:tcBorders/>
            <w:tcMar>
              <w:left w:w="55" w:type="dxa"/>
              <w:top w:w="45" w:type="dxa"/>
              <w:right w:w="55" w:type="dxa"/>
              <w:bottom w:w="45" w:type="dxa"/>
            </w:tcMar>
            <w:tcW w:w="1972" w:type="dxa"/>
            <w:vAlign w:val="top"/>
          </w:tcPr>
          <w:p>
            <w:pPr>
              <w:pStyle w:val="1089"/>
              <w:pBdr/>
              <w:spacing/>
              <w:ind/>
              <w:rPr/>
            </w:pPr>
            <w:r/>
            <w:r/>
          </w:p>
        </w:tc>
        <w:tc>
          <w:tcPr>
            <w:shd w:val="clear" w:color="auto" w:fill="ffffff"/>
            <w:tcBorders/>
            <w:tcMar>
              <w:left w:w="55" w:type="dxa"/>
              <w:top w:w="45" w:type="dxa"/>
              <w:right w:w="55" w:type="dxa"/>
              <w:bottom w:w="45" w:type="dxa"/>
            </w:tcMar>
            <w:tcW w:w="5477" w:type="dxa"/>
            <w:vAlign w:val="top"/>
          </w:tcPr>
          <w:p>
            <w:pPr>
              <w:pStyle w:val="1089"/>
              <w:pBdr/>
              <w:spacing/>
              <w:ind/>
              <w:rPr/>
            </w:pPr>
            <w:r/>
            <w:r/>
          </w:p>
        </w:tc>
      </w:tr>
      <w:tr>
        <w:trPr>
          <w:cantSplit/>
        </w:trPr>
        <w:tc>
          <w:tcPr>
            <w:shd w:val="clear" w:color="auto" w:fill="f4f6f7"/>
            <w:tcBorders/>
            <w:tcMar>
              <w:left w:w="55" w:type="dxa"/>
              <w:top w:w="45" w:type="dxa"/>
              <w:right w:w="55" w:type="dxa"/>
              <w:bottom w:w="45" w:type="dxa"/>
            </w:tcMar>
            <w:tcW w:w="1095" w:type="dxa"/>
            <w:vAlign w:val="top"/>
          </w:tcPr>
          <w:p>
            <w:pPr>
              <w:pStyle w:val="1089"/>
              <w:pBdr/>
              <w:spacing/>
              <w:ind/>
              <w:rPr/>
            </w:pPr>
            <w:r>
              <w:t xml:space="preserve">G8</w:t>
            </w:r>
            <w:r/>
          </w:p>
        </w:tc>
        <w:tc>
          <w:tcPr>
            <w:shd w:val="clear" w:color="auto" w:fill="f4f6f7"/>
            <w:tcBorders/>
            <w:tcMar>
              <w:left w:w="55" w:type="dxa"/>
              <w:top w:w="45" w:type="dxa"/>
              <w:right w:w="55" w:type="dxa"/>
              <w:bottom w:w="45" w:type="dxa"/>
            </w:tcMar>
            <w:tcW w:w="1460" w:type="dxa"/>
            <w:vAlign w:val="top"/>
          </w:tcPr>
          <w:p>
            <w:pPr>
              <w:pStyle w:val="1089"/>
              <w:pBdr/>
              <w:spacing/>
              <w:ind/>
              <w:rPr/>
            </w:pPr>
            <w:r/>
            <w:r/>
          </w:p>
        </w:tc>
        <w:tc>
          <w:tcPr>
            <w:shd w:val="clear" w:color="auto" w:fill="f4f6f7"/>
            <w:tcBorders/>
            <w:tcMar>
              <w:left w:w="55" w:type="dxa"/>
              <w:top w:w="45" w:type="dxa"/>
              <w:right w:w="55" w:type="dxa"/>
              <w:bottom w:w="45" w:type="dxa"/>
            </w:tcMar>
            <w:tcW w:w="1972" w:type="dxa"/>
            <w:vAlign w:val="top"/>
          </w:tcPr>
          <w:p>
            <w:pPr>
              <w:pStyle w:val="1089"/>
              <w:pBdr/>
              <w:spacing/>
              <w:ind/>
              <w:rPr/>
            </w:pPr>
            <w:r/>
            <w:r/>
          </w:p>
        </w:tc>
        <w:tc>
          <w:tcPr>
            <w:shd w:val="clear" w:color="auto" w:fill="f4f6f7"/>
            <w:tcBorders/>
            <w:tcMar>
              <w:left w:w="55" w:type="dxa"/>
              <w:top w:w="45" w:type="dxa"/>
              <w:right w:w="55" w:type="dxa"/>
              <w:bottom w:w="45" w:type="dxa"/>
            </w:tcMar>
            <w:tcW w:w="5477" w:type="dxa"/>
            <w:vAlign w:val="top"/>
          </w:tcPr>
          <w:p>
            <w:pPr>
              <w:pStyle w:val="1089"/>
              <w:pBdr/>
              <w:spacing/>
              <w:ind/>
              <w:rPr/>
            </w:pPr>
            <w:r/>
            <w:r/>
          </w:p>
        </w:tc>
      </w:tr>
    </w:tbl>
    <w:p>
      <w:pPr>
        <w:pStyle w:val="1097"/>
        <w:pBdr/>
        <w:spacing/>
        <w:ind/>
        <w:rPr/>
      </w:pPr>
      <w:r/>
      <w:r/>
    </w:p>
    <w:p>
      <w:pPr>
        <w:pStyle w:val="1086"/>
        <w:keepNext w:val="true"/>
        <w:keepLines w:val="true"/>
        <w:pBdr/>
        <w:spacing/>
        <w:ind/>
        <w:rPr/>
      </w:pPr>
      <w:r/>
      <w:bookmarkStart w:id="169" w:name="tbl_authorization_template"/>
      <w:r>
        <w:t xml:space="preserve">Template — Authorization record</w:t>
      </w:r>
      <w:bookmarkEnd w:id="169"/>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4382"/>
        <w:gridCol w:w="5624"/>
      </w:tblGrid>
      <w:tr>
        <w:trPr>
          <w:cantSplit/>
          <w:tblHeader/>
        </w:trPr>
        <w:tc>
          <w:tcPr>
            <w:shd w:val="clear" w:color="auto" w:fill="1f5d7a"/>
            <w:tcBorders/>
            <w:tcMar>
              <w:left w:w="70" w:type="dxa"/>
              <w:top w:w="55" w:type="dxa"/>
              <w:right w:w="70" w:type="dxa"/>
              <w:bottom w:w="55" w:type="dxa"/>
            </w:tcMar>
            <w:tcW w:w="4382" w:type="dxa"/>
            <w:vAlign w:val="top"/>
          </w:tcPr>
          <w:p>
            <w:pPr>
              <w:pStyle w:val="1087"/>
              <w:pBdr/>
              <w:spacing/>
              <w:ind/>
              <w:rPr/>
            </w:pPr>
            <w:r>
              <w:t xml:space="preserve">Field</w:t>
            </w:r>
            <w:r/>
          </w:p>
        </w:tc>
        <w:tc>
          <w:tcPr>
            <w:shd w:val="clear" w:color="auto" w:fill="1f5d7a"/>
            <w:tcBorders/>
            <w:tcMar>
              <w:left w:w="70" w:type="dxa"/>
              <w:top w:w="55" w:type="dxa"/>
              <w:right w:w="70" w:type="dxa"/>
              <w:bottom w:w="55" w:type="dxa"/>
            </w:tcMar>
            <w:tcW w:w="5624" w:type="dxa"/>
            <w:vAlign w:val="top"/>
          </w:tcPr>
          <w:p>
            <w:pPr>
              <w:pStyle w:val="1087"/>
              <w:pBdr/>
              <w:spacing/>
              <w:ind/>
              <w:rPr/>
            </w:pPr>
            <w:r>
              <w:t xml:space="preserve">Entry</w:t>
            </w:r>
            <w:r/>
          </w:p>
        </w:tc>
      </w:tr>
      <w:tr>
        <w:trPr>
          <w:cantSplit/>
        </w:trPr>
        <w:tc>
          <w:tcPr>
            <w:shd w:val="clear" w:color="auto" w:fill="ffffff"/>
            <w:tcBorders/>
            <w:tcMar>
              <w:left w:w="70" w:type="dxa"/>
              <w:top w:w="55" w:type="dxa"/>
              <w:right w:w="70" w:type="dxa"/>
              <w:bottom w:w="55" w:type="dxa"/>
            </w:tcMar>
            <w:tcW w:w="4382" w:type="dxa"/>
            <w:vAlign w:val="top"/>
          </w:tcPr>
          <w:p>
            <w:pPr>
              <w:pStyle w:val="1088"/>
              <w:pBdr/>
              <w:spacing/>
              <w:ind/>
              <w:rPr/>
            </w:pPr>
            <w:r>
              <w:t xml:space="preserve">Canonical build ID</w:t>
            </w:r>
            <w:r/>
          </w:p>
        </w:tc>
        <w:tc>
          <w:tcPr>
            <w:shd w:val="clear" w:color="auto" w:fill="ffffff"/>
            <w:tcBorders/>
            <w:tcMar>
              <w:left w:w="70" w:type="dxa"/>
              <w:top w:w="55" w:type="dxa"/>
              <w:right w:w="70" w:type="dxa"/>
              <w:bottom w:w="55" w:type="dxa"/>
            </w:tcMar>
            <w:tcW w:w="5624" w:type="dxa"/>
            <w:vAlign w:val="top"/>
          </w:tcPr>
          <w:p>
            <w:pPr>
              <w:pStyle w:val="1088"/>
              <w:pBdr/>
              <w:spacing/>
              <w:ind/>
              <w:rPr/>
            </w:pPr>
            <w:r/>
            <w:r/>
          </w:p>
        </w:tc>
      </w:tr>
      <w:tr>
        <w:trPr>
          <w:cantSplit/>
        </w:trPr>
        <w:tc>
          <w:tcPr>
            <w:shd w:val="clear" w:color="auto" w:fill="f4f6f7"/>
            <w:tcBorders/>
            <w:tcMar>
              <w:left w:w="70" w:type="dxa"/>
              <w:top w:w="55" w:type="dxa"/>
              <w:right w:w="70" w:type="dxa"/>
              <w:bottom w:w="55" w:type="dxa"/>
            </w:tcMar>
            <w:tcW w:w="4382" w:type="dxa"/>
            <w:vAlign w:val="top"/>
          </w:tcPr>
          <w:p>
            <w:pPr>
              <w:pStyle w:val="1088"/>
              <w:pBdr/>
              <w:spacing/>
              <w:ind/>
              <w:rPr/>
            </w:pPr>
            <w:r>
              <w:t xml:space="preserve">Specification identity</w:t>
            </w:r>
            <w:r/>
          </w:p>
        </w:tc>
        <w:tc>
          <w:tcPr>
            <w:shd w:val="clear" w:color="auto" w:fill="f4f6f7"/>
            <w:tcBorders/>
            <w:tcMar>
              <w:left w:w="70" w:type="dxa"/>
              <w:top w:w="55" w:type="dxa"/>
              <w:right w:w="70" w:type="dxa"/>
              <w:bottom w:w="55" w:type="dxa"/>
            </w:tcMar>
            <w:tcW w:w="5624" w:type="dxa"/>
            <w:vAlign w:val="top"/>
          </w:tcPr>
          <w:p>
            <w:pPr>
              <w:pStyle w:val="1088"/>
              <w:pBdr/>
              <w:spacing/>
              <w:ind/>
              <w:rPr/>
            </w:pPr>
            <w:r>
              <w:t xml:space="preserve">The Atlas of Being and Becoming — Research, Evidence &amp; Validation Specification</w:t>
            </w:r>
            <w:r/>
          </w:p>
        </w:tc>
      </w:tr>
      <w:tr>
        <w:trPr>
          <w:cantSplit/>
        </w:trPr>
        <w:tc>
          <w:tcPr>
            <w:shd w:val="clear" w:color="auto" w:fill="ffffff"/>
            <w:tcBorders/>
            <w:tcMar>
              <w:left w:w="70" w:type="dxa"/>
              <w:top w:w="55" w:type="dxa"/>
              <w:right w:w="70" w:type="dxa"/>
              <w:bottom w:w="55" w:type="dxa"/>
            </w:tcMar>
            <w:tcW w:w="4382" w:type="dxa"/>
            <w:vAlign w:val="top"/>
          </w:tcPr>
          <w:p>
            <w:pPr>
              <w:pStyle w:val="1088"/>
              <w:pBdr/>
              <w:spacing/>
              <w:ind/>
              <w:rPr/>
            </w:pPr>
            <w:r>
              <w:t xml:space="preserve">Schema / vocabulary versions</w:t>
            </w:r>
            <w:r/>
          </w:p>
        </w:tc>
        <w:tc>
          <w:tcPr>
            <w:shd w:val="clear" w:color="auto" w:fill="ffffff"/>
            <w:tcBorders/>
            <w:tcMar>
              <w:left w:w="70" w:type="dxa"/>
              <w:top w:w="55" w:type="dxa"/>
              <w:right w:w="70" w:type="dxa"/>
              <w:bottom w:w="55" w:type="dxa"/>
            </w:tcMar>
            <w:tcW w:w="5624" w:type="dxa"/>
            <w:vAlign w:val="top"/>
          </w:tcPr>
          <w:p>
            <w:pPr>
              <w:pStyle w:val="1088"/>
              <w:pBdr/>
              <w:spacing/>
              <w:ind/>
              <w:rPr/>
            </w:pPr>
            <w:r/>
            <w:r/>
          </w:p>
        </w:tc>
      </w:tr>
      <w:tr>
        <w:trPr>
          <w:cantSplit/>
        </w:trPr>
        <w:tc>
          <w:tcPr>
            <w:shd w:val="clear" w:color="auto" w:fill="f4f6f7"/>
            <w:tcBorders/>
            <w:tcMar>
              <w:left w:w="70" w:type="dxa"/>
              <w:top w:w="55" w:type="dxa"/>
              <w:right w:w="70" w:type="dxa"/>
              <w:bottom w:w="55" w:type="dxa"/>
            </w:tcMar>
            <w:tcW w:w="4382" w:type="dxa"/>
            <w:vAlign w:val="top"/>
          </w:tcPr>
          <w:p>
            <w:pPr>
              <w:pStyle w:val="1088"/>
              <w:pBdr/>
              <w:spacing/>
              <w:ind/>
              <w:rPr/>
            </w:pPr>
            <w:r>
              <w:t xml:space="preserve">Dataset hash</w:t>
            </w:r>
            <w:r/>
          </w:p>
        </w:tc>
        <w:tc>
          <w:tcPr>
            <w:shd w:val="clear" w:color="auto" w:fill="f4f6f7"/>
            <w:tcBorders/>
            <w:tcMar>
              <w:left w:w="70" w:type="dxa"/>
              <w:top w:w="55" w:type="dxa"/>
              <w:right w:w="70" w:type="dxa"/>
              <w:bottom w:w="55" w:type="dxa"/>
            </w:tcMar>
            <w:tcW w:w="5624" w:type="dxa"/>
            <w:vAlign w:val="top"/>
          </w:tcPr>
          <w:p>
            <w:pPr>
              <w:pStyle w:val="1088"/>
              <w:pBdr/>
              <w:spacing/>
              <w:ind/>
              <w:rPr/>
            </w:pPr>
            <w:r/>
            <w:r/>
          </w:p>
        </w:tc>
      </w:tr>
      <w:tr>
        <w:trPr>
          <w:cantSplit/>
        </w:trPr>
        <w:tc>
          <w:tcPr>
            <w:shd w:val="clear" w:color="auto" w:fill="ffffff"/>
            <w:tcBorders/>
            <w:tcMar>
              <w:left w:w="70" w:type="dxa"/>
              <w:top w:w="55" w:type="dxa"/>
              <w:right w:w="70" w:type="dxa"/>
              <w:bottom w:w="55" w:type="dxa"/>
            </w:tcMar>
            <w:tcW w:w="4382" w:type="dxa"/>
            <w:vAlign w:val="top"/>
          </w:tcPr>
          <w:p>
            <w:pPr>
              <w:pStyle w:val="1088"/>
              <w:pBdr/>
              <w:spacing/>
              <w:ind/>
              <w:rPr/>
            </w:pPr>
            <w:r>
              <w:t xml:space="preserve">Validation result</w:t>
            </w:r>
            <w:r/>
          </w:p>
        </w:tc>
        <w:tc>
          <w:tcPr>
            <w:shd w:val="clear" w:color="auto" w:fill="ffffff"/>
            <w:tcBorders/>
            <w:tcMar>
              <w:left w:w="70" w:type="dxa"/>
              <w:top w:w="55" w:type="dxa"/>
              <w:right w:w="70" w:type="dxa"/>
              <w:bottom w:w="55" w:type="dxa"/>
            </w:tcMar>
            <w:tcW w:w="5624" w:type="dxa"/>
            <w:vAlign w:val="top"/>
          </w:tcPr>
          <w:p>
            <w:pPr>
              <w:pStyle w:val="1088"/>
              <w:pBdr/>
              <w:spacing/>
              <w:ind/>
              <w:rPr/>
            </w:pPr>
            <w:r/>
            <w:r/>
          </w:p>
        </w:tc>
      </w:tr>
      <w:tr>
        <w:trPr>
          <w:cantSplit/>
        </w:trPr>
        <w:tc>
          <w:tcPr>
            <w:shd w:val="clear" w:color="auto" w:fill="f4f6f7"/>
            <w:tcBorders/>
            <w:tcMar>
              <w:left w:w="70" w:type="dxa"/>
              <w:top w:w="55" w:type="dxa"/>
              <w:right w:w="70" w:type="dxa"/>
              <w:bottom w:w="55" w:type="dxa"/>
            </w:tcMar>
            <w:tcW w:w="4382" w:type="dxa"/>
            <w:vAlign w:val="top"/>
          </w:tcPr>
          <w:p>
            <w:pPr>
              <w:pStyle w:val="1088"/>
              <w:pBdr/>
              <w:spacing/>
              <w:ind/>
              <w:rPr/>
            </w:pPr>
            <w:r>
              <w:t xml:space="preserve">Severity-1 defects</w:t>
            </w:r>
            <w:r/>
          </w:p>
        </w:tc>
        <w:tc>
          <w:tcPr>
            <w:shd w:val="clear" w:color="auto" w:fill="f4f6f7"/>
            <w:tcBorders/>
            <w:tcMar>
              <w:left w:w="70" w:type="dxa"/>
              <w:top w:w="55" w:type="dxa"/>
              <w:right w:w="70" w:type="dxa"/>
              <w:bottom w:w="55" w:type="dxa"/>
            </w:tcMar>
            <w:tcW w:w="5624" w:type="dxa"/>
            <w:vAlign w:val="top"/>
          </w:tcPr>
          <w:p>
            <w:pPr>
              <w:pStyle w:val="1088"/>
              <w:pBdr/>
              <w:spacing/>
              <w:ind/>
              <w:rPr/>
            </w:pPr>
            <w:r>
              <w:t xml:space="preserve">0 required for GO</w:t>
            </w:r>
            <w:r/>
          </w:p>
        </w:tc>
      </w:tr>
      <w:tr>
        <w:trPr>
          <w:cantSplit/>
        </w:trPr>
        <w:tc>
          <w:tcPr>
            <w:shd w:val="clear" w:color="auto" w:fill="ffffff"/>
            <w:tcBorders/>
            <w:tcMar>
              <w:left w:w="70" w:type="dxa"/>
              <w:top w:w="55" w:type="dxa"/>
              <w:right w:w="70" w:type="dxa"/>
              <w:bottom w:w="55" w:type="dxa"/>
            </w:tcMar>
            <w:tcW w:w="4382" w:type="dxa"/>
            <w:vAlign w:val="top"/>
          </w:tcPr>
          <w:p>
            <w:pPr>
              <w:pStyle w:val="1088"/>
              <w:pBdr/>
              <w:spacing/>
              <w:ind/>
              <w:rPr/>
            </w:pPr>
            <w:r>
              <w:t xml:space="preserve">G1 verdict / evidence maturity</w:t>
            </w:r>
            <w:r/>
          </w:p>
        </w:tc>
        <w:tc>
          <w:tcPr>
            <w:shd w:val="clear" w:color="auto" w:fill="ffffff"/>
            <w:tcBorders/>
            <w:tcMar>
              <w:left w:w="70" w:type="dxa"/>
              <w:top w:w="55" w:type="dxa"/>
              <w:right w:w="70" w:type="dxa"/>
              <w:bottom w:w="55" w:type="dxa"/>
            </w:tcMar>
            <w:tcW w:w="5624" w:type="dxa"/>
            <w:vAlign w:val="top"/>
          </w:tcPr>
          <w:p>
            <w:pPr>
              <w:pStyle w:val="1088"/>
              <w:pBdr/>
              <w:spacing/>
              <w:ind/>
              <w:rPr/>
            </w:pPr>
            <w:r/>
            <w:r/>
          </w:p>
        </w:tc>
      </w:tr>
      <w:tr>
        <w:trPr>
          <w:cantSplit/>
        </w:trPr>
        <w:tc>
          <w:tcPr>
            <w:shd w:val="clear" w:color="auto" w:fill="f4f6f7"/>
            <w:tcBorders/>
            <w:tcMar>
              <w:left w:w="70" w:type="dxa"/>
              <w:top w:w="55" w:type="dxa"/>
              <w:right w:w="70" w:type="dxa"/>
              <w:bottom w:w="55" w:type="dxa"/>
            </w:tcMar>
            <w:tcW w:w="4382" w:type="dxa"/>
            <w:vAlign w:val="top"/>
          </w:tcPr>
          <w:p>
            <w:pPr>
              <w:pStyle w:val="1088"/>
              <w:pBdr/>
              <w:spacing/>
              <w:ind/>
              <w:rPr/>
            </w:pPr>
            <w:r>
              <w:t xml:space="preserve">G2 verdict / eight-state alpha / CAT metric</w:t>
            </w:r>
            <w:r/>
          </w:p>
        </w:tc>
        <w:tc>
          <w:tcPr>
            <w:shd w:val="clear" w:color="auto" w:fill="f4f6f7"/>
            <w:tcBorders/>
            <w:tcMar>
              <w:left w:w="70" w:type="dxa"/>
              <w:top w:w="55" w:type="dxa"/>
              <w:right w:w="70" w:type="dxa"/>
              <w:bottom w:w="55" w:type="dxa"/>
            </w:tcMar>
            <w:tcW w:w="5624" w:type="dxa"/>
            <w:vAlign w:val="top"/>
          </w:tcPr>
          <w:p>
            <w:pPr>
              <w:pStyle w:val="1088"/>
              <w:pBdr/>
              <w:spacing/>
              <w:ind/>
              <w:rPr/>
            </w:pPr>
            <w:r/>
            <w:r/>
          </w:p>
        </w:tc>
      </w:tr>
      <w:tr>
        <w:trPr>
          <w:cantSplit/>
        </w:trPr>
        <w:tc>
          <w:tcPr>
            <w:shd w:val="clear" w:color="auto" w:fill="ffffff"/>
            <w:tcBorders/>
            <w:tcMar>
              <w:left w:w="70" w:type="dxa"/>
              <w:top w:w="55" w:type="dxa"/>
              <w:right w:w="70" w:type="dxa"/>
              <w:bottom w:w="55" w:type="dxa"/>
            </w:tcMar>
            <w:tcW w:w="4382" w:type="dxa"/>
            <w:vAlign w:val="top"/>
          </w:tcPr>
          <w:p>
            <w:pPr>
              <w:pStyle w:val="1088"/>
              <w:pBdr/>
              <w:spacing/>
              <w:ind/>
              <w:rPr/>
            </w:pPr>
            <w:r>
              <w:t xml:space="preserve">G3 verdict / macro and per-type metrics</w:t>
            </w:r>
            <w:r/>
          </w:p>
        </w:tc>
        <w:tc>
          <w:tcPr>
            <w:shd w:val="clear" w:color="auto" w:fill="ffffff"/>
            <w:tcBorders/>
            <w:tcMar>
              <w:left w:w="70" w:type="dxa"/>
              <w:top w:w="55" w:type="dxa"/>
              <w:right w:w="70" w:type="dxa"/>
              <w:bottom w:w="55" w:type="dxa"/>
            </w:tcMar>
            <w:tcW w:w="5624" w:type="dxa"/>
            <w:vAlign w:val="top"/>
          </w:tcPr>
          <w:p>
            <w:pPr>
              <w:pStyle w:val="1088"/>
              <w:pBdr/>
              <w:spacing/>
              <w:ind/>
              <w:rPr/>
            </w:pPr>
            <w:r/>
            <w:r/>
          </w:p>
        </w:tc>
      </w:tr>
      <w:tr>
        <w:trPr>
          <w:cantSplit/>
        </w:trPr>
        <w:tc>
          <w:tcPr>
            <w:shd w:val="clear" w:color="auto" w:fill="f4f6f7"/>
            <w:tcBorders/>
            <w:tcMar>
              <w:left w:w="70" w:type="dxa"/>
              <w:top w:w="55" w:type="dxa"/>
              <w:right w:w="70" w:type="dxa"/>
              <w:bottom w:w="55" w:type="dxa"/>
            </w:tcMar>
            <w:tcW w:w="4382" w:type="dxa"/>
            <w:vAlign w:val="top"/>
          </w:tcPr>
          <w:p>
            <w:pPr>
              <w:pStyle w:val="1088"/>
              <w:pBdr/>
              <w:spacing/>
              <w:ind/>
              <w:rPr/>
            </w:pPr>
            <w:r>
              <w:t xml:space="preserve">G4 verdict / evidence maturity</w:t>
            </w:r>
            <w:r/>
          </w:p>
        </w:tc>
        <w:tc>
          <w:tcPr>
            <w:shd w:val="clear" w:color="auto" w:fill="f4f6f7"/>
            <w:tcBorders/>
            <w:tcMar>
              <w:left w:w="70" w:type="dxa"/>
              <w:top w:w="55" w:type="dxa"/>
              <w:right w:w="70" w:type="dxa"/>
              <w:bottom w:w="55" w:type="dxa"/>
            </w:tcMar>
            <w:tcW w:w="5624" w:type="dxa"/>
            <w:vAlign w:val="top"/>
          </w:tcPr>
          <w:p>
            <w:pPr>
              <w:pStyle w:val="1088"/>
              <w:pBdr/>
              <w:spacing/>
              <w:ind/>
              <w:rPr/>
            </w:pPr>
            <w:r/>
            <w:r/>
          </w:p>
        </w:tc>
      </w:tr>
      <w:tr>
        <w:trPr>
          <w:cantSplit/>
        </w:trPr>
        <w:tc>
          <w:tcPr>
            <w:shd w:val="clear" w:color="auto" w:fill="ffffff"/>
            <w:tcBorders/>
            <w:tcMar>
              <w:left w:w="70" w:type="dxa"/>
              <w:top w:w="55" w:type="dxa"/>
              <w:right w:w="70" w:type="dxa"/>
              <w:bottom w:w="55" w:type="dxa"/>
            </w:tcMar>
            <w:tcW w:w="4382" w:type="dxa"/>
            <w:vAlign w:val="top"/>
          </w:tcPr>
          <w:p>
            <w:pPr>
              <w:pStyle w:val="1088"/>
              <w:pBdr/>
              <w:spacing/>
              <w:ind/>
              <w:rPr/>
            </w:pPr>
            <w:r>
              <w:t xml:space="preserve">G5 verdict / evidence maturity</w:t>
            </w:r>
            <w:r/>
          </w:p>
        </w:tc>
        <w:tc>
          <w:tcPr>
            <w:shd w:val="clear" w:color="auto" w:fill="ffffff"/>
            <w:tcBorders/>
            <w:tcMar>
              <w:left w:w="70" w:type="dxa"/>
              <w:top w:w="55" w:type="dxa"/>
              <w:right w:w="70" w:type="dxa"/>
              <w:bottom w:w="55" w:type="dxa"/>
            </w:tcMar>
            <w:tcW w:w="5624" w:type="dxa"/>
            <w:vAlign w:val="top"/>
          </w:tcPr>
          <w:p>
            <w:pPr>
              <w:pStyle w:val="1088"/>
              <w:pBdr/>
              <w:spacing/>
              <w:ind/>
              <w:rPr/>
            </w:pPr>
            <w:r/>
            <w:r/>
          </w:p>
        </w:tc>
      </w:tr>
      <w:tr>
        <w:trPr>
          <w:cantSplit/>
        </w:trPr>
        <w:tc>
          <w:tcPr>
            <w:shd w:val="clear" w:color="auto" w:fill="f4f6f7"/>
            <w:tcBorders/>
            <w:tcMar>
              <w:left w:w="70" w:type="dxa"/>
              <w:top w:w="55" w:type="dxa"/>
              <w:right w:w="70" w:type="dxa"/>
              <w:bottom w:w="55" w:type="dxa"/>
            </w:tcMar>
            <w:tcW w:w="4382" w:type="dxa"/>
            <w:vAlign w:val="top"/>
          </w:tcPr>
          <w:p>
            <w:pPr>
              <w:pStyle w:val="1088"/>
              <w:pBdr/>
              <w:spacing/>
              <w:ind/>
              <w:rPr/>
            </w:pPr>
            <w:r>
              <w:t xml:space="preserve">G6 Claim traceability rate</w:t>
            </w:r>
            <w:r/>
          </w:p>
        </w:tc>
        <w:tc>
          <w:tcPr>
            <w:shd w:val="clear" w:color="auto" w:fill="f4f6f7"/>
            <w:tcBorders/>
            <w:tcMar>
              <w:left w:w="70" w:type="dxa"/>
              <w:top w:w="55" w:type="dxa"/>
              <w:right w:w="70" w:type="dxa"/>
              <w:bottom w:w="55" w:type="dxa"/>
            </w:tcMar>
            <w:tcW w:w="5624" w:type="dxa"/>
            <w:vAlign w:val="top"/>
          </w:tcPr>
          <w:p>
            <w:pPr>
              <w:pStyle w:val="1088"/>
              <w:pBdr/>
              <w:spacing/>
              <w:ind/>
              <w:rPr/>
            </w:pPr>
            <w:r>
              <w:t xml:space="preserve">1.000 with a positive candidate count; empty scopes follow §C3.6</w:t>
            </w:r>
            <w:r/>
          </w:p>
        </w:tc>
      </w:tr>
      <w:tr>
        <w:trPr>
          <w:cantSplit/>
        </w:trPr>
        <w:tc>
          <w:tcPr>
            <w:shd w:val="clear" w:color="auto" w:fill="ffffff"/>
            <w:tcBorders/>
            <w:tcMar>
              <w:left w:w="70" w:type="dxa"/>
              <w:top w:w="55" w:type="dxa"/>
              <w:right w:w="70" w:type="dxa"/>
              <w:bottom w:w="55" w:type="dxa"/>
            </w:tcMar>
            <w:tcW w:w="4382" w:type="dxa"/>
            <w:vAlign w:val="top"/>
          </w:tcPr>
          <w:p>
            <w:pPr>
              <w:pStyle w:val="1088"/>
              <w:pBdr/>
              <w:spacing/>
              <w:ind/>
              <w:rPr/>
            </w:pPr>
            <w:r>
              <w:t xml:space="preserve">G6 PublicationClaim traceability rate</w:t>
            </w:r>
            <w:r/>
          </w:p>
        </w:tc>
        <w:tc>
          <w:tcPr>
            <w:shd w:val="clear" w:color="auto" w:fill="ffffff"/>
            <w:tcBorders/>
            <w:tcMar>
              <w:left w:w="70" w:type="dxa"/>
              <w:top w:w="55" w:type="dxa"/>
              <w:right w:w="70" w:type="dxa"/>
              <w:bottom w:w="55" w:type="dxa"/>
            </w:tcMar>
            <w:tcW w:w="5624" w:type="dxa"/>
            <w:vAlign w:val="top"/>
          </w:tcPr>
          <w:p>
            <w:pPr>
              <w:pStyle w:val="1088"/>
              <w:pBdr/>
              <w:spacing/>
              <w:ind/>
              <w:rPr/>
            </w:pPr>
            <w:r>
              <w:t xml:space="preserve">1.000 with a positive candidate count; empty scopes follow §C3.6</w:t>
            </w:r>
            <w:r/>
          </w:p>
        </w:tc>
      </w:tr>
      <w:tr>
        <w:trPr>
          <w:cantSplit/>
        </w:trPr>
        <w:tc>
          <w:tcPr>
            <w:shd w:val="clear" w:color="auto" w:fill="f4f6f7"/>
            <w:tcBorders/>
            <w:tcMar>
              <w:left w:w="70" w:type="dxa"/>
              <w:top w:w="55" w:type="dxa"/>
              <w:right w:w="70" w:type="dxa"/>
              <w:bottom w:w="55" w:type="dxa"/>
            </w:tcMar>
            <w:tcW w:w="4382" w:type="dxa"/>
            <w:vAlign w:val="top"/>
          </w:tcPr>
          <w:p>
            <w:pPr>
              <w:pStyle w:val="1088"/>
              <w:pBdr/>
              <w:spacing/>
              <w:ind/>
              <w:rPr/>
            </w:pPr>
            <w:r>
              <w:t xml:space="preserve">G7 verdict / evidence maturity</w:t>
            </w:r>
            <w:r/>
          </w:p>
        </w:tc>
        <w:tc>
          <w:tcPr>
            <w:shd w:val="clear" w:color="auto" w:fill="f4f6f7"/>
            <w:tcBorders/>
            <w:tcMar>
              <w:left w:w="70" w:type="dxa"/>
              <w:top w:w="55" w:type="dxa"/>
              <w:right w:w="70" w:type="dxa"/>
              <w:bottom w:w="55" w:type="dxa"/>
            </w:tcMar>
            <w:tcW w:w="5624" w:type="dxa"/>
            <w:vAlign w:val="top"/>
          </w:tcPr>
          <w:p>
            <w:pPr>
              <w:pStyle w:val="1088"/>
              <w:pBdr/>
              <w:spacing/>
              <w:ind/>
              <w:rPr/>
            </w:pPr>
            <w:r/>
            <w:r/>
          </w:p>
        </w:tc>
      </w:tr>
      <w:tr>
        <w:trPr>
          <w:cantSplit/>
        </w:trPr>
        <w:tc>
          <w:tcPr>
            <w:shd w:val="clear" w:color="auto" w:fill="ffffff"/>
            <w:tcBorders/>
            <w:tcMar>
              <w:left w:w="70" w:type="dxa"/>
              <w:top w:w="55" w:type="dxa"/>
              <w:right w:w="70" w:type="dxa"/>
              <w:bottom w:w="55" w:type="dxa"/>
            </w:tcMar>
            <w:tcW w:w="4382" w:type="dxa"/>
            <w:vAlign w:val="top"/>
          </w:tcPr>
          <w:p>
            <w:pPr>
              <w:pStyle w:val="1088"/>
              <w:pBdr/>
              <w:spacing/>
              <w:ind/>
              <w:rPr/>
            </w:pPr>
            <w:r>
              <w:t xml:space="preserve">G8 run date / verdict / evidence maturity</w:t>
            </w:r>
            <w:r/>
          </w:p>
        </w:tc>
        <w:tc>
          <w:tcPr>
            <w:shd w:val="clear" w:color="auto" w:fill="ffffff"/>
            <w:tcBorders/>
            <w:tcMar>
              <w:left w:w="70" w:type="dxa"/>
              <w:top w:w="55" w:type="dxa"/>
              <w:right w:w="70" w:type="dxa"/>
              <w:bottom w:w="55" w:type="dxa"/>
            </w:tcMar>
            <w:tcW w:w="5624" w:type="dxa"/>
            <w:vAlign w:val="top"/>
          </w:tcPr>
          <w:p>
            <w:pPr>
              <w:pStyle w:val="1088"/>
              <w:pBdr/>
              <w:spacing/>
              <w:ind/>
              <w:rPr/>
            </w:pPr>
            <w:r/>
            <w:r/>
          </w:p>
        </w:tc>
      </w:tr>
      <w:tr>
        <w:trPr>
          <w:cantSplit/>
        </w:trPr>
        <w:tc>
          <w:tcPr>
            <w:shd w:val="clear" w:color="auto" w:fill="f4f6f7"/>
            <w:tcBorders/>
            <w:tcMar>
              <w:left w:w="70" w:type="dxa"/>
              <w:top w:w="55" w:type="dxa"/>
              <w:right w:w="70" w:type="dxa"/>
              <w:bottom w:w="55" w:type="dxa"/>
            </w:tcMar>
            <w:tcW w:w="4382" w:type="dxa"/>
            <w:vAlign w:val="top"/>
          </w:tcPr>
          <w:p>
            <w:pPr>
              <w:pStyle w:val="1088"/>
              <w:pBdr/>
              <w:spacing/>
              <w:ind/>
              <w:rPr/>
            </w:pPr>
            <w:r>
              <w:t xml:space="preserve">Unresolved Severity-2/3 issues</w:t>
            </w:r>
            <w:r/>
          </w:p>
        </w:tc>
        <w:tc>
          <w:tcPr>
            <w:shd w:val="clear" w:color="auto" w:fill="f4f6f7"/>
            <w:tcBorders/>
            <w:tcMar>
              <w:left w:w="70" w:type="dxa"/>
              <w:top w:w="55" w:type="dxa"/>
              <w:right w:w="70" w:type="dxa"/>
              <w:bottom w:w="55" w:type="dxa"/>
            </w:tcMar>
            <w:tcW w:w="5624" w:type="dxa"/>
            <w:vAlign w:val="top"/>
          </w:tcPr>
          <w:p>
            <w:pPr>
              <w:pStyle w:val="1088"/>
              <w:pBdr/>
              <w:spacing/>
              <w:ind/>
              <w:rPr/>
            </w:pPr>
            <w:r/>
            <w:r/>
          </w:p>
        </w:tc>
      </w:tr>
      <w:tr>
        <w:trPr>
          <w:cantSplit/>
        </w:trPr>
        <w:tc>
          <w:tcPr>
            <w:shd w:val="clear" w:color="auto" w:fill="ffffff"/>
            <w:tcBorders/>
            <w:tcMar>
              <w:left w:w="70" w:type="dxa"/>
              <w:top w:w="55" w:type="dxa"/>
              <w:right w:w="70" w:type="dxa"/>
              <w:bottom w:w="55" w:type="dxa"/>
            </w:tcMar>
            <w:tcW w:w="4382" w:type="dxa"/>
            <w:vAlign w:val="top"/>
          </w:tcPr>
          <w:p>
            <w:pPr>
              <w:pStyle w:val="1088"/>
              <w:pBdr/>
              <w:spacing/>
              <w:ind/>
              <w:rPr/>
            </w:pPr>
            <w:r>
              <w:t xml:space="preserve">Decision</w:t>
            </w:r>
            <w:r/>
          </w:p>
        </w:tc>
        <w:tc>
          <w:tcPr>
            <w:shd w:val="clear" w:color="auto" w:fill="ffffff"/>
            <w:tcBorders/>
            <w:tcMar>
              <w:left w:w="70" w:type="dxa"/>
              <w:top w:w="55" w:type="dxa"/>
              <w:right w:w="70" w:type="dxa"/>
              <w:bottom w:w="55" w:type="dxa"/>
            </w:tcMar>
            <w:tcW w:w="5624" w:type="dxa"/>
            <w:vAlign w:val="top"/>
          </w:tcPr>
          <w:p>
            <w:pPr>
              <w:pStyle w:val="1088"/>
              <w:pBdr/>
              <w:spacing/>
              <w:ind/>
              <w:rPr/>
            </w:pPr>
            <w:r>
              <w:t xml:space="preserve">authorization_decision:GO / HOLD</w:t>
            </w:r>
            <w:r/>
          </w:p>
        </w:tc>
      </w:tr>
      <w:tr>
        <w:trPr>
          <w:cantSplit/>
        </w:trPr>
        <w:tc>
          <w:tcPr>
            <w:shd w:val="clear" w:color="auto" w:fill="f4f6f7"/>
            <w:tcBorders/>
            <w:tcMar>
              <w:left w:w="70" w:type="dxa"/>
              <w:top w:w="55" w:type="dxa"/>
              <w:right w:w="70" w:type="dxa"/>
              <w:bottom w:w="55" w:type="dxa"/>
            </w:tcMar>
            <w:tcW w:w="4382" w:type="dxa"/>
            <w:vAlign w:val="top"/>
          </w:tcPr>
          <w:p>
            <w:pPr>
              <w:pStyle w:val="1088"/>
              <w:pBdr/>
              <w:spacing/>
              <w:ind/>
              <w:rPr/>
            </w:pPr>
            <w:r>
              <w:t xml:space="preserve">Decision rationale</w:t>
            </w:r>
            <w:r/>
          </w:p>
        </w:tc>
        <w:tc>
          <w:tcPr>
            <w:shd w:val="clear" w:color="auto" w:fill="f4f6f7"/>
            <w:tcBorders/>
            <w:tcMar>
              <w:left w:w="70" w:type="dxa"/>
              <w:top w:w="55" w:type="dxa"/>
              <w:right w:w="70" w:type="dxa"/>
              <w:bottom w:w="55" w:type="dxa"/>
            </w:tcMar>
            <w:tcW w:w="5624" w:type="dxa"/>
            <w:vAlign w:val="top"/>
          </w:tcPr>
          <w:p>
            <w:pPr>
              <w:pStyle w:val="1088"/>
              <w:pBdr/>
              <w:spacing/>
              <w:ind/>
              <w:rPr/>
            </w:pPr>
            <w:r/>
            <w:r/>
          </w:p>
        </w:tc>
      </w:tr>
      <w:tr>
        <w:trPr>
          <w:cantSplit/>
        </w:trPr>
        <w:tc>
          <w:tcPr>
            <w:shd w:val="clear" w:color="auto" w:fill="ffffff"/>
            <w:tcBorders/>
            <w:tcMar>
              <w:left w:w="70" w:type="dxa"/>
              <w:top w:w="55" w:type="dxa"/>
              <w:right w:w="70" w:type="dxa"/>
              <w:bottom w:w="55" w:type="dxa"/>
            </w:tcMar>
            <w:tcW w:w="4382" w:type="dxa"/>
            <w:vAlign w:val="top"/>
          </w:tcPr>
          <w:p>
            <w:pPr>
              <w:pStyle w:val="1088"/>
              <w:pBdr/>
              <w:spacing/>
              <w:ind/>
              <w:rPr/>
            </w:pPr>
            <w:r>
              <w:t xml:space="preserve">Release officer</w:t>
            </w:r>
            <w:r/>
          </w:p>
        </w:tc>
        <w:tc>
          <w:tcPr>
            <w:shd w:val="clear" w:color="auto" w:fill="ffffff"/>
            <w:tcBorders/>
            <w:tcMar>
              <w:left w:w="70" w:type="dxa"/>
              <w:top w:w="55" w:type="dxa"/>
              <w:right w:w="70" w:type="dxa"/>
              <w:bottom w:w="55" w:type="dxa"/>
            </w:tcMar>
            <w:tcW w:w="5624" w:type="dxa"/>
            <w:vAlign w:val="top"/>
          </w:tcPr>
          <w:p>
            <w:pPr>
              <w:pStyle w:val="1088"/>
              <w:pBdr/>
              <w:spacing/>
              <w:ind/>
              <w:rPr/>
            </w:pPr>
            <w:r/>
            <w:r/>
          </w:p>
        </w:tc>
      </w:tr>
      <w:tr>
        <w:trPr>
          <w:cantSplit/>
        </w:trPr>
        <w:tc>
          <w:tcPr>
            <w:shd w:val="clear" w:color="auto" w:fill="f4f6f7"/>
            <w:tcBorders/>
            <w:tcMar>
              <w:left w:w="70" w:type="dxa"/>
              <w:top w:w="55" w:type="dxa"/>
              <w:right w:w="70" w:type="dxa"/>
              <w:bottom w:w="55" w:type="dxa"/>
            </w:tcMar>
            <w:tcW w:w="4382" w:type="dxa"/>
            <w:vAlign w:val="top"/>
          </w:tcPr>
          <w:p>
            <w:pPr>
              <w:pStyle w:val="1088"/>
              <w:pBdr/>
              <w:spacing/>
              <w:ind/>
              <w:rPr/>
            </w:pPr>
            <w:r>
              <w:t xml:space="preserve">Decision date</w:t>
            </w:r>
            <w:r/>
          </w:p>
        </w:tc>
        <w:tc>
          <w:tcPr>
            <w:shd w:val="clear" w:color="auto" w:fill="f4f6f7"/>
            <w:tcBorders/>
            <w:tcMar>
              <w:left w:w="70" w:type="dxa"/>
              <w:top w:w="55" w:type="dxa"/>
              <w:right w:w="70" w:type="dxa"/>
              <w:bottom w:w="55" w:type="dxa"/>
            </w:tcMar>
            <w:tcW w:w="5624" w:type="dxa"/>
            <w:vAlign w:val="top"/>
          </w:tcPr>
          <w:p>
            <w:pPr>
              <w:pStyle w:val="1088"/>
              <w:pBdr/>
              <w:spacing/>
              <w:ind/>
              <w:rPr/>
            </w:pPr>
            <w:r/>
            <w:r/>
          </w:p>
        </w:tc>
      </w:tr>
    </w:tbl>
    <w:p>
      <w:pPr>
        <w:pStyle w:val="922"/>
        <w:keepNext w:val="true"/>
        <w:keepLines w:val="true"/>
        <w:pBdr/>
        <w:spacing/>
        <w:ind/>
        <w:rPr/>
      </w:pPr>
      <w:r/>
      <w:bookmarkStart w:id="170" w:name="annex_d"/>
      <w:r>
        <w:t xml:space="preserve">Annex D — Failure modes and edge cases</w:t>
      </w:r>
      <w:bookmarkEnd w:id="170"/>
      <w:r/>
      <w:r/>
    </w:p>
    <w:p>
      <w:pPr>
        <w:pStyle w:val="1086"/>
        <w:keepNext w:val="true"/>
        <w:keepLines w:val="true"/>
        <w:pBdr/>
        <w:spacing/>
        <w:ind/>
        <w:rPr/>
      </w:pPr>
      <w:r/>
      <w:bookmarkStart w:id="171" w:name="Section_front_door_6"/>
      <w:r>
        <w:t xml:space="preserve">Governing — Section front door</w:t>
      </w:r>
      <w:bookmarkEnd w:id="171"/>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1972"/>
        <w:gridCol w:w="8034"/>
      </w:tblGrid>
      <w:tr>
        <w:trPr>
          <w:cantSplit/>
          <w:tblHeader/>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Purpose</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Preserve distinct failure boundaries and compact examples that operators use to avoid false attribution, invalid coding, unsupported comparison, representation failure and hidden publication inference.</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Primary users</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Researchers, coders, reviewers and trainers.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Authority status</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Example</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Decision or rule</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Examples illustrate governing rules; they are not source records, adjudication keys or release evidence.</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Required output</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Correct handling of recurrent boundary cases.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Go to</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Annexes A–C for exact definitions, fields and tests.</w:t>
            </w:r>
            <w:r/>
          </w:p>
        </w:tc>
      </w:tr>
    </w:tbl>
    <w:p>
      <w:pPr>
        <w:pStyle w:val="1097"/>
        <w:pBdr/>
        <w:spacing/>
        <w:ind/>
        <w:rPr/>
      </w:pPr>
      <w:r/>
      <w:r/>
    </w:p>
    <w:p>
      <w:pPr>
        <w:pStyle w:val="923"/>
        <w:keepNext w:val="true"/>
        <w:keepLines w:val="true"/>
        <w:pBdr/>
        <w:spacing/>
        <w:ind/>
        <w:rPr/>
      </w:pPr>
      <w:r/>
      <w:bookmarkStart w:id="172" w:name="annex_d1_failures"/>
      <w:r>
        <w:t xml:space="preserve">D1. Known failure modes</w:t>
      </w:r>
      <w:bookmarkEnd w:id="172"/>
      <w:r/>
      <w:r/>
    </w:p>
    <w:p>
      <w:pPr>
        <w:pStyle w:val="1086"/>
        <w:keepNext w:val="true"/>
        <w:keepLines w:val="true"/>
        <w:pBdr/>
        <w:spacing/>
        <w:ind/>
        <w:rPr/>
      </w:pPr>
      <w:r/>
      <w:bookmarkStart w:id="173" w:name="tbl_failure_modes"/>
      <w:r>
        <w:t xml:space="preserve">Example — Known failure modes and required safeguards</w:t>
      </w:r>
      <w:bookmarkEnd w:id="173"/>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264"/>
        <w:gridCol w:w="3578"/>
        <w:gridCol w:w="4163"/>
      </w:tblGrid>
      <w:tr>
        <w:trPr>
          <w:cantSplit/>
          <w:tblHeader/>
        </w:trPr>
        <w:tc>
          <w:tcPr>
            <w:shd w:val="clear" w:color="auto" w:fill="1f5d7a"/>
            <w:tcBorders/>
            <w:tcMar>
              <w:left w:w="55" w:type="dxa"/>
              <w:top w:w="45" w:type="dxa"/>
              <w:right w:w="55" w:type="dxa"/>
              <w:bottom w:w="45" w:type="dxa"/>
            </w:tcMar>
            <w:tcW w:w="2264" w:type="dxa"/>
            <w:vAlign w:val="top"/>
          </w:tcPr>
          <w:p>
            <w:pPr>
              <w:pStyle w:val="1090"/>
              <w:pBdr/>
              <w:spacing/>
              <w:ind/>
              <w:rPr/>
            </w:pPr>
            <w:r>
              <w:t xml:space="preserve">Failure mode</w:t>
            </w:r>
            <w:r/>
          </w:p>
        </w:tc>
        <w:tc>
          <w:tcPr>
            <w:shd w:val="clear" w:color="auto" w:fill="1f5d7a"/>
            <w:tcBorders/>
            <w:tcMar>
              <w:left w:w="55" w:type="dxa"/>
              <w:top w:w="45" w:type="dxa"/>
              <w:right w:w="55" w:type="dxa"/>
              <w:bottom w:w="45" w:type="dxa"/>
            </w:tcMar>
            <w:tcW w:w="3578" w:type="dxa"/>
            <w:vAlign w:val="top"/>
          </w:tcPr>
          <w:p>
            <w:pPr>
              <w:pStyle w:val="1090"/>
              <w:pBdr/>
              <w:spacing/>
              <w:ind/>
              <w:rPr/>
            </w:pPr>
            <w:r>
              <w:t xml:space="preserve">Typical error</w:t>
            </w:r>
            <w:r/>
          </w:p>
        </w:tc>
        <w:tc>
          <w:tcPr>
            <w:shd w:val="clear" w:color="auto" w:fill="1f5d7a"/>
            <w:tcBorders/>
            <w:tcMar>
              <w:left w:w="55" w:type="dxa"/>
              <w:top w:w="45" w:type="dxa"/>
              <w:right w:w="55" w:type="dxa"/>
              <w:bottom w:w="45" w:type="dxa"/>
            </w:tcMar>
            <w:tcW w:w="4163" w:type="dxa"/>
            <w:vAlign w:val="top"/>
          </w:tcPr>
          <w:p>
            <w:pPr>
              <w:pStyle w:val="1090"/>
              <w:pBdr/>
              <w:spacing/>
              <w:ind/>
              <w:rPr/>
            </w:pPr>
            <w:r>
              <w:t xml:space="preserve">Required safeguard</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Consciousness = personhood</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Treating a theory of awareness as a theory of personal identity.</w:t>
            </w:r>
            <w:r/>
          </w:p>
        </w:tc>
        <w:tc>
          <w:tcPr>
            <w:shd w:val="clear" w:color="auto" w:fill="ffffff"/>
            <w:tcBorders/>
            <w:tcMar>
              <w:left w:w="55" w:type="dxa"/>
              <w:top w:w="45" w:type="dxa"/>
              <w:right w:w="55" w:type="dxa"/>
              <w:bottom w:w="45" w:type="dxa"/>
            </w:tcMar>
            <w:tcW w:w="4163" w:type="dxa"/>
            <w:vAlign w:val="top"/>
          </w:tcPr>
          <w:p>
            <w:pPr>
              <w:pStyle w:val="1089"/>
              <w:pBdr/>
              <w:spacing/>
              <w:ind/>
              <w:rPr/>
            </w:pPr>
            <w:r>
              <w:t xml:space="preserve">Keep D5 and D6 separate. A Position may answer one and leave the other response_state:UND or response_state:NSA.</w:t>
            </w:r>
            <w:r/>
          </w:p>
        </w:tc>
      </w:tr>
      <w:tr>
        <w:trPr>
          <w:cantSplit/>
        </w:trPr>
        <w:tc>
          <w:tcPr>
            <w:shd w:val="clear" w:color="auto" w:fill="f4f6f7"/>
            <w:tcBorders/>
            <w:tcMar>
              <w:left w:w="55" w:type="dxa"/>
              <w:top w:w="45" w:type="dxa"/>
              <w:right w:w="55" w:type="dxa"/>
              <w:bottom w:w="45" w:type="dxa"/>
            </w:tcMar>
            <w:tcW w:w="2264" w:type="dxa"/>
            <w:vAlign w:val="top"/>
          </w:tcPr>
          <w:p>
            <w:pPr>
              <w:pStyle w:val="1089"/>
              <w:pBdr/>
              <w:spacing/>
              <w:ind/>
              <w:rPr/>
            </w:pPr>
            <w:r>
              <w:t xml:space="preserve">Causal order = agency</w:t>
            </w:r>
            <w:r/>
          </w:p>
        </w:tc>
        <w:tc>
          <w:tcPr>
            <w:shd w:val="clear" w:color="auto" w:fill="f4f6f7"/>
            <w:tcBorders/>
            <w:tcMar>
              <w:left w:w="55" w:type="dxa"/>
              <w:top w:w="45" w:type="dxa"/>
              <w:right w:w="55" w:type="dxa"/>
              <w:bottom w:w="45" w:type="dxa"/>
            </w:tcMar>
            <w:tcW w:w="3578" w:type="dxa"/>
            <w:vAlign w:val="top"/>
          </w:tcPr>
          <w:p>
            <w:pPr>
              <w:pStyle w:val="1089"/>
              <w:pBdr/>
              <w:spacing/>
              <w:ind/>
              <w:rPr/>
            </w:pPr>
            <w:r>
              <w:t xml:space="preserve">Inferring freedom or responsibility directly from a causal/metaphysical order.</w:t>
            </w:r>
            <w:r/>
          </w:p>
        </w:tc>
        <w:tc>
          <w:tcPr>
            <w:shd w:val="clear" w:color="auto" w:fill="f4f6f7"/>
            <w:tcBorders/>
            <w:tcMar>
              <w:left w:w="55" w:type="dxa"/>
              <w:top w:w="45" w:type="dxa"/>
              <w:right w:w="55" w:type="dxa"/>
              <w:bottom w:w="45" w:type="dxa"/>
            </w:tcMar>
            <w:tcW w:w="4163" w:type="dxa"/>
            <w:vAlign w:val="top"/>
          </w:tcPr>
          <w:p>
            <w:pPr>
              <w:pStyle w:val="1089"/>
              <w:pBdr/>
              <w:spacing/>
              <w:ind/>
              <w:rPr/>
            </w:pPr>
            <w:r>
              <w:t xml:space="preserve">Keep D10 and D11 separate; source each independently.</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Nature/culture assumed</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Forcing a nature/culture binary onto a source that partitions beings differently.</w:t>
            </w:r>
            <w:r/>
          </w:p>
        </w:tc>
        <w:tc>
          <w:tcPr>
            <w:shd w:val="clear" w:color="auto" w:fill="ffffff"/>
            <w:tcBorders/>
            <w:tcMar>
              <w:left w:w="55" w:type="dxa"/>
              <w:top w:w="45" w:type="dxa"/>
              <w:right w:w="55" w:type="dxa"/>
              <w:bottom w:w="45" w:type="dxa"/>
            </w:tcMar>
            <w:tcW w:w="4163" w:type="dxa"/>
            <w:vAlign w:val="top"/>
          </w:tcPr>
          <w:p>
            <w:pPr>
              <w:pStyle w:val="1089"/>
              <w:pBdr/>
              <w:spacing/>
              <w:ind/>
              <w:rPr/>
            </w:pPr>
            <w:r>
              <w:t xml:space="preserve">Use D3 as a partitioning question; add response_modifier:CAT if the binary distorts the source.</w:t>
            </w:r>
            <w:r/>
          </w:p>
        </w:tc>
      </w:tr>
      <w:tr>
        <w:trPr>
          <w:cantSplit/>
        </w:trPr>
        <w:tc>
          <w:tcPr>
            <w:shd w:val="clear" w:color="auto" w:fill="f4f6f7"/>
            <w:tcBorders/>
            <w:tcMar>
              <w:left w:w="55" w:type="dxa"/>
              <w:top w:w="45" w:type="dxa"/>
              <w:right w:w="55" w:type="dxa"/>
              <w:bottom w:w="45" w:type="dxa"/>
            </w:tcMar>
            <w:tcW w:w="2264" w:type="dxa"/>
            <w:vAlign w:val="top"/>
          </w:tcPr>
          <w:p>
            <w:pPr>
              <w:pStyle w:val="1089"/>
              <w:pBdr/>
              <w:spacing/>
              <w:ind/>
              <w:rPr/>
            </w:pPr>
            <w:r>
              <w:t xml:space="preserve">response_state:UND = response_state:INS</w:t>
            </w:r>
            <w:r/>
          </w:p>
        </w:tc>
        <w:tc>
          <w:tcPr>
            <w:shd w:val="clear" w:color="auto" w:fill="f4f6f7"/>
            <w:tcBorders/>
            <w:tcMar>
              <w:left w:w="55" w:type="dxa"/>
              <w:top w:w="45" w:type="dxa"/>
              <w:right w:w="55" w:type="dxa"/>
              <w:bottom w:w="45" w:type="dxa"/>
            </w:tcMar>
            <w:tcW w:w="3578" w:type="dxa"/>
            <w:vAlign w:val="top"/>
          </w:tcPr>
          <w:p>
            <w:pPr>
              <w:pStyle w:val="1089"/>
              <w:pBdr/>
              <w:spacing/>
              <w:ind/>
              <w:rPr/>
            </w:pPr>
            <w:r>
              <w:t xml:space="preserve">Calling a Position open because evidence is missing, or calling evidence weak because the Position is genuinely open.</w:t>
            </w:r>
            <w:r/>
          </w:p>
        </w:tc>
        <w:tc>
          <w:tcPr>
            <w:shd w:val="clear" w:color="auto" w:fill="f4f6f7"/>
            <w:tcBorders/>
            <w:tcMar>
              <w:left w:w="55" w:type="dxa"/>
              <w:top w:w="45" w:type="dxa"/>
              <w:right w:w="55" w:type="dxa"/>
              <w:bottom w:w="45" w:type="dxa"/>
            </w:tcMar>
            <w:tcW w:w="4163" w:type="dxa"/>
            <w:vAlign w:val="top"/>
          </w:tcPr>
          <w:p>
            <w:pPr>
              <w:pStyle w:val="1089"/>
              <w:pBdr/>
              <w:spacing/>
              <w:ind/>
              <w:rPr/>
            </w:pPr>
            <w:r>
              <w:t xml:space="preserve">Apply §4.1 first. When the remaining distinction is UND versus INS, ask whether more or better evidence could plausibly sett</w:t>
            </w:r>
            <w:r>
              <w:t xml:space="preserve">le the record without changing the bounded Position. Use INS when the present package is inadequate; use UND when adequate evidence establishes that the Position itself leaves the issue open. Keep NSA and IND distinct and give the state-specific rationale.</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response_state:VAR = broad-label heterogeneity</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Using response_state:VAR because a tradition-level label contains multiple schools that could be separately bounded.</w:t>
            </w:r>
            <w:r/>
          </w:p>
        </w:tc>
        <w:tc>
          <w:tcPr>
            <w:shd w:val="clear" w:color="auto" w:fill="ffffff"/>
            <w:tcBorders/>
            <w:tcMar>
              <w:left w:w="55" w:type="dxa"/>
              <w:top w:w="45" w:type="dxa"/>
              <w:right w:w="55" w:type="dxa"/>
              <w:bottom w:w="45" w:type="dxa"/>
            </w:tcMar>
            <w:tcW w:w="4163" w:type="dxa"/>
            <w:vAlign w:val="top"/>
          </w:tcPr>
          <w:p>
            <w:pPr>
              <w:pStyle w:val="1089"/>
              <w:pBdr/>
              <w:spacing/>
              <w:ind/>
              <w:rPr/>
            </w:pPr>
            <w:r>
              <w:t xml:space="preserve">Perform the boundary assessment first. Split into Positions or subpositions unless plurality is constitutive of the declared research object.</w:t>
            </w:r>
            <w:r/>
          </w:p>
        </w:tc>
      </w:tr>
      <w:tr>
        <w:trPr>
          <w:cantSplit/>
        </w:trPr>
        <w:tc>
          <w:tcPr>
            <w:shd w:val="clear" w:color="auto" w:fill="f4f6f7"/>
            <w:tcBorders/>
            <w:tcMar>
              <w:left w:w="55" w:type="dxa"/>
              <w:top w:w="45" w:type="dxa"/>
              <w:right w:w="55" w:type="dxa"/>
              <w:bottom w:w="45" w:type="dxa"/>
            </w:tcMar>
            <w:tcW w:w="2264" w:type="dxa"/>
            <w:vAlign w:val="top"/>
          </w:tcPr>
          <w:p>
            <w:pPr>
              <w:pStyle w:val="1089"/>
              <w:pBdr/>
              <w:spacing/>
              <w:ind/>
              <w:rPr/>
            </w:pPr>
            <w:r>
              <w:t xml:space="preserve">response_state:REF = response_modifier:CAT</w:t>
            </w:r>
            <w:r/>
          </w:p>
        </w:tc>
        <w:tc>
          <w:tcPr>
            <w:shd w:val="clear" w:color="auto" w:fill="f4f6f7"/>
            <w:tcBorders/>
            <w:tcMar>
              <w:left w:w="55" w:type="dxa"/>
              <w:top w:w="45" w:type="dxa"/>
              <w:right w:w="55" w:type="dxa"/>
              <w:bottom w:w="45" w:type="dxa"/>
            </w:tcMar>
            <w:tcW w:w="3578" w:type="dxa"/>
            <w:vAlign w:val="top"/>
          </w:tcPr>
          <w:p>
            <w:pPr>
              <w:pStyle w:val="1089"/>
              <w:pBdr/>
              <w:spacing/>
              <w:ind/>
              <w:rPr/>
            </w:pPr>
            <w:r>
              <w:t xml:space="preserve">Treating a category warning as the Position's answer, or treating reframing as only a translation warning.</w:t>
            </w:r>
            <w:r/>
          </w:p>
        </w:tc>
        <w:tc>
          <w:tcPr>
            <w:shd w:val="clear" w:color="auto" w:fill="f4f6f7"/>
            <w:tcBorders/>
            <w:tcMar>
              <w:left w:w="55" w:type="dxa"/>
              <w:top w:w="45" w:type="dxa"/>
              <w:right w:w="55" w:type="dxa"/>
              <w:bottom w:w="45" w:type="dxa"/>
            </w:tcMar>
            <w:tcW w:w="4163" w:type="dxa"/>
            <w:vAlign w:val="top"/>
          </w:tcPr>
          <w:p>
            <w:pPr>
              <w:pStyle w:val="1089"/>
              <w:pBdr/>
              <w:spacing/>
              <w:ind/>
              <w:rPr/>
            </w:pPr>
            <w:r>
              <w:t xml:space="preserve">Record one response_state value and response_modifier:CAT separately. response_state:REF + response_modifier:CAT, response_state:DEN + response_modifier:CAT and response_state:ANS + response_modifier:CAT are valid combinations.</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Partial thesis inflated</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Importing contextual commitments into a narrow philosophical thesis to fill D1-D15.</w:t>
            </w:r>
            <w:r/>
          </w:p>
        </w:tc>
        <w:tc>
          <w:tcPr>
            <w:shd w:val="clear" w:color="auto" w:fill="ffffff"/>
            <w:tcBorders/>
            <w:tcMar>
              <w:left w:w="55" w:type="dxa"/>
              <w:top w:w="45" w:type="dxa"/>
              <w:right w:w="55" w:type="dxa"/>
              <w:bottom w:w="45" w:type="dxa"/>
            </w:tcMar>
            <w:tcW w:w="4163" w:type="dxa"/>
            <w:vAlign w:val="top"/>
          </w:tcPr>
          <w:p>
            <w:pPr>
              <w:pStyle w:val="1089"/>
              <w:pBdr/>
              <w:spacing/>
              <w:ind/>
              <w:rPr/>
            </w:pPr>
            <w:r>
              <w:t xml:space="preserve">Use claim_attachment:CTX and response_state:NSA or response_state:UND; do not manufacture a complete Position.</w:t>
            </w:r>
            <w:r/>
          </w:p>
        </w:tc>
      </w:tr>
      <w:tr>
        <w:trPr>
          <w:cantSplit/>
        </w:trPr>
        <w:tc>
          <w:tcPr>
            <w:shd w:val="clear" w:color="auto" w:fill="f4f6f7"/>
            <w:tcBorders/>
            <w:tcMar>
              <w:left w:w="55" w:type="dxa"/>
              <w:top w:w="45" w:type="dxa"/>
              <w:right w:w="55" w:type="dxa"/>
              <w:bottom w:w="45" w:type="dxa"/>
            </w:tcMar>
            <w:tcW w:w="2264" w:type="dxa"/>
            <w:vAlign w:val="top"/>
          </w:tcPr>
          <w:p>
            <w:pPr>
              <w:pStyle w:val="1089"/>
              <w:pBdr/>
              <w:spacing/>
              <w:ind/>
              <w:rPr/>
            </w:pPr>
            <w:r>
              <w:t xml:space="preserve">Compatibility = equivalence</w:t>
            </w:r>
            <w:r/>
          </w:p>
        </w:tc>
        <w:tc>
          <w:tcPr>
            <w:shd w:val="clear" w:color="auto" w:fill="f4f6f7"/>
            <w:tcBorders/>
            <w:tcMar>
              <w:left w:w="55" w:type="dxa"/>
              <w:top w:w="45" w:type="dxa"/>
              <w:right w:w="55" w:type="dxa"/>
              <w:bottom w:w="45" w:type="dxa"/>
            </w:tcMar>
            <w:tcW w:w="3578" w:type="dxa"/>
            <w:vAlign w:val="top"/>
          </w:tcPr>
          <w:p>
            <w:pPr>
              <w:pStyle w:val="1089"/>
              <w:pBdr/>
              <w:spacing/>
              <w:ind/>
              <w:rPr/>
            </w:pPr>
            <w:r>
              <w:t xml:space="preserve">Treating two propositions as the same because they can coexist.</w:t>
            </w:r>
            <w:r/>
          </w:p>
        </w:tc>
        <w:tc>
          <w:tcPr>
            <w:shd w:val="clear" w:color="auto" w:fill="f4f6f7"/>
            <w:tcBorders/>
            <w:tcMar>
              <w:left w:w="55" w:type="dxa"/>
              <w:top w:w="45" w:type="dxa"/>
              <w:right w:w="55" w:type="dxa"/>
              <w:bottom w:w="45" w:type="dxa"/>
            </w:tcMar>
            <w:tcW w:w="4163" w:type="dxa"/>
            <w:vAlign w:val="top"/>
          </w:tcPr>
          <w:p>
            <w:pPr>
              <w:pStyle w:val="1089"/>
              <w:pBdr/>
              <w:spacing/>
              <w:ind/>
              <w:rPr/>
            </w:pPr>
            <w:r>
              <w:t xml:space="preserve">Use relation:OCO for compatibility. relation:OEQ requires narrow dimensions, failure conditions, linked disanalogy and specialist review.</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Same-key contradiction</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Assigning relation:OEQ and relation:INC or relation:OCO and relation:INC to the same claim pair, dimension and scope.</w:t>
            </w:r>
            <w:r/>
          </w:p>
        </w:tc>
        <w:tc>
          <w:tcPr>
            <w:shd w:val="clear" w:color="auto" w:fill="ffffff"/>
            <w:tcBorders/>
            <w:tcMar>
              <w:left w:w="55" w:type="dxa"/>
              <w:top w:w="45" w:type="dxa"/>
              <w:right w:w="55" w:type="dxa"/>
              <w:bottom w:w="45" w:type="dxa"/>
            </w:tcMar>
            <w:tcW w:w="4163" w:type="dxa"/>
            <w:vAlign w:val="top"/>
          </w:tcPr>
          <w:p>
            <w:pPr>
              <w:pStyle w:val="1089"/>
              <w:pBdr/>
              <w:spacing/>
              <w:ind/>
              <w:rPr/>
            </w:pPr>
            <w:r>
              <w:t xml:space="preserve">Run the coherence validator; revise propositions, dimension or scope, or remove the invalid relation.</w:t>
            </w:r>
            <w:r/>
          </w:p>
        </w:tc>
      </w:tr>
      <w:tr>
        <w:trPr>
          <w:cantSplit/>
        </w:trPr>
        <w:tc>
          <w:tcPr>
            <w:shd w:val="clear" w:color="auto" w:fill="f4f6f7"/>
            <w:tcBorders/>
            <w:tcMar>
              <w:left w:w="55" w:type="dxa"/>
              <w:top w:w="45" w:type="dxa"/>
              <w:right w:w="55" w:type="dxa"/>
              <w:bottom w:w="45" w:type="dxa"/>
            </w:tcMar>
            <w:tcW w:w="2264" w:type="dxa"/>
            <w:vAlign w:val="top"/>
          </w:tcPr>
          <w:p>
            <w:pPr>
              <w:pStyle w:val="1089"/>
              <w:pBdr/>
              <w:spacing/>
              <w:ind/>
              <w:rPr/>
            </w:pPr>
            <w:r>
              <w:t xml:space="preserve">MIS = incommensurable</w:t>
            </w:r>
            <w:r/>
          </w:p>
        </w:tc>
        <w:tc>
          <w:tcPr>
            <w:shd w:val="clear" w:color="auto" w:fill="f4f6f7"/>
            <w:tcBorders/>
            <w:tcMar>
              <w:left w:w="55" w:type="dxa"/>
              <w:top w:w="45" w:type="dxa"/>
              <w:right w:w="55" w:type="dxa"/>
              <w:bottom w:w="45" w:type="dxa"/>
            </w:tcMar>
            <w:tcW w:w="3578" w:type="dxa"/>
            <w:vAlign w:val="top"/>
          </w:tcPr>
          <w:p>
            <w:pPr>
              <w:pStyle w:val="1089"/>
              <w:pBdr/>
              <w:spacing/>
              <w:ind/>
              <w:rPr/>
            </w:pPr>
            <w:r>
              <w:t xml:space="preserve">Using category mismatch as a vague declaration that two traditions cannot be compared.</w:t>
            </w:r>
            <w:r/>
          </w:p>
        </w:tc>
        <w:tc>
          <w:tcPr>
            <w:shd w:val="clear" w:color="auto" w:fill="f4f6f7"/>
            <w:tcBorders/>
            <w:tcMar>
              <w:left w:w="55" w:type="dxa"/>
              <w:top w:w="45" w:type="dxa"/>
              <w:right w:w="55" w:type="dxa"/>
              <w:bottom w:w="45" w:type="dxa"/>
            </w:tcMar>
            <w:tcW w:w="4163" w:type="dxa"/>
            <w:vAlign w:val="top"/>
          </w:tcPr>
          <w:p>
            <w:pPr>
              <w:pStyle w:val="1089"/>
              <w:pBdr/>
              <w:spacing/>
              <w:ind/>
              <w:rPr/>
            </w:pPr>
            <w:r>
              <w:t xml:space="preserve">relation:MIS is local to the tertium that distorts. Mark the event tertium_validity:DISTORTING and create a revised event before positive comparison.</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Lexical resemblance = stronger relation</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Inferring semantic, functional or ontological similarity from shared English wording.</w:t>
            </w:r>
            <w:r/>
          </w:p>
        </w:tc>
        <w:tc>
          <w:tcPr>
            <w:shd w:val="clear" w:color="auto" w:fill="ffffff"/>
            <w:tcBorders/>
            <w:tcMar>
              <w:left w:w="55" w:type="dxa"/>
              <w:top w:w="45" w:type="dxa"/>
              <w:right w:w="55" w:type="dxa"/>
              <w:bottom w:w="45" w:type="dxa"/>
            </w:tcMar>
            <w:tcW w:w="4163" w:type="dxa"/>
            <w:vAlign w:val="top"/>
          </w:tcPr>
          <w:p>
            <w:pPr>
              <w:pStyle w:val="1089"/>
              <w:pBdr/>
              <w:spacing/>
              <w:ind/>
              <w:rPr/>
            </w:pPr>
            <w:r>
              <w:t xml:space="preserve">relation:LEX entails no stronger relation. Create ConceptRecords and evaluate each relation independently.</w:t>
            </w:r>
            <w:r/>
          </w:p>
        </w:tc>
      </w:tr>
      <w:tr>
        <w:trPr>
          <w:cantSplit/>
        </w:trPr>
        <w:tc>
          <w:tcPr>
            <w:shd w:val="clear" w:color="auto" w:fill="f4f6f7"/>
            <w:tcBorders/>
            <w:tcMar>
              <w:left w:w="55" w:type="dxa"/>
              <w:top w:w="45" w:type="dxa"/>
              <w:right w:w="55" w:type="dxa"/>
              <w:bottom w:w="45" w:type="dxa"/>
            </w:tcMar>
            <w:tcW w:w="2264" w:type="dxa"/>
            <w:vAlign w:val="top"/>
          </w:tcPr>
          <w:p>
            <w:pPr>
              <w:pStyle w:val="1089"/>
              <w:pBdr/>
              <w:spacing/>
              <w:ind/>
              <w:rPr/>
            </w:pPr>
            <w:r>
              <w:t xml:space="preserve">Oral evidence = book citation</w:t>
            </w:r>
            <w:r/>
          </w:p>
        </w:tc>
        <w:tc>
          <w:tcPr>
            <w:shd w:val="clear" w:color="auto" w:fill="f4f6f7"/>
            <w:tcBorders/>
            <w:tcMar>
              <w:left w:w="55" w:type="dxa"/>
              <w:top w:w="45" w:type="dxa"/>
              <w:right w:w="55" w:type="dxa"/>
              <w:bottom w:w="45" w:type="dxa"/>
            </w:tcMar>
            <w:tcW w:w="3578" w:type="dxa"/>
            <w:vAlign w:val="top"/>
          </w:tcPr>
          <w:p>
            <w:pPr>
              <w:pStyle w:val="1089"/>
              <w:pBdr/>
              <w:spacing/>
              <w:ind/>
              <w:rPr/>
            </w:pPr>
            <w:r>
              <w:t xml:space="preserve">Treating a published transcription as sufficient provenance for a performed/oral claim.</w:t>
            </w:r>
            <w:r/>
          </w:p>
        </w:tc>
        <w:tc>
          <w:tcPr>
            <w:shd w:val="clear" w:color="auto" w:fill="f4f6f7"/>
            <w:tcBorders/>
            <w:tcMar>
              <w:left w:w="55" w:type="dxa"/>
              <w:top w:w="45" w:type="dxa"/>
              <w:right w:w="55" w:type="dxa"/>
              <w:bottom w:w="45" w:type="dxa"/>
            </w:tcMar>
            <w:tcW w:w="4163" w:type="dxa"/>
            <w:vAlign w:val="top"/>
          </w:tcPr>
          <w:p>
            <w:pPr>
              <w:pStyle w:val="1089"/>
              <w:pBdr/>
              <w:spacing/>
              <w:ind/>
              <w:rPr/>
            </w:pPr>
            <w:r>
              <w:t xml:space="preserve">Require SourceInstance event/artifact, language, transcription/translation and authorization metadata at release eligibility.</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Ethnography = community voice</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Presenting a researcher-mediated reconstruction as authorized community self-representation.</w:t>
            </w:r>
            <w:r/>
          </w:p>
        </w:tc>
        <w:tc>
          <w:tcPr>
            <w:shd w:val="clear" w:color="auto" w:fill="ffffff"/>
            <w:tcBorders/>
            <w:tcMar>
              <w:left w:w="55" w:type="dxa"/>
              <w:top w:w="45" w:type="dxa"/>
              <w:right w:w="55" w:type="dxa"/>
              <w:bottom w:w="45" w:type="dxa"/>
            </w:tcMar>
            <w:tcW w:w="4163" w:type="dxa"/>
            <w:vAlign w:val="top"/>
          </w:tcPr>
          <w:p>
            <w:pPr>
              <w:pStyle w:val="1089"/>
              <w:pBdr/>
              <w:spacing/>
              <w:ind/>
              <w:rPr/>
            </w:pPr>
            <w:r>
              <w:t xml:space="preserve">Record mediation and readiness components; require source-community coverage where applicable.</w:t>
            </w:r>
            <w:r/>
          </w:p>
        </w:tc>
      </w:tr>
      <w:tr>
        <w:trPr>
          <w:cantSplit/>
        </w:trPr>
        <w:tc>
          <w:tcPr>
            <w:shd w:val="clear" w:color="auto" w:fill="f4f6f7"/>
            <w:tcBorders/>
            <w:tcMar>
              <w:left w:w="55" w:type="dxa"/>
              <w:top w:w="45" w:type="dxa"/>
              <w:right w:w="55" w:type="dxa"/>
              <w:bottom w:w="45" w:type="dxa"/>
            </w:tcMar>
            <w:tcW w:w="2264" w:type="dxa"/>
            <w:vAlign w:val="top"/>
          </w:tcPr>
          <w:p>
            <w:pPr>
              <w:pStyle w:val="1089"/>
              <w:pBdr/>
              <w:spacing/>
              <w:ind/>
              <w:rPr/>
            </w:pPr>
            <w:r>
              <w:t xml:space="preserve">Gate capability = unit clearance</w:t>
            </w:r>
            <w:r/>
          </w:p>
        </w:tc>
        <w:tc>
          <w:tcPr>
            <w:shd w:val="clear" w:color="auto" w:fill="f4f6f7"/>
            <w:tcBorders/>
            <w:tcMar>
              <w:left w:w="55" w:type="dxa"/>
              <w:top w:w="45" w:type="dxa"/>
              <w:right w:w="55" w:type="dxa"/>
              <w:bottom w:w="45" w:type="dxa"/>
            </w:tcMar>
            <w:tcW w:w="3578" w:type="dxa"/>
            <w:vAlign w:val="top"/>
          </w:tcPr>
          <w:p>
            <w:pPr>
              <w:pStyle w:val="1089"/>
              <w:pBdr/>
              <w:spacing/>
              <w:ind/>
              <w:rPr/>
            </w:pPr>
            <w:r>
              <w:t xml:space="preserve">Treating one successful G4 or G5 case as release authorization for every record of that class.</w:t>
            </w:r>
            <w:r/>
          </w:p>
        </w:tc>
        <w:tc>
          <w:tcPr>
            <w:shd w:val="clear" w:color="auto" w:fill="f4f6f7"/>
            <w:tcBorders/>
            <w:tcMar>
              <w:left w:w="55" w:type="dxa"/>
              <w:top w:w="45" w:type="dxa"/>
              <w:right w:w="55" w:type="dxa"/>
              <w:bottom w:w="45" w:type="dxa"/>
            </w:tcMar>
            <w:tcW w:w="4163" w:type="dxa"/>
            <w:vAlign w:val="top"/>
          </w:tcPr>
          <w:p>
            <w:pPr>
              <w:pStyle w:val="1089"/>
              <w:pBdr/>
              <w:spacing/>
              <w:ind/>
              <w:rPr/>
            </w:pPr>
            <w:r>
              <w:t xml:space="preserve">Project capability gates do not replace per-record provenance, governance, rights or review.</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Family label = doctrine</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Generalizing from one text or thinker to an entire religion, philosophy or community.</w:t>
            </w:r>
            <w:r/>
          </w:p>
        </w:tc>
        <w:tc>
          <w:tcPr>
            <w:shd w:val="clear" w:color="auto" w:fill="ffffff"/>
            <w:tcBorders/>
            <w:tcMar>
              <w:left w:w="55" w:type="dxa"/>
              <w:top w:w="45" w:type="dxa"/>
              <w:right w:w="55" w:type="dxa"/>
              <w:bottom w:w="45" w:type="dxa"/>
            </w:tcMar>
            <w:tcW w:w="4163" w:type="dxa"/>
            <w:vAlign w:val="top"/>
          </w:tcPr>
          <w:p>
            <w:pPr>
              <w:pStyle w:val="1089"/>
              <w:pBdr/>
              <w:spacing/>
              <w:ind/>
              <w:rPr/>
            </w:pPr>
            <w:r>
              <w:t xml:space="preserve">Bound the Position precisely; use aggregation labels and named coverage.</w:t>
            </w:r>
            <w:r/>
          </w:p>
        </w:tc>
      </w:tr>
      <w:tr>
        <w:trPr>
          <w:cantSplit/>
        </w:trPr>
        <w:tc>
          <w:tcPr>
            <w:shd w:val="clear" w:color="auto" w:fill="f4f6f7"/>
            <w:tcBorders/>
            <w:tcMar>
              <w:left w:w="55" w:type="dxa"/>
              <w:top w:w="45" w:type="dxa"/>
              <w:right w:w="55" w:type="dxa"/>
              <w:bottom w:w="45" w:type="dxa"/>
            </w:tcMar>
            <w:tcW w:w="2264" w:type="dxa"/>
            <w:vAlign w:val="top"/>
          </w:tcPr>
          <w:p>
            <w:pPr>
              <w:pStyle w:val="1089"/>
              <w:pBdr/>
              <w:spacing/>
              <w:ind/>
              <w:rPr/>
            </w:pPr>
            <w:r>
              <w:t xml:space="preserve">Science = metaphysical thesis</w:t>
            </w:r>
            <w:r/>
          </w:p>
        </w:tc>
        <w:tc>
          <w:tcPr>
            <w:shd w:val="clear" w:color="auto" w:fill="f4f6f7"/>
            <w:tcBorders/>
            <w:tcMar>
              <w:left w:w="55" w:type="dxa"/>
              <w:top w:w="45" w:type="dxa"/>
              <w:right w:w="55" w:type="dxa"/>
              <w:bottom w:w="45" w:type="dxa"/>
            </w:tcMar>
            <w:tcW w:w="3578" w:type="dxa"/>
            <w:vAlign w:val="top"/>
          </w:tcPr>
          <w:p>
            <w:pPr>
              <w:pStyle w:val="1089"/>
              <w:pBdr/>
              <w:spacing/>
              <w:ind/>
              <w:rPr/>
            </w:pPr>
            <w:r>
              <w:t xml:space="preserve">Treating empirical evidence as direct proof of a metaphysical Position.</w:t>
            </w:r>
            <w:r/>
          </w:p>
        </w:tc>
        <w:tc>
          <w:tcPr>
            <w:shd w:val="clear" w:color="auto" w:fill="f4f6f7"/>
            <w:tcBorders/>
            <w:tcMar>
              <w:left w:w="55" w:type="dxa"/>
              <w:top w:w="45" w:type="dxa"/>
              <w:right w:w="55" w:type="dxa"/>
              <w:bottom w:w="45" w:type="dxa"/>
            </w:tcMar>
            <w:tcW w:w="4163" w:type="dxa"/>
            <w:vAlign w:val="top"/>
          </w:tcPr>
          <w:p>
            <w:pPr>
              <w:pStyle w:val="1089"/>
              <w:pBdr/>
              <w:spacing/>
              <w:ind/>
              <w:rPr/>
            </w:pPr>
            <w:r>
              <w:t xml:space="preserve">Keep empirical evidence distinct from philosophical/metaphysical inference and record the inference chain.</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Readiness summary = source of truth</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Using a derived INT/SRC/REV/COM/REL display summary to waive an unmet specialist, community or rights condition.</w:t>
            </w:r>
            <w:r/>
          </w:p>
        </w:tc>
        <w:tc>
          <w:tcPr>
            <w:shd w:val="clear" w:color="auto" w:fill="ffffff"/>
            <w:tcBorders/>
            <w:tcMar>
              <w:left w:w="55" w:type="dxa"/>
              <w:top w:w="45" w:type="dxa"/>
              <w:right w:w="55" w:type="dxa"/>
              <w:bottom w:w="45" w:type="dxa"/>
            </w:tcMar>
            <w:tcW w:w="4163" w:type="dxa"/>
            <w:vAlign w:val="top"/>
          </w:tcPr>
          <w:p>
            <w:pPr>
              <w:pStyle w:val="1089"/>
              <w:pBdr/>
              <w:spacing/>
              <w:ind/>
              <w:rPr/>
            </w:pPr>
            <w:r>
              <w:t xml:space="preserve">Use the independent RepresentationReadiness fields; the compact label is display only.</w:t>
            </w:r>
            <w:r/>
          </w:p>
        </w:tc>
      </w:tr>
      <w:tr>
        <w:trPr>
          <w:cantSplit/>
        </w:trPr>
        <w:tc>
          <w:tcPr>
            <w:shd w:val="clear" w:color="auto" w:fill="f4f6f7"/>
            <w:tcBorders/>
            <w:tcMar>
              <w:left w:w="55" w:type="dxa"/>
              <w:top w:w="45" w:type="dxa"/>
              <w:right w:w="55" w:type="dxa"/>
              <w:bottom w:w="45" w:type="dxa"/>
            </w:tcMar>
            <w:tcW w:w="2264" w:type="dxa"/>
            <w:vAlign w:val="top"/>
          </w:tcPr>
          <w:p>
            <w:pPr>
              <w:pStyle w:val="1089"/>
              <w:pBdr/>
              <w:spacing/>
              <w:ind/>
              <w:rPr/>
            </w:pPr>
            <w:r>
              <w:t xml:space="preserve">Synthesis level = maturity</w:t>
            </w:r>
            <w:r/>
          </w:p>
        </w:tc>
        <w:tc>
          <w:tcPr>
            <w:shd w:val="clear" w:color="auto" w:fill="f4f6f7"/>
            <w:tcBorders/>
            <w:tcMar>
              <w:left w:w="55" w:type="dxa"/>
              <w:top w:w="45" w:type="dxa"/>
              <w:right w:w="55" w:type="dxa"/>
              <w:bottom w:w="45" w:type="dxa"/>
            </w:tcMar>
            <w:tcW w:w="3578" w:type="dxa"/>
            <w:vAlign w:val="top"/>
          </w:tcPr>
          <w:p>
            <w:pPr>
              <w:pStyle w:val="1089"/>
              <w:pBdr/>
              <w:spacing/>
              <w:ind/>
              <w:rPr/>
            </w:pPr>
            <w:r>
              <w:t xml:space="preserve">Calling a proposed L2 pattern robust or release-ready because it meets the three-Position registration minimum.</w:t>
            </w:r>
            <w:r/>
          </w:p>
        </w:tc>
        <w:tc>
          <w:tcPr>
            <w:shd w:val="clear" w:color="auto" w:fill="f4f6f7"/>
            <w:tcBorders/>
            <w:tcMar>
              <w:left w:w="55" w:type="dxa"/>
              <w:top w:w="45" w:type="dxa"/>
              <w:right w:w="55" w:type="dxa"/>
              <w:bottom w:w="45" w:type="dxa"/>
            </w:tcMar>
            <w:tcW w:w="4163" w:type="dxa"/>
            <w:vAlign w:val="top"/>
          </w:tcPr>
          <w:p>
            <w:pPr>
              <w:pStyle w:val="1089"/>
              <w:pBdr/>
              <w:spacing/>
              <w:ind/>
              <w:rPr/>
            </w:pPr>
            <w:r>
              <w:t xml:space="preserve">Store level and maturity separately and enforce the L2 publication rule.</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Prose = hidden inference store</w:t>
            </w:r>
            <w:r/>
          </w:p>
        </w:tc>
        <w:tc>
          <w:tcPr>
            <w:shd w:val="clear" w:color="auto" w:fill="ffffff"/>
            <w:tcBorders/>
            <w:tcMar>
              <w:left w:w="55" w:type="dxa"/>
              <w:top w:w="45" w:type="dxa"/>
              <w:right w:w="55" w:type="dxa"/>
              <w:bottom w:w="45" w:type="dxa"/>
            </w:tcMar>
            <w:tcW w:w="3578" w:type="dxa"/>
            <w:vAlign w:val="top"/>
          </w:tcPr>
          <w:p>
            <w:pPr>
              <w:pStyle w:val="1089"/>
              <w:pBdr/>
              <w:spacing/>
              <w:ind/>
              <w:rPr/>
            </w:pPr>
            <w:r>
              <w:t xml:space="preserve">Publishing a chapter thesis whose premises, defeaters and scope cannot be inspected.</w:t>
            </w:r>
            <w:r/>
          </w:p>
        </w:tc>
        <w:tc>
          <w:tcPr>
            <w:shd w:val="clear" w:color="auto" w:fill="ffffff"/>
            <w:tcBorders/>
            <w:tcMar>
              <w:left w:w="55" w:type="dxa"/>
              <w:top w:w="45" w:type="dxa"/>
              <w:right w:w="55" w:type="dxa"/>
              <w:bottom w:w="45" w:type="dxa"/>
            </w:tcMar>
            <w:tcW w:w="4163" w:type="dxa"/>
            <w:vAlign w:val="top"/>
          </w:tcPr>
          <w:p>
            <w:pPr>
              <w:pStyle w:val="1089"/>
              <w:pBdr/>
              <w:spacing/>
              <w:ind/>
              <w:rPr/>
            </w:pPr>
            <w:r>
              <w:t xml:space="preserve">Create a PublicationClaim record with canonical premise chain and prohibited stronger reading.</w:t>
            </w:r>
            <w:r/>
          </w:p>
        </w:tc>
      </w:tr>
    </w:tbl>
    <w:p>
      <w:pPr>
        <w:pStyle w:val="1097"/>
        <w:pBdr/>
        <w:spacing/>
        <w:ind/>
        <w:rPr/>
      </w:pPr>
      <w:r/>
      <w:r/>
    </w:p>
    <w:p>
      <w:pPr>
        <w:pStyle w:val="923"/>
        <w:keepNext w:val="true"/>
        <w:keepLines w:val="true"/>
        <w:pBdr/>
        <w:spacing/>
        <w:ind/>
        <w:rPr/>
      </w:pPr>
      <w:r/>
      <w:bookmarkStart w:id="174" w:name="annex_d2_examples"/>
      <w:r>
        <w:t xml:space="preserve">D2. Minimal coding examples</w:t>
      </w:r>
      <w:bookmarkEnd w:id="174"/>
      <w:r/>
      <w:r/>
    </w:p>
    <w:p>
      <w:pPr>
        <w:pStyle w:val="1086"/>
        <w:keepNext w:val="true"/>
        <w:keepLines w:val="true"/>
        <w:pBdr/>
        <w:spacing/>
        <w:ind/>
        <w:rPr/>
      </w:pPr>
      <w:r/>
      <w:bookmarkStart w:id="175" w:name="tbl_coding_examples"/>
      <w:r>
        <w:t xml:space="preserve">Example — Minimal coding examples</w:t>
      </w:r>
      <w:bookmarkEnd w:id="175"/>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4163"/>
        <w:gridCol w:w="5843"/>
      </w:tblGrid>
      <w:tr>
        <w:trPr>
          <w:cantSplit/>
          <w:tblHeader/>
        </w:trPr>
        <w:tc>
          <w:tcPr>
            <w:shd w:val="clear" w:color="auto" w:fill="1f5d7a"/>
            <w:tcBorders/>
            <w:tcMar>
              <w:left w:w="55" w:type="dxa"/>
              <w:top w:w="45" w:type="dxa"/>
              <w:right w:w="55" w:type="dxa"/>
              <w:bottom w:w="45" w:type="dxa"/>
            </w:tcMar>
            <w:tcW w:w="4163" w:type="dxa"/>
            <w:vAlign w:val="top"/>
          </w:tcPr>
          <w:p>
            <w:pPr>
              <w:pStyle w:val="1090"/>
              <w:pBdr/>
              <w:spacing/>
              <w:ind/>
              <w:rPr/>
            </w:pPr>
            <w:r>
              <w:t xml:space="preserve">Scenario</w:t>
            </w:r>
            <w:r/>
          </w:p>
        </w:tc>
        <w:tc>
          <w:tcPr>
            <w:shd w:val="clear" w:color="auto" w:fill="1f5d7a"/>
            <w:tcBorders/>
            <w:tcMar>
              <w:left w:w="55" w:type="dxa"/>
              <w:top w:w="45" w:type="dxa"/>
              <w:right w:w="55" w:type="dxa"/>
              <w:bottom w:w="45" w:type="dxa"/>
            </w:tcMar>
            <w:tcW w:w="5843" w:type="dxa"/>
            <w:vAlign w:val="top"/>
          </w:tcPr>
          <w:p>
            <w:pPr>
              <w:pStyle w:val="1090"/>
              <w:pBdr/>
              <w:spacing/>
              <w:ind/>
              <w:rPr/>
            </w:pPr>
            <w:r>
              <w:t xml:space="preserve">Correct handling</w:t>
            </w:r>
            <w:r/>
          </w:p>
        </w:tc>
      </w:tr>
      <w:tr>
        <w:trPr>
          <w:cantSplit/>
        </w:trPr>
        <w:tc>
          <w:tcPr>
            <w:shd w:val="clear" w:color="auto" w:fill="ffffff"/>
            <w:tcBorders/>
            <w:tcMar>
              <w:left w:w="55" w:type="dxa"/>
              <w:top w:w="45" w:type="dxa"/>
              <w:right w:w="55" w:type="dxa"/>
              <w:bottom w:w="45" w:type="dxa"/>
            </w:tcMar>
            <w:tcW w:w="4163" w:type="dxa"/>
            <w:vAlign w:val="top"/>
          </w:tcPr>
          <w:p>
            <w:pPr>
              <w:pStyle w:val="1089"/>
              <w:pBdr/>
              <w:spacing/>
              <w:ind/>
              <w:rPr/>
            </w:pPr>
            <w:r>
              <w:t xml:space="preserve">An adequately sourced bounded thesis establishes a physical dependence claim. Postmortem continuity is structurally salient to the bounded thesis, but the thesis itself leaves that issue open.</w:t>
            </w:r>
            <w:r/>
          </w:p>
        </w:tc>
        <w:tc>
          <w:tcPr>
            <w:shd w:val="clear" w:color="auto" w:fill="ffffff"/>
            <w:tcBorders/>
            <w:tcMar>
              <w:left w:w="55" w:type="dxa"/>
              <w:top w:w="45" w:type="dxa"/>
              <w:right w:w="55" w:type="dxa"/>
              <w:bottom w:w="45" w:type="dxa"/>
            </w:tcMar>
            <w:tcW w:w="5843" w:type="dxa"/>
            <w:vAlign w:val="top"/>
          </w:tcPr>
          <w:p>
            <w:pPr>
              <w:pStyle w:val="1089"/>
              <w:pBdr/>
              <w:spacing/>
              <w:ind/>
              <w:rPr/>
            </w:pPr>
            <w:r>
              <w:t xml:space="preserve">Use response_state:UN</w:t>
            </w:r>
            <w:r>
              <w:t xml:space="preserve">D for D13 because the evidence is adequate and the bounded thesis leaves the issue open. Do not infer an answer from a broader secular context. If the question is instead not structurally salient to the bounded thesis, assess response_state:NSA under §4.1.</w:t>
            </w:r>
            <w:r/>
          </w:p>
        </w:tc>
      </w:tr>
      <w:tr>
        <w:trPr>
          <w:cantSplit/>
        </w:trPr>
        <w:tc>
          <w:tcPr>
            <w:shd w:val="clear" w:color="auto" w:fill="f4f6f7"/>
            <w:tcBorders/>
            <w:tcMar>
              <w:left w:w="55" w:type="dxa"/>
              <w:top w:w="45" w:type="dxa"/>
              <w:right w:w="55" w:type="dxa"/>
              <w:bottom w:w="45" w:type="dxa"/>
            </w:tcMar>
            <w:tcW w:w="4163" w:type="dxa"/>
            <w:vAlign w:val="top"/>
          </w:tcPr>
          <w:p>
            <w:pPr>
              <w:pStyle w:val="1089"/>
              <w:pBdr/>
              <w:spacing/>
              <w:ind/>
              <w:rPr/>
            </w:pPr>
            <w:r>
              <w:t xml:space="preserve">A source repeatedly transforms “What substance is ultimately real?” into a critique of the question's reification.</w:t>
            </w:r>
            <w:r/>
          </w:p>
        </w:tc>
        <w:tc>
          <w:tcPr>
            <w:shd w:val="clear" w:color="auto" w:fill="f4f6f7"/>
            <w:tcBorders/>
            <w:tcMar>
              <w:left w:w="55" w:type="dxa"/>
              <w:top w:w="45" w:type="dxa"/>
              <w:right w:w="55" w:type="dxa"/>
              <w:bottom w:w="45" w:type="dxa"/>
            </w:tcMar>
            <w:tcW w:w="5843" w:type="dxa"/>
            <w:vAlign w:val="top"/>
          </w:tcPr>
          <w:p>
            <w:pPr>
              <w:pStyle w:val="1089"/>
              <w:pBdr/>
              <w:spacing/>
              <w:ind/>
              <w:rPr/>
            </w:pPr>
            <w:r>
              <w:t xml:space="preserve">Use response_state:REF; attach response_modifier:CAT if the substance framing itself imports a distortion. This is a legitimate response_state:REF + response_modifier:CAT record, not a forced response_state:ANS.</w:t>
            </w:r>
            <w:r/>
          </w:p>
        </w:tc>
      </w:tr>
      <w:tr>
        <w:trPr>
          <w:cantSplit/>
        </w:trPr>
        <w:tc>
          <w:tcPr>
            <w:shd w:val="clear" w:color="auto" w:fill="ffffff"/>
            <w:tcBorders/>
            <w:tcMar>
              <w:left w:w="55" w:type="dxa"/>
              <w:top w:w="45" w:type="dxa"/>
              <w:right w:w="55" w:type="dxa"/>
              <w:bottom w:w="45" w:type="dxa"/>
            </w:tcMar>
            <w:tcW w:w="4163" w:type="dxa"/>
            <w:vAlign w:val="top"/>
          </w:tcPr>
          <w:p>
            <w:pPr>
              <w:pStyle w:val="1089"/>
              <w:pBdr/>
              <w:spacing/>
              <w:ind/>
              <w:rPr/>
            </w:pPr>
            <w:r>
              <w:t xml:space="preserve">A Position explicitly denies that agency requires an uncaused choosing subject, while the imported “free will” vocabulary also distorts its account.</w:t>
            </w:r>
            <w:r/>
          </w:p>
        </w:tc>
        <w:tc>
          <w:tcPr>
            <w:shd w:val="clear" w:color="auto" w:fill="ffffff"/>
            <w:tcBorders/>
            <w:tcMar>
              <w:left w:w="55" w:type="dxa"/>
              <w:top w:w="45" w:type="dxa"/>
              <w:right w:w="55" w:type="dxa"/>
              <w:bottom w:w="45" w:type="dxa"/>
            </w:tcMar>
            <w:tcW w:w="5843" w:type="dxa"/>
            <w:vAlign w:val="top"/>
          </w:tcPr>
          <w:p>
            <w:pPr>
              <w:pStyle w:val="1089"/>
              <w:pBdr/>
              <w:spacing/>
              <w:ind/>
              <w:rPr/>
            </w:pPr>
            <w:r>
              <w:t xml:space="preserve">Use response_state:DEN as the primary state and response_modifier:CAT as the orthogonal warning. Record the denial and the category distortion separately.</w:t>
            </w:r>
            <w:r/>
          </w:p>
        </w:tc>
      </w:tr>
      <w:tr>
        <w:trPr>
          <w:cantSplit/>
        </w:trPr>
        <w:tc>
          <w:tcPr>
            <w:shd w:val="clear" w:color="auto" w:fill="f4f6f7"/>
            <w:tcBorders/>
            <w:tcMar>
              <w:left w:w="55" w:type="dxa"/>
              <w:top w:w="45" w:type="dxa"/>
              <w:right w:w="55" w:type="dxa"/>
              <w:bottom w:w="45" w:type="dxa"/>
            </w:tcMar>
            <w:tcW w:w="4163" w:type="dxa"/>
            <w:vAlign w:val="top"/>
          </w:tcPr>
          <w:p>
            <w:pPr>
              <w:pStyle w:val="1089"/>
              <w:pBdr/>
              <w:spacing/>
              <w:ind/>
              <w:rPr/>
            </w:pPr>
            <w:r>
              <w:t xml:space="preserve">A carefully bounded higher-level debate is itself the research object and contains two enduring, source-grounded answers represented by linked subpositions.</w:t>
            </w:r>
            <w:r/>
          </w:p>
        </w:tc>
        <w:tc>
          <w:tcPr>
            <w:shd w:val="clear" w:color="auto" w:fill="f4f6f7"/>
            <w:tcBorders/>
            <w:tcMar>
              <w:left w:w="55" w:type="dxa"/>
              <w:top w:w="45" w:type="dxa"/>
              <w:right w:w="55" w:type="dxa"/>
              <w:bottom w:w="45" w:type="dxa"/>
            </w:tcMar>
            <w:tcW w:w="5843" w:type="dxa"/>
            <w:vAlign w:val="top"/>
          </w:tcPr>
          <w:p>
            <w:pPr>
              <w:pStyle w:val="1089"/>
              <w:pBdr/>
              <w:spacing/>
              <w:ind/>
              <w:rPr/>
            </w:pPr>
            <w:r>
              <w:t xml:space="preserve">Use response_state:VAR after recording the boundary assessment, variation basis and subposition links.</w:t>
            </w:r>
            <w:r/>
          </w:p>
        </w:tc>
      </w:tr>
      <w:tr>
        <w:trPr>
          <w:cantSplit/>
        </w:trPr>
        <w:tc>
          <w:tcPr>
            <w:shd w:val="clear" w:color="auto" w:fill="ffffff"/>
            <w:tcBorders/>
            <w:tcMar>
              <w:left w:w="55" w:type="dxa"/>
              <w:top w:w="45" w:type="dxa"/>
              <w:right w:w="55" w:type="dxa"/>
              <w:bottom w:w="45" w:type="dxa"/>
            </w:tcMar>
            <w:tcW w:w="4163" w:type="dxa"/>
            <w:vAlign w:val="top"/>
          </w:tcPr>
          <w:p>
            <w:pPr>
              <w:pStyle w:val="1089"/>
              <w:pBdr/>
              <w:spacing/>
              <w:ind/>
              <w:rPr/>
            </w:pPr>
            <w:r>
              <w:t xml:space="preserve">A broad tradition label contains several schools with materially different answers and no reason to treat the broad label as one research object.</w:t>
            </w:r>
            <w:r/>
          </w:p>
        </w:tc>
        <w:tc>
          <w:tcPr>
            <w:shd w:val="clear" w:color="auto" w:fill="ffffff"/>
            <w:tcBorders/>
            <w:tcMar>
              <w:left w:w="55" w:type="dxa"/>
              <w:top w:w="45" w:type="dxa"/>
              <w:right w:w="55" w:type="dxa"/>
              <w:bottom w:w="45" w:type="dxa"/>
            </w:tcMar>
            <w:tcW w:w="5843" w:type="dxa"/>
            <w:vAlign w:val="top"/>
          </w:tcPr>
          <w:p>
            <w:pPr>
              <w:pStyle w:val="1089"/>
              <w:pBdr/>
              <w:spacing/>
              <w:ind/>
              <w:rPr/>
            </w:pPr>
            <w:r>
              <w:t xml:space="preserve">This is boundary failure, not response_state:VAR. Create separate Positions or a bounded contested-unit record.</w:t>
            </w:r>
            <w:r/>
          </w:p>
        </w:tc>
      </w:tr>
      <w:tr>
        <w:trPr>
          <w:cantSplit/>
        </w:trPr>
        <w:tc>
          <w:tcPr>
            <w:shd w:val="clear" w:color="auto" w:fill="f4f6f7"/>
            <w:tcBorders/>
            <w:tcMar>
              <w:left w:w="55" w:type="dxa"/>
              <w:top w:w="45" w:type="dxa"/>
              <w:right w:w="55" w:type="dxa"/>
              <w:bottom w:w="45" w:type="dxa"/>
            </w:tcMar>
            <w:tcW w:w="4163" w:type="dxa"/>
            <w:vAlign w:val="top"/>
          </w:tcPr>
          <w:p>
            <w:pPr>
              <w:pStyle w:val="1089"/>
              <w:pBdr/>
              <w:spacing/>
              <w:ind/>
              <w:rPr/>
            </w:pPr>
            <w:r>
              <w:t xml:space="preserve">Two concepts play a liberating epistemic role but commit to incompatible ontologies.</w:t>
            </w:r>
            <w:r/>
          </w:p>
        </w:tc>
        <w:tc>
          <w:tcPr>
            <w:shd w:val="clear" w:color="auto" w:fill="f4f6f7"/>
            <w:tcBorders/>
            <w:tcMar>
              <w:left w:w="55" w:type="dxa"/>
              <w:top w:w="45" w:type="dxa"/>
              <w:right w:w="55" w:type="dxa"/>
              <w:bottom w:w="45" w:type="dxa"/>
            </w:tcMar>
            <w:tcW w:w="5843" w:type="dxa"/>
            <w:vAlign w:val="top"/>
          </w:tcPr>
          <w:p>
            <w:pPr>
              <w:pStyle w:val="1089"/>
              <w:pBdr/>
              <w:spacing/>
              <w:ind/>
              <w:rPr/>
            </w:pPr>
            <w:r>
              <w:t xml:space="preserve">Record relation:FUN and possibly relation:STR plus relation:INC where exact propositions conflict. The stack is coherent when scope and dimension are explicit; do not promote to relation:OEQ.</w:t>
            </w:r>
            <w:r/>
          </w:p>
        </w:tc>
      </w:tr>
      <w:tr>
        <w:trPr>
          <w:cantSplit/>
        </w:trPr>
        <w:tc>
          <w:tcPr>
            <w:shd w:val="clear" w:color="auto" w:fill="ffffff"/>
            <w:tcBorders/>
            <w:tcMar>
              <w:left w:w="55" w:type="dxa"/>
              <w:top w:w="45" w:type="dxa"/>
              <w:right w:w="55" w:type="dxa"/>
              <w:bottom w:w="45" w:type="dxa"/>
            </w:tcMar>
            <w:tcW w:w="4163" w:type="dxa"/>
            <w:vAlign w:val="top"/>
          </w:tcPr>
          <w:p>
            <w:pPr>
              <w:pStyle w:val="1089"/>
              <w:pBdr/>
              <w:spacing/>
              <w:ind/>
              <w:rPr/>
            </w:pPr>
            <w:r>
              <w:t xml:space="preserve">One claim pair is marked relation:OEQ and relation:INC under the same relation dimension and temporal/Position scope.</w:t>
            </w:r>
            <w:r/>
          </w:p>
        </w:tc>
        <w:tc>
          <w:tcPr>
            <w:shd w:val="clear" w:color="auto" w:fill="ffffff"/>
            <w:tcBorders/>
            <w:tcMar>
              <w:left w:w="55" w:type="dxa"/>
              <w:top w:w="45" w:type="dxa"/>
              <w:right w:w="55" w:type="dxa"/>
              <w:bottom w:w="45" w:type="dxa"/>
            </w:tcMar>
            <w:tcW w:w="5843" w:type="dxa"/>
            <w:vAlign w:val="top"/>
          </w:tcPr>
          <w:p>
            <w:pPr>
              <w:pStyle w:val="1089"/>
              <w:pBdr/>
              <w:spacing/>
              <w:ind/>
              <w:rPr/>
            </w:pPr>
            <w:r>
              <w:t xml:space="preserve">Semantic validation fails. Revise the claim pair, dimension or scope, or remove the invalid relation.</w:t>
            </w:r>
            <w:r/>
          </w:p>
        </w:tc>
      </w:tr>
      <w:tr>
        <w:trPr>
          <w:cantSplit/>
        </w:trPr>
        <w:tc>
          <w:tcPr>
            <w:shd w:val="clear" w:color="auto" w:fill="f4f6f7"/>
            <w:tcBorders/>
            <w:tcMar>
              <w:left w:w="55" w:type="dxa"/>
              <w:top w:w="45" w:type="dxa"/>
              <w:right w:w="55" w:type="dxa"/>
              <w:bottom w:w="45" w:type="dxa"/>
            </w:tcMar>
            <w:tcW w:w="4163" w:type="dxa"/>
            <w:vAlign w:val="top"/>
          </w:tcPr>
          <w:p>
            <w:pPr>
              <w:pStyle w:val="1089"/>
              <w:pBdr/>
              <w:spacing/>
              <w:ind/>
              <w:rPr/>
            </w:pPr>
            <w:r>
              <w:t xml:space="preserve">The declared tertium imports a subject/property grammar that one comparand rejects, but a process comparison remains possible.</w:t>
            </w:r>
            <w:r/>
          </w:p>
        </w:tc>
        <w:tc>
          <w:tcPr>
            <w:shd w:val="clear" w:color="auto" w:fill="f4f6f7"/>
            <w:tcBorders/>
            <w:tcMar>
              <w:left w:w="55" w:type="dxa"/>
              <w:top w:w="45" w:type="dxa"/>
              <w:right w:w="55" w:type="dxa"/>
              <w:bottom w:w="45" w:type="dxa"/>
            </w:tcMar>
            <w:tcW w:w="5843" w:type="dxa"/>
            <w:vAlign w:val="top"/>
          </w:tcPr>
          <w:p>
            <w:pPr>
              <w:pStyle w:val="1089"/>
              <w:pBdr/>
              <w:spacing/>
              <w:ind/>
              <w:rPr/>
            </w:pPr>
            <w:r>
              <w:t xml:space="preserve">Record relation:MIS and tertium_validity:DISTORTING for the original event. Create a replacement ComparisonEvent with the revised process tertium before asserting a positive relation.</w:t>
            </w:r>
            <w:r/>
          </w:p>
        </w:tc>
      </w:tr>
      <w:tr>
        <w:trPr>
          <w:cantSplit/>
        </w:trPr>
        <w:tc>
          <w:tcPr>
            <w:shd w:val="clear" w:color="auto" w:fill="ffffff"/>
            <w:tcBorders/>
            <w:tcMar>
              <w:left w:w="55" w:type="dxa"/>
              <w:top w:w="45" w:type="dxa"/>
              <w:right w:w="55" w:type="dxa"/>
              <w:bottom w:w="45" w:type="dxa"/>
            </w:tcMar>
            <w:tcW w:w="4163" w:type="dxa"/>
            <w:vAlign w:val="top"/>
          </w:tcPr>
          <w:p>
            <w:pPr>
              <w:pStyle w:val="1089"/>
              <w:pBdr/>
              <w:spacing/>
              <w:ind/>
              <w:rPr/>
            </w:pPr>
            <w:r>
              <w:t xml:space="preserve">A public ethnography gives a rich relational ontology but no direct community authorization for the project's release claim.</w:t>
            </w:r>
            <w:r/>
          </w:p>
        </w:tc>
        <w:tc>
          <w:tcPr>
            <w:shd w:val="clear" w:color="auto" w:fill="ffffff"/>
            <w:tcBorders/>
            <w:tcMar>
              <w:left w:w="55" w:type="dxa"/>
              <w:top w:w="45" w:type="dxa"/>
              <w:right w:w="55" w:type="dxa"/>
              <w:bottom w:w="45" w:type="dxa"/>
            </w:tcMar>
            <w:tcW w:w="5843" w:type="dxa"/>
            <w:vAlign w:val="top"/>
          </w:tcPr>
          <w:p>
            <w:pPr>
              <w:pStyle w:val="1089"/>
              <w:pBdr/>
              <w:spacing/>
              <w:ind/>
              <w:rPr/>
            </w:pPr>
            <w:r>
              <w:t xml:space="preserve">Record source-grounded research at the appropriate readiness states; do not call it community voice or release-eligible until the applicable governance and rights burdens are met.</w:t>
            </w:r>
            <w:r/>
          </w:p>
        </w:tc>
      </w:tr>
      <w:tr>
        <w:trPr>
          <w:cantSplit/>
        </w:trPr>
        <w:tc>
          <w:tcPr>
            <w:shd w:val="clear" w:color="auto" w:fill="f4f6f7"/>
            <w:tcBorders/>
            <w:tcMar>
              <w:left w:w="55" w:type="dxa"/>
              <w:top w:w="45" w:type="dxa"/>
              <w:right w:w="55" w:type="dxa"/>
              <w:bottom w:w="45" w:type="dxa"/>
            </w:tcMar>
            <w:tcW w:w="4163" w:type="dxa"/>
            <w:vAlign w:val="top"/>
          </w:tcPr>
          <w:p>
            <w:pPr>
              <w:pStyle w:val="1089"/>
              <w:pBdr/>
              <w:spacing/>
              <w:ind/>
              <w:rPr/>
            </w:pPr>
            <w:r>
              <w:t xml:space="preserve">A later source in a broader tradition explicitly answers a question that the bounded early text does not.</w:t>
            </w:r>
            <w:r/>
          </w:p>
        </w:tc>
        <w:tc>
          <w:tcPr>
            <w:shd w:val="clear" w:color="auto" w:fill="f4f6f7"/>
            <w:tcBorders/>
            <w:tcMar>
              <w:left w:w="55" w:type="dxa"/>
              <w:top w:w="45" w:type="dxa"/>
              <w:right w:w="55" w:type="dxa"/>
              <w:bottom w:w="45" w:type="dxa"/>
            </w:tcMar>
            <w:tcW w:w="5843" w:type="dxa"/>
            <w:vAlign w:val="top"/>
          </w:tcPr>
          <w:p>
            <w:pPr>
              <w:pStyle w:val="1089"/>
              <w:pBdr/>
              <w:spacing/>
              <w:ind/>
              <w:rPr/>
            </w:pPr>
            <w:r>
              <w:t xml:space="preserve">Attach the later material as claim_attachment:CTX; it cannot convert the bounded text's response_state:UND, response_state:NSA or response_state:INS into response_state:ANS.</w:t>
            </w:r>
            <w:r/>
          </w:p>
        </w:tc>
      </w:tr>
      <w:tr>
        <w:trPr>
          <w:cantSplit/>
        </w:trPr>
        <w:tc>
          <w:tcPr>
            <w:shd w:val="clear" w:color="auto" w:fill="ffffff"/>
            <w:tcBorders/>
            <w:tcMar>
              <w:left w:w="55" w:type="dxa"/>
              <w:top w:w="45" w:type="dxa"/>
              <w:right w:w="55" w:type="dxa"/>
              <w:bottom w:w="45" w:type="dxa"/>
            </w:tcMar>
            <w:tcW w:w="4163" w:type="dxa"/>
            <w:vAlign w:val="top"/>
          </w:tcPr>
          <w:p>
            <w:pPr>
              <w:pStyle w:val="1089"/>
              <w:pBdr/>
              <w:spacing/>
              <w:ind/>
              <w:rPr/>
            </w:pPr>
            <w:r>
              <w:t xml:space="preserve">An L2 candidate has at least three adequately described supporting Positions, an active counterexample search and the required counterexample links. The negative-case and sensitivity work required for publication is not yet complete.</w:t>
            </w:r>
            <w:r/>
          </w:p>
        </w:tc>
        <w:tc>
          <w:tcPr>
            <w:shd w:val="clear" w:color="auto" w:fill="ffffff"/>
            <w:tcBorders/>
            <w:tcMar>
              <w:left w:w="55" w:type="dxa"/>
              <w:top w:w="45" w:type="dxa"/>
              <w:right w:w="55" w:type="dxa"/>
              <w:bottom w:w="45" w:type="dxa"/>
            </w:tcMar>
            <w:tcW w:w="5843" w:type="dxa"/>
            <w:vAlign w:val="top"/>
          </w:tcPr>
          <w:p>
            <w:pPr>
              <w:pStyle w:val="1089"/>
              <w:pBdr/>
              <w:spacing/>
              <w:ind/>
              <w:rPr/>
            </w:pPr>
            <w:r>
              <w:t xml:space="preserve">The record may remai</w:t>
            </w:r>
            <w:r>
              <w:t xml:space="preserve">n L2 with synthesis_maturity:PROPOSED. Reader-facing recurrence and RELEASE_ELIGIBLE are prohibited until the full publication requirements are met. Three supporting Positions without an active counterexample search do not satisfy the registration minimum.</w:t>
            </w:r>
            <w:r/>
          </w:p>
        </w:tc>
      </w:tr>
    </w:tbl>
    <w:p>
      <w:pPr>
        <w:pStyle w:val="1097"/>
        <w:pBdr/>
        <w:spacing/>
        <w:ind/>
        <w:rPr/>
      </w:pPr>
      <w:r/>
      <w:r/>
    </w:p>
    <w:p>
      <w:pPr>
        <w:pStyle w:val="923"/>
        <w:keepNext w:val="true"/>
        <w:keepLines w:val="true"/>
        <w:pBdr/>
        <w:spacing/>
        <w:ind/>
        <w:rPr/>
      </w:pPr>
      <w:r/>
      <w:bookmarkStart w:id="176" w:name="annex_d3_worked_chain"/>
      <w:r>
        <w:t xml:space="preserve">D3. Compact non-release record chain</w:t>
      </w:r>
      <w:bookmarkEnd w:id="176"/>
      <w:r/>
      <w:r/>
    </w:p>
    <w:p>
      <w:pPr>
        <w:pStyle w:val="1083"/>
        <w:keepNext w:val="true"/>
        <w:keepLines w:val="false"/>
        <w:pBdr/>
        <w:spacing/>
        <w:ind/>
        <w:rPr/>
      </w:pPr>
      <w:r>
        <w:t xml:space="preserve">This example demonstrates the object sequence without serving as release evidence. It uses public secondary verification routes and intentionally lacks canonical IDs, complete primary-source instances and full review.</w:t>
      </w:r>
      <w:r/>
    </w:p>
    <w:p>
      <w:pPr>
        <w:pStyle w:val="1086"/>
        <w:keepNext w:val="true"/>
        <w:keepLines w:val="true"/>
        <w:pBdr/>
        <w:spacing/>
        <w:ind/>
        <w:rPr/>
      </w:pPr>
      <w:r/>
      <w:bookmarkStart w:id="177" w:name="tbl_worked_chain"/>
      <w:r>
        <w:t xml:space="preserve">Example — Non-release record-chain demonstration</w:t>
      </w:r>
      <w:bookmarkEnd w:id="177"/>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264"/>
        <w:gridCol w:w="7742"/>
      </w:tblGrid>
      <w:tr>
        <w:trPr>
          <w:cantSplit/>
          <w:tblHeader/>
        </w:trPr>
        <w:tc>
          <w:tcPr>
            <w:shd w:val="clear" w:color="auto" w:fill="1f5d7a"/>
            <w:tcBorders/>
            <w:tcMar>
              <w:left w:w="55" w:type="dxa"/>
              <w:top w:w="45" w:type="dxa"/>
              <w:right w:w="55" w:type="dxa"/>
              <w:bottom w:w="45" w:type="dxa"/>
            </w:tcMar>
            <w:tcW w:w="2264" w:type="dxa"/>
            <w:vAlign w:val="top"/>
          </w:tcPr>
          <w:p>
            <w:pPr>
              <w:pStyle w:val="1090"/>
              <w:pBdr/>
              <w:spacing/>
              <w:ind/>
              <w:rPr/>
            </w:pPr>
            <w:r>
              <w:t xml:space="preserve">Object</w:t>
            </w:r>
            <w:r/>
          </w:p>
        </w:tc>
        <w:tc>
          <w:tcPr>
            <w:shd w:val="clear" w:color="auto" w:fill="1f5d7a"/>
            <w:tcBorders/>
            <w:tcMar>
              <w:left w:w="55" w:type="dxa"/>
              <w:top w:w="45" w:type="dxa"/>
              <w:right w:w="55" w:type="dxa"/>
              <w:bottom w:w="45" w:type="dxa"/>
            </w:tcMar>
            <w:tcW w:w="7742" w:type="dxa"/>
            <w:vAlign w:val="top"/>
          </w:tcPr>
          <w:p>
            <w:pPr>
              <w:pStyle w:val="1090"/>
              <w:pBdr/>
              <w:spacing/>
              <w:ind/>
              <w:rPr/>
            </w:pPr>
            <w:r>
              <w:t xml:space="preserve">Demonstration record</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Position A / Claim A</w:t>
            </w:r>
            <w:r/>
          </w:p>
        </w:tc>
        <w:tc>
          <w:tcPr>
            <w:shd w:val="clear" w:color="auto" w:fill="ffffff"/>
            <w:tcBorders/>
            <w:tcMar>
              <w:left w:w="55" w:type="dxa"/>
              <w:top w:w="45" w:type="dxa"/>
              <w:right w:w="55" w:type="dxa"/>
              <w:bottom w:w="45" w:type="dxa"/>
            </w:tcMar>
            <w:tcW w:w="7742" w:type="dxa"/>
            <w:vAlign w:val="top"/>
          </w:tcPr>
          <w:p>
            <w:pPr>
              <w:pStyle w:val="1089"/>
              <w:pBdr/>
              <w:spacing/>
              <w:ind/>
              <w:rPr/>
            </w:pPr>
            <w:r>
              <w:t xml:space="preserve">Spinoza, Ethics-centered Position; Atlas paraphrase that only one substance exists and finite things are modes. Source-grounded in intent, but a critical primary-text instance and canonical IDs remain incomplete.</w:t>
            </w:r>
            <w:r/>
          </w:p>
        </w:tc>
      </w:tr>
      <w:tr>
        <w:trPr>
          <w:cantSplit/>
        </w:trPr>
        <w:tc>
          <w:tcPr>
            <w:shd w:val="clear" w:color="auto" w:fill="f4f6f7"/>
            <w:tcBorders/>
            <w:tcMar>
              <w:left w:w="55" w:type="dxa"/>
              <w:top w:w="45" w:type="dxa"/>
              <w:right w:w="55" w:type="dxa"/>
              <w:bottom w:w="45" w:type="dxa"/>
            </w:tcMar>
            <w:tcW w:w="2264" w:type="dxa"/>
            <w:vAlign w:val="top"/>
          </w:tcPr>
          <w:p>
            <w:pPr>
              <w:pStyle w:val="1089"/>
              <w:pBdr/>
              <w:spacing/>
              <w:ind/>
              <w:rPr/>
            </w:pPr>
            <w:r>
              <w:t xml:space="preserve">Position B / Claim B</w:t>
            </w:r>
            <w:r/>
          </w:p>
        </w:tc>
        <w:tc>
          <w:tcPr>
            <w:shd w:val="clear" w:color="auto" w:fill="f4f6f7"/>
            <w:tcBorders/>
            <w:tcMar>
              <w:left w:w="55" w:type="dxa"/>
              <w:top w:w="45" w:type="dxa"/>
              <w:right w:w="55" w:type="dxa"/>
              <w:bottom w:w="45" w:type="dxa"/>
            </w:tcMar>
            <w:tcW w:w="7742" w:type="dxa"/>
            <w:vAlign w:val="top"/>
          </w:tcPr>
          <w:p>
            <w:pPr>
              <w:pStyle w:val="1089"/>
              <w:pBdr/>
              <w:spacing/>
              <w:ind/>
              <w:rPr/>
            </w:pPr>
            <w:r>
              <w:t xml:space="preserve">Descartes, Meditations-centered Position; Atlas paraphrase that mind and body are really distinct. Source-grounded in intent, but complete primary-text witness control and canonical IDs remain incomplete.</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EvidenceLinks</w:t>
            </w:r>
            <w:r/>
          </w:p>
        </w:tc>
        <w:tc>
          <w:tcPr>
            <w:shd w:val="clear" w:color="auto" w:fill="ffffff"/>
            <w:tcBorders/>
            <w:tcMar>
              <w:left w:w="55" w:type="dxa"/>
              <w:top w:w="45" w:type="dxa"/>
              <w:right w:w="55" w:type="dxa"/>
              <w:bottom w:w="45" w:type="dxa"/>
            </w:tcMar>
            <w:tcW w:w="7742" w:type="dxa"/>
            <w:vAlign w:val="top"/>
          </w:tcPr>
          <w:p>
            <w:pPr>
              <w:pStyle w:val="1089"/>
              <w:pBdr/>
              <w:spacing/>
              <w:ind/>
              <w:rPr/>
            </w:pPr>
            <w:r>
              <w:t xml:space="preserve">Public reference routes identify E1p14–E1p15 and Sixth Meditation AT 7:78 / CSM 2:54. Exact canonical SourceInstance and review records are not assigned.</w:t>
            </w:r>
            <w:r/>
          </w:p>
        </w:tc>
      </w:tr>
      <w:tr>
        <w:trPr>
          <w:cantSplit/>
        </w:trPr>
        <w:tc>
          <w:tcPr>
            <w:shd w:val="clear" w:color="auto" w:fill="f4f6f7"/>
            <w:tcBorders/>
            <w:tcMar>
              <w:left w:w="55" w:type="dxa"/>
              <w:top w:w="45" w:type="dxa"/>
              <w:right w:w="55" w:type="dxa"/>
              <w:bottom w:w="45" w:type="dxa"/>
            </w:tcMar>
            <w:tcW w:w="2264" w:type="dxa"/>
            <w:vAlign w:val="top"/>
          </w:tcPr>
          <w:p>
            <w:pPr>
              <w:pStyle w:val="1089"/>
              <w:pBdr/>
              <w:spacing/>
              <w:ind/>
              <w:rPr/>
            </w:pPr>
            <w:r>
              <w:t xml:space="preserve">ComparisonEvent</w:t>
            </w:r>
            <w:r/>
          </w:p>
        </w:tc>
        <w:tc>
          <w:tcPr>
            <w:shd w:val="clear" w:color="auto" w:fill="f4f6f7"/>
            <w:tcBorders/>
            <w:tcMar>
              <w:left w:w="55" w:type="dxa"/>
              <w:top w:w="45" w:type="dxa"/>
              <w:right w:w="55" w:type="dxa"/>
              <w:bottom w:w="45" w:type="dxa"/>
            </w:tcMar>
            <w:tcW w:w="7742" w:type="dxa"/>
            <w:vAlign w:val="top"/>
          </w:tcPr>
          <w:p>
            <w:pPr>
              <w:pStyle w:val="1089"/>
              <w:pBdr/>
              <w:spacing/>
              <w:ind/>
              <w:rPr/>
            </w:pPr>
            <w:r>
              <w:t xml:space="preserve">A bounded substance/mind-body tertium could support a scoped incompatibility or structural contrast only after exact Claim IDs, dimensions, disanalogies, source adequacy and review are completed.</w:t>
            </w:r>
            <w:r/>
          </w:p>
        </w:tc>
      </w:tr>
      <w:tr>
        <w:trPr>
          <w:cantSplit/>
        </w:trPr>
        <w:tc>
          <w:tcPr>
            <w:shd w:val="clear" w:color="auto" w:fill="ffffff"/>
            <w:tcBorders/>
            <w:tcMar>
              <w:left w:w="55" w:type="dxa"/>
              <w:top w:w="45" w:type="dxa"/>
              <w:right w:w="55" w:type="dxa"/>
              <w:bottom w:w="45" w:type="dxa"/>
            </w:tcMar>
            <w:tcW w:w="2264" w:type="dxa"/>
            <w:vAlign w:val="top"/>
          </w:tcPr>
          <w:p>
            <w:pPr>
              <w:pStyle w:val="1089"/>
              <w:pBdr/>
              <w:spacing/>
              <w:ind/>
              <w:rPr/>
            </w:pPr>
            <w:r>
              <w:t xml:space="preserve">Publication consequence</w:t>
            </w:r>
            <w:r/>
          </w:p>
        </w:tc>
        <w:tc>
          <w:tcPr>
            <w:shd w:val="clear" w:color="auto" w:fill="ffffff"/>
            <w:tcBorders/>
            <w:tcMar>
              <w:left w:w="55" w:type="dxa"/>
              <w:top w:w="45" w:type="dxa"/>
              <w:right w:w="55" w:type="dxa"/>
              <w:bottom w:w="45" w:type="dxa"/>
            </w:tcMar>
            <w:tcW w:w="7742" w:type="dxa"/>
            <w:vAlign w:val="top"/>
          </w:tcPr>
          <w:p>
            <w:pPr>
              <w:pStyle w:val="1089"/>
              <w:pBdr/>
              <w:spacing/>
              <w:ind/>
              <w:rPr/>
            </w:pPr>
            <w:r>
              <w:t xml:space="preserve">The chain remains non-release because source-instance identity, primary evidence, canonical IDs, full comparison metadata and review are incomplete. It may not support a thesis-bearing PublicationClaim.</w:t>
            </w:r>
            <w:r/>
          </w:p>
        </w:tc>
      </w:tr>
    </w:tbl>
    <w:p>
      <w:pPr>
        <w:pStyle w:val="922"/>
        <w:keepNext w:val="true"/>
        <w:keepLines w:val="true"/>
        <w:pBdr/>
        <w:spacing/>
        <w:ind/>
        <w:rPr/>
      </w:pPr>
      <w:r/>
      <w:bookmarkStart w:id="178" w:name="annex_e"/>
      <w:r>
        <w:t xml:space="preserve">Annex E — Standards and reference basis</w:t>
      </w:r>
      <w:bookmarkEnd w:id="178"/>
      <w:r/>
      <w:r/>
    </w:p>
    <w:p>
      <w:pPr>
        <w:pStyle w:val="1086"/>
        <w:keepNext w:val="true"/>
        <w:keepLines w:val="true"/>
        <w:pBdr/>
        <w:spacing/>
        <w:ind/>
        <w:rPr/>
      </w:pPr>
      <w:r/>
      <w:bookmarkStart w:id="179" w:name="Section_front_door_7"/>
      <w:r>
        <w:t xml:space="preserve">Governing — Section front door</w:t>
      </w:r>
      <w:bookmarkEnd w:id="179"/>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1972"/>
        <w:gridCol w:w="8034"/>
      </w:tblGrid>
      <w:tr>
        <w:trPr>
          <w:cantSplit/>
          <w:tblHeader/>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Purpose</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Record the dated external methodological, technical and governance basis for this specification and constrain public novelty language.</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Primary users</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Methods, data, governance, legal and publication reviewers.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Authority status</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Historical snapshot</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Decision or rule</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These references justify method and infrastructure choices; they do not substitute for source-fit evidence for Atlas worldview Claims.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Required output</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A dated and auditable standards and prior-art basis.</w:t>
            </w:r>
            <w:r/>
          </w:p>
        </w:tc>
      </w:tr>
      <w:tr>
        <w:trPr>
          <w:cantSplit/>
        </w:trPr>
        <w:tc>
          <w:tcPr>
            <w:shd w:val="clear" w:color="auto" w:fill="d7e6ee"/>
            <w:tcBorders/>
            <w:tcMar>
              <w:left w:w="70" w:type="dxa"/>
              <w:top w:w="55" w:type="dxa"/>
              <w:right w:w="70" w:type="dxa"/>
              <w:bottom w:w="55" w:type="dxa"/>
            </w:tcMar>
            <w:tcW w:w="1972" w:type="dxa"/>
            <w:vAlign w:val="top"/>
          </w:tcPr>
          <w:p>
            <w:pPr>
              <w:pStyle w:val="1093"/>
              <w:pBdr/>
              <w:spacing/>
              <w:ind/>
              <w:rPr/>
            </w:pPr>
            <w:r>
              <w:t xml:space="preserve">Go to</w:t>
            </w:r>
            <w:r/>
          </w:p>
        </w:tc>
        <w:tc>
          <w:tcPr>
            <w:shd w:val="clear" w:color="auto" w:fill="ffffff"/>
            <w:tcBorders/>
            <w:tcMar>
              <w:left w:w="70" w:type="dxa"/>
              <w:top w:w="55" w:type="dxa"/>
              <w:right w:w="70" w:type="dxa"/>
              <w:bottom w:w="55" w:type="dxa"/>
            </w:tcMar>
            <w:tcW w:w="8034" w:type="dxa"/>
            <w:vAlign w:val="top"/>
          </w:tcPr>
          <w:p>
            <w:pPr>
              <w:pStyle w:val="1088"/>
              <w:pBdr/>
              <w:spacing/>
              <w:ind/>
              <w:rPr/>
            </w:pPr>
            <w:r>
              <w:t xml:space="preserve">§12 for public-claims rules and G8; the historical snapshot for the last recorded run.</w:t>
            </w:r>
            <w:r/>
          </w:p>
        </w:tc>
      </w:tr>
    </w:tbl>
    <w:p>
      <w:pPr>
        <w:pStyle w:val="1097"/>
        <w:pBdr/>
        <w:spacing/>
        <w:ind/>
        <w:rPr/>
      </w:pPr>
      <w:r/>
      <w:r/>
    </w:p>
    <w:p>
      <w:pPr>
        <w:pStyle w:val="1097"/>
        <w:pBdr/>
        <w:spacing/>
        <w:ind/>
        <w:rPr/>
      </w:pPr>
      <w:r>
        <w:t xml:space="preserve">Reference basis: 19 August 2026. Bibliographic identity and scope for Sikri, SOPHI</w:t>
      </w:r>
      <w:r>
        <w:t xml:space="preserve">S, Graphilosophy, Darshana Graph and the attribution-bias manuscript were checked on 16 September 2026. This targeted check is not a comprehensive literature refresh, does not establish earlier verification, and does not change the 27 July 2026 G8 verdict.</w:t>
      </w:r>
      <w:r/>
    </w:p>
    <w:p>
      <w:pPr>
        <w:pStyle w:val="923"/>
        <w:keepNext w:val="true"/>
        <w:keepLines w:val="true"/>
        <w:pBdr/>
        <w:spacing/>
        <w:ind/>
        <w:rPr/>
      </w:pPr>
      <w:r/>
      <w:bookmarkStart w:id="180" w:name="annex_e1_standards"/>
      <w:r>
        <w:t xml:space="preserve">E1. Standards and methodological references</w:t>
      </w:r>
      <w:bookmarkEnd w:id="180"/>
      <w:r/>
      <w:r/>
    </w:p>
    <w:p>
      <w:pPr>
        <w:pStyle w:val="1086"/>
        <w:keepNext w:val="true"/>
        <w:keepLines w:val="true"/>
        <w:pBdr/>
        <w:spacing/>
        <w:ind/>
        <w:rPr/>
      </w:pPr>
      <w:r/>
      <w:bookmarkStart w:id="181" w:name="tbl_standards"/>
      <w:r>
        <w:t xml:space="preserve">Historical snapshot — Standards and reference basis current through 19 August 2026</w:t>
      </w:r>
      <w:bookmarkEnd w:id="181"/>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1096"/>
        <w:gridCol w:w="8910"/>
      </w:tblGrid>
      <w:tr>
        <w:trPr>
          <w:cantSplit/>
          <w:tblHeader/>
        </w:trPr>
        <w:tc>
          <w:tcPr>
            <w:shd w:val="clear" w:color="auto" w:fill="1f5d7a"/>
            <w:tcBorders/>
            <w:tcMar>
              <w:left w:w="55" w:type="dxa"/>
              <w:top w:w="45" w:type="dxa"/>
              <w:right w:w="55" w:type="dxa"/>
              <w:bottom w:w="45" w:type="dxa"/>
            </w:tcMar>
            <w:tcW w:w="1096" w:type="dxa"/>
            <w:vAlign w:val="top"/>
          </w:tcPr>
          <w:p>
            <w:pPr>
              <w:pStyle w:val="1090"/>
              <w:pBdr/>
              <w:spacing/>
              <w:ind/>
              <w:rPr/>
            </w:pPr>
            <w:r>
              <w:t xml:space="preserve">Ref.</w:t>
            </w:r>
            <w:r/>
          </w:p>
        </w:tc>
        <w:tc>
          <w:tcPr>
            <w:shd w:val="clear" w:color="auto" w:fill="1f5d7a"/>
            <w:tcBorders/>
            <w:tcMar>
              <w:left w:w="55" w:type="dxa"/>
              <w:top w:w="45" w:type="dxa"/>
              <w:right w:w="55" w:type="dxa"/>
              <w:bottom w:w="45" w:type="dxa"/>
            </w:tcMar>
            <w:tcW w:w="8910" w:type="dxa"/>
            <w:vAlign w:val="top"/>
          </w:tcPr>
          <w:p>
            <w:pPr>
              <w:pStyle w:val="1090"/>
              <w:pBdr/>
              <w:spacing/>
              <w:ind/>
              <w:rPr/>
            </w:pPr>
            <w:r>
              <w:t xml:space="preserve">Reference</w:t>
            </w:r>
            <w:r/>
          </w:p>
        </w:tc>
      </w:tr>
      <w:tr>
        <w:trPr>
          <w:cantSplit/>
        </w:trPr>
        <w:tc>
          <w:tcPr>
            <w:shd w:val="clear" w:color="auto" w:fill="ffffff"/>
            <w:tcBorders/>
            <w:tcMar>
              <w:left w:w="55" w:type="dxa"/>
              <w:top w:w="45" w:type="dxa"/>
              <w:right w:w="55" w:type="dxa"/>
              <w:bottom w:w="45" w:type="dxa"/>
            </w:tcMar>
            <w:tcW w:w="1096" w:type="dxa"/>
            <w:vAlign w:val="top"/>
          </w:tcPr>
          <w:p>
            <w:pPr>
              <w:pStyle w:val="1089"/>
              <w:pBdr/>
              <w:spacing/>
              <w:ind/>
              <w:rPr/>
            </w:pPr>
            <w:r>
              <w:t xml:space="preserve">[S1]</w:t>
            </w:r>
            <w:r/>
          </w:p>
        </w:tc>
        <w:tc>
          <w:tcPr>
            <w:shd w:val="clear" w:color="auto" w:fill="ffffff"/>
            <w:tcBorders/>
            <w:tcMar>
              <w:left w:w="55" w:type="dxa"/>
              <w:top w:w="45" w:type="dxa"/>
              <w:right w:w="55" w:type="dxa"/>
              <w:bottom w:w="45" w:type="dxa"/>
            </w:tcMar>
            <w:tcW w:w="8910" w:type="dxa"/>
            <w:vAlign w:val="top"/>
          </w:tcPr>
          <w:p>
            <w:pPr>
              <w:pStyle w:val="1089"/>
              <w:pBdr/>
              <w:spacing/>
              <w:ind/>
              <w:rPr/>
            </w:pPr>
            <w:r>
              <w:t xml:space="preserve">W3C Provenance Working Group. PROV-O: The PROV Ontology. W3C Recommendation, 30 April 2013. https://www.w3.org/TR/prov-o/</w:t>
            </w:r>
            <w:r/>
          </w:p>
        </w:tc>
      </w:tr>
      <w:tr>
        <w:trPr>
          <w:cantSplit/>
        </w:trPr>
        <w:tc>
          <w:tcPr>
            <w:shd w:val="clear" w:color="auto" w:fill="f4f6f7"/>
            <w:tcBorders/>
            <w:tcMar>
              <w:left w:w="55" w:type="dxa"/>
              <w:top w:w="45" w:type="dxa"/>
              <w:right w:w="55" w:type="dxa"/>
              <w:bottom w:w="45" w:type="dxa"/>
            </w:tcMar>
            <w:tcW w:w="1096" w:type="dxa"/>
            <w:vAlign w:val="top"/>
          </w:tcPr>
          <w:p>
            <w:pPr>
              <w:pStyle w:val="1089"/>
              <w:pBdr/>
              <w:spacing/>
              <w:ind/>
              <w:rPr/>
            </w:pPr>
            <w:r>
              <w:t xml:space="preserve">[S2]</w:t>
            </w:r>
            <w:r/>
          </w:p>
        </w:tc>
        <w:tc>
          <w:tcPr>
            <w:shd w:val="clear" w:color="auto" w:fill="f4f6f7"/>
            <w:tcBorders/>
            <w:tcMar>
              <w:left w:w="55" w:type="dxa"/>
              <w:top w:w="45" w:type="dxa"/>
              <w:right w:w="55" w:type="dxa"/>
              <w:bottom w:w="45" w:type="dxa"/>
            </w:tcMar>
            <w:tcW w:w="8910" w:type="dxa"/>
            <w:vAlign w:val="top"/>
          </w:tcPr>
          <w:p>
            <w:pPr>
              <w:pStyle w:val="1089"/>
              <w:pBdr/>
              <w:spacing/>
              <w:ind/>
              <w:rPr/>
            </w:pPr>
            <w:r>
              <w:t xml:space="preserve">W3C Data Shapes Working Group. Shapes Constraint Language (SHACL). W3C Recommendation, 20 July 2017. https://www.w3.org/TR/shacl/</w:t>
            </w:r>
            <w:r/>
          </w:p>
        </w:tc>
      </w:tr>
      <w:tr>
        <w:trPr>
          <w:cantSplit/>
        </w:trPr>
        <w:tc>
          <w:tcPr>
            <w:shd w:val="clear" w:color="auto" w:fill="ffffff"/>
            <w:tcBorders/>
            <w:tcMar>
              <w:left w:w="55" w:type="dxa"/>
              <w:top w:w="45" w:type="dxa"/>
              <w:right w:w="55" w:type="dxa"/>
              <w:bottom w:w="45" w:type="dxa"/>
            </w:tcMar>
            <w:tcW w:w="1096" w:type="dxa"/>
            <w:vAlign w:val="top"/>
          </w:tcPr>
          <w:p>
            <w:pPr>
              <w:pStyle w:val="1089"/>
              <w:pBdr/>
              <w:spacing/>
              <w:ind/>
              <w:rPr/>
            </w:pPr>
            <w:r>
              <w:t xml:space="preserve">[S3]</w:t>
            </w:r>
            <w:r/>
          </w:p>
        </w:tc>
        <w:tc>
          <w:tcPr>
            <w:shd w:val="clear" w:color="auto" w:fill="ffffff"/>
            <w:tcBorders/>
            <w:tcMar>
              <w:left w:w="55" w:type="dxa"/>
              <w:top w:w="45" w:type="dxa"/>
              <w:right w:w="55" w:type="dxa"/>
              <w:bottom w:w="45" w:type="dxa"/>
            </w:tcMar>
            <w:tcW w:w="8910" w:type="dxa"/>
            <w:vAlign w:val="top"/>
          </w:tcPr>
          <w:p>
            <w:pPr>
              <w:pStyle w:val="1089"/>
              <w:pBdr/>
              <w:spacing/>
              <w:ind/>
              <w:rPr/>
            </w:pPr>
            <w:r>
              <w:t xml:space="preserve">JSON Schema. Draft 2020-12 Specification. https://json-schema.org/draft/2020-12</w:t>
            </w:r>
            <w:r/>
          </w:p>
        </w:tc>
      </w:tr>
      <w:tr>
        <w:trPr>
          <w:cantSplit/>
        </w:trPr>
        <w:tc>
          <w:tcPr>
            <w:shd w:val="clear" w:color="auto" w:fill="f4f6f7"/>
            <w:tcBorders/>
            <w:tcMar>
              <w:left w:w="55" w:type="dxa"/>
              <w:top w:w="45" w:type="dxa"/>
              <w:right w:w="55" w:type="dxa"/>
              <w:bottom w:w="45" w:type="dxa"/>
            </w:tcMar>
            <w:tcW w:w="1096" w:type="dxa"/>
            <w:vAlign w:val="top"/>
          </w:tcPr>
          <w:p>
            <w:pPr>
              <w:pStyle w:val="1089"/>
              <w:pBdr/>
              <w:spacing/>
              <w:ind/>
              <w:rPr/>
            </w:pPr>
            <w:r>
              <w:t xml:space="preserve">[S4]</w:t>
            </w:r>
            <w:r/>
          </w:p>
        </w:tc>
        <w:tc>
          <w:tcPr>
            <w:shd w:val="clear" w:color="auto" w:fill="f4f6f7"/>
            <w:tcBorders/>
            <w:tcMar>
              <w:left w:w="55" w:type="dxa"/>
              <w:top w:w="45" w:type="dxa"/>
              <w:right w:w="55" w:type="dxa"/>
              <w:bottom w:w="45" w:type="dxa"/>
            </w:tcMar>
            <w:tcW w:w="8910" w:type="dxa"/>
            <w:vAlign w:val="top"/>
          </w:tcPr>
          <w:p>
            <w:pPr>
              <w:pStyle w:val="1089"/>
              <w:pBdr/>
              <w:spacing/>
              <w:ind/>
              <w:rPr/>
            </w:pPr>
            <w:r>
              <w:t xml:space="preserve">Wilkinson, Mark D., et al. "The FAIR Guiding Principles for scientific data management and stewardship." Scientific Data 3 (2016): 160018. https://doi.org/10.1038/sdata.2016.18</w:t>
            </w:r>
            <w:r/>
          </w:p>
        </w:tc>
      </w:tr>
      <w:tr>
        <w:trPr>
          <w:cantSplit/>
        </w:trPr>
        <w:tc>
          <w:tcPr>
            <w:shd w:val="clear" w:color="auto" w:fill="ffffff"/>
            <w:tcBorders/>
            <w:tcMar>
              <w:left w:w="55" w:type="dxa"/>
              <w:top w:w="45" w:type="dxa"/>
              <w:right w:w="55" w:type="dxa"/>
              <w:bottom w:w="45" w:type="dxa"/>
            </w:tcMar>
            <w:tcW w:w="1096" w:type="dxa"/>
            <w:vAlign w:val="top"/>
          </w:tcPr>
          <w:p>
            <w:pPr>
              <w:pStyle w:val="1089"/>
              <w:pBdr/>
              <w:spacing/>
              <w:ind/>
              <w:rPr/>
            </w:pPr>
            <w:r>
              <w:t xml:space="preserve">[S5]</w:t>
            </w:r>
            <w:r/>
          </w:p>
        </w:tc>
        <w:tc>
          <w:tcPr>
            <w:shd w:val="clear" w:color="auto" w:fill="ffffff"/>
            <w:tcBorders/>
            <w:tcMar>
              <w:left w:w="55" w:type="dxa"/>
              <w:top w:w="45" w:type="dxa"/>
              <w:right w:w="55" w:type="dxa"/>
              <w:bottom w:w="45" w:type="dxa"/>
            </w:tcMar>
            <w:tcW w:w="8910" w:type="dxa"/>
            <w:vAlign w:val="top"/>
          </w:tcPr>
          <w:p>
            <w:pPr>
              <w:pStyle w:val="1089"/>
              <w:pBdr/>
              <w:spacing/>
              <w:ind/>
              <w:rPr/>
            </w:pPr>
            <w:r>
              <w:t xml:space="preserve">Carroll, Stephanie Russo, et al. "The CARE Principles for Indigenous Data Governance." Data Science Journal 19 (2020): 43; Global Indigenous Data Alliance CARE resources.</w:t>
            </w:r>
            <w:r/>
          </w:p>
        </w:tc>
      </w:tr>
      <w:tr>
        <w:trPr>
          <w:cantSplit/>
        </w:trPr>
        <w:tc>
          <w:tcPr>
            <w:shd w:val="clear" w:color="auto" w:fill="f4f6f7"/>
            <w:tcBorders/>
            <w:tcMar>
              <w:left w:w="55" w:type="dxa"/>
              <w:top w:w="45" w:type="dxa"/>
              <w:right w:w="55" w:type="dxa"/>
              <w:bottom w:w="45" w:type="dxa"/>
            </w:tcMar>
            <w:tcW w:w="1096" w:type="dxa"/>
            <w:vAlign w:val="top"/>
          </w:tcPr>
          <w:p>
            <w:pPr>
              <w:pStyle w:val="1089"/>
              <w:pBdr/>
              <w:spacing/>
              <w:ind/>
              <w:rPr/>
            </w:pPr>
            <w:r>
              <w:t xml:space="preserve">[S6]</w:t>
            </w:r>
            <w:r/>
          </w:p>
        </w:tc>
        <w:tc>
          <w:tcPr>
            <w:shd w:val="clear" w:color="auto" w:fill="f4f6f7"/>
            <w:tcBorders/>
            <w:tcMar>
              <w:left w:w="55" w:type="dxa"/>
              <w:top w:w="45" w:type="dxa"/>
              <w:right w:w="55" w:type="dxa"/>
              <w:bottom w:w="45" w:type="dxa"/>
            </w:tcMar>
            <w:tcW w:w="8910" w:type="dxa"/>
            <w:vAlign w:val="top"/>
          </w:tcPr>
          <w:p>
            <w:pPr>
              <w:pStyle w:val="1089"/>
              <w:pBdr/>
              <w:spacing/>
              <w:ind/>
              <w:rPr/>
            </w:pPr>
            <w:r>
              <w:t xml:space="preserve">Oral History Association. Core Principles and Oral History Best Practices. https://oralhistory.org/best-practices/</w:t>
            </w:r>
            <w:r/>
          </w:p>
        </w:tc>
      </w:tr>
      <w:tr>
        <w:trPr>
          <w:cantSplit/>
        </w:trPr>
        <w:tc>
          <w:tcPr>
            <w:shd w:val="clear" w:color="auto" w:fill="ffffff"/>
            <w:tcBorders/>
            <w:tcMar>
              <w:left w:w="55" w:type="dxa"/>
              <w:top w:w="45" w:type="dxa"/>
              <w:right w:w="55" w:type="dxa"/>
              <w:bottom w:w="45" w:type="dxa"/>
            </w:tcMar>
            <w:tcW w:w="1096" w:type="dxa"/>
            <w:vAlign w:val="top"/>
          </w:tcPr>
          <w:p>
            <w:pPr>
              <w:pStyle w:val="1089"/>
              <w:pBdr/>
              <w:spacing/>
              <w:ind/>
              <w:rPr/>
            </w:pPr>
            <w:r>
              <w:t xml:space="preserve">[S7]</w:t>
            </w:r>
            <w:r/>
          </w:p>
        </w:tc>
        <w:tc>
          <w:tcPr>
            <w:shd w:val="clear" w:color="auto" w:fill="ffffff"/>
            <w:tcBorders/>
            <w:tcMar>
              <w:left w:w="55" w:type="dxa"/>
              <w:top w:w="45" w:type="dxa"/>
              <w:right w:w="55" w:type="dxa"/>
              <w:bottom w:w="45" w:type="dxa"/>
            </w:tcMar>
            <w:tcW w:w="8910" w:type="dxa"/>
            <w:vAlign w:val="top"/>
          </w:tcPr>
          <w:p>
            <w:pPr>
              <w:pStyle w:val="1089"/>
              <w:pBdr/>
              <w:spacing/>
              <w:ind/>
              <w:rPr/>
            </w:pPr>
            <w:r>
              <w:t xml:space="preserve">Local Contexts. Traditional Knowledge / Biocultural Labels and Notices governance documentation. https://localcontexts.org/</w:t>
            </w:r>
            <w:r/>
          </w:p>
        </w:tc>
      </w:tr>
      <w:tr>
        <w:trPr>
          <w:cantSplit/>
        </w:trPr>
        <w:tc>
          <w:tcPr>
            <w:shd w:val="clear" w:color="auto" w:fill="f4f6f7"/>
            <w:tcBorders/>
            <w:tcMar>
              <w:left w:w="55" w:type="dxa"/>
              <w:top w:w="45" w:type="dxa"/>
              <w:right w:w="55" w:type="dxa"/>
              <w:bottom w:w="45" w:type="dxa"/>
            </w:tcMar>
            <w:tcW w:w="1096" w:type="dxa"/>
            <w:vAlign w:val="top"/>
          </w:tcPr>
          <w:p>
            <w:pPr>
              <w:pStyle w:val="1089"/>
              <w:pBdr/>
              <w:spacing/>
              <w:ind/>
              <w:rPr/>
            </w:pPr>
            <w:r>
              <w:t xml:space="preserve">[S8]</w:t>
            </w:r>
            <w:r/>
          </w:p>
        </w:tc>
        <w:tc>
          <w:tcPr>
            <w:shd w:val="clear" w:color="auto" w:fill="f4f6f7"/>
            <w:tcBorders/>
            <w:tcMar>
              <w:left w:w="55" w:type="dxa"/>
              <w:top w:w="45" w:type="dxa"/>
              <w:right w:w="55" w:type="dxa"/>
              <w:bottom w:w="45" w:type="dxa"/>
            </w:tcMar>
            <w:tcW w:w="8910" w:type="dxa"/>
            <w:vAlign w:val="top"/>
          </w:tcPr>
          <w:p>
            <w:pPr>
              <w:pStyle w:val="1089"/>
              <w:pBdr/>
              <w:spacing/>
              <w:ind/>
              <w:rPr/>
            </w:pPr>
            <w:r>
              <w:t xml:space="preserve">Krippendorff, Klaus. "Reliability in Content Analysis: Some Common Misconceptions and Recommendations." Human Communication Research 30(3) (2004): 411-433.</w:t>
            </w:r>
            <w:r/>
          </w:p>
        </w:tc>
      </w:tr>
      <w:tr>
        <w:trPr>
          <w:cantSplit/>
        </w:trPr>
        <w:tc>
          <w:tcPr>
            <w:shd w:val="clear" w:color="auto" w:fill="ffffff"/>
            <w:tcBorders/>
            <w:tcMar>
              <w:left w:w="55" w:type="dxa"/>
              <w:top w:w="45" w:type="dxa"/>
              <w:right w:w="55" w:type="dxa"/>
              <w:bottom w:w="45" w:type="dxa"/>
            </w:tcMar>
            <w:tcW w:w="1096" w:type="dxa"/>
            <w:vAlign w:val="top"/>
          </w:tcPr>
          <w:p>
            <w:pPr>
              <w:pStyle w:val="1089"/>
              <w:pBdr/>
              <w:spacing/>
              <w:ind/>
              <w:rPr/>
            </w:pPr>
            <w:r>
              <w:t xml:space="preserve">[S9]</w:t>
            </w:r>
            <w:r/>
          </w:p>
        </w:tc>
        <w:tc>
          <w:tcPr>
            <w:shd w:val="clear" w:color="auto" w:fill="ffffff"/>
            <w:tcBorders/>
            <w:tcMar>
              <w:left w:w="55" w:type="dxa"/>
              <w:top w:w="45" w:type="dxa"/>
              <w:right w:w="55" w:type="dxa"/>
              <w:bottom w:w="45" w:type="dxa"/>
            </w:tcMar>
            <w:tcW w:w="8910" w:type="dxa"/>
            <w:vAlign w:val="top"/>
          </w:tcPr>
          <w:p>
            <w:pPr>
              <w:pStyle w:val="1089"/>
              <w:pBdr/>
              <w:spacing/>
              <w:ind/>
              <w:rPr/>
            </w:pPr>
            <w:r>
              <w:t xml:space="preserve">Freiberger, Oliver. "Elements of a Comparative Methodology in the Study of Religion." Religions 9(2) (2018): 38; and Considering Comparison: A Method for Religious Studies. Oxford University Press, 2019.</w:t>
            </w:r>
            <w:r/>
          </w:p>
        </w:tc>
      </w:tr>
      <w:tr>
        <w:trPr>
          <w:cantSplit/>
        </w:trPr>
        <w:tc>
          <w:tcPr>
            <w:shd w:val="clear" w:color="auto" w:fill="f4f6f7"/>
            <w:tcBorders/>
            <w:tcMar>
              <w:left w:w="55" w:type="dxa"/>
              <w:top w:w="45" w:type="dxa"/>
              <w:right w:w="55" w:type="dxa"/>
              <w:bottom w:w="45" w:type="dxa"/>
            </w:tcMar>
            <w:tcW w:w="1096" w:type="dxa"/>
            <w:vAlign w:val="top"/>
          </w:tcPr>
          <w:p>
            <w:pPr>
              <w:pStyle w:val="1089"/>
              <w:pBdr/>
              <w:spacing/>
              <w:ind/>
              <w:rPr/>
            </w:pPr>
            <w:r>
              <w:t xml:space="preserve">[S10]</w:t>
            </w:r>
            <w:r/>
          </w:p>
        </w:tc>
        <w:tc>
          <w:tcPr>
            <w:shd w:val="clear" w:color="auto" w:fill="f4f6f7"/>
            <w:tcBorders/>
            <w:tcMar>
              <w:left w:w="55" w:type="dxa"/>
              <w:top w:w="45" w:type="dxa"/>
              <w:right w:w="55" w:type="dxa"/>
              <w:bottom w:w="45" w:type="dxa"/>
            </w:tcMar>
            <w:tcW w:w="8910" w:type="dxa"/>
            <w:vAlign w:val="top"/>
          </w:tcPr>
          <w:p>
            <w:pPr>
              <w:pStyle w:val="1089"/>
              <w:pBdr/>
              <w:spacing/>
              <w:ind/>
              <w:rPr/>
            </w:pPr>
            <w:r>
              <w:t xml:space="preserve">Burley, Mikel. "Comparative Philosophy of Religion." Stanford Encyclopedia of Philosophy, 2025.</w:t>
            </w:r>
            <w:r/>
          </w:p>
        </w:tc>
      </w:tr>
      <w:tr>
        <w:trPr>
          <w:cantSplit/>
        </w:trPr>
        <w:tc>
          <w:tcPr>
            <w:shd w:val="clear" w:color="auto" w:fill="ffffff"/>
            <w:tcBorders/>
            <w:tcMar>
              <w:left w:w="55" w:type="dxa"/>
              <w:top w:w="45" w:type="dxa"/>
              <w:right w:w="55" w:type="dxa"/>
              <w:bottom w:w="45" w:type="dxa"/>
            </w:tcMar>
            <w:tcW w:w="1096" w:type="dxa"/>
            <w:vAlign w:val="top"/>
          </w:tcPr>
          <w:p>
            <w:pPr>
              <w:pStyle w:val="1089"/>
              <w:pBdr/>
              <w:spacing/>
              <w:ind/>
              <w:rPr/>
            </w:pPr>
            <w:r>
              <w:t xml:space="preserve">[S11]</w:t>
            </w:r>
            <w:r/>
          </w:p>
        </w:tc>
        <w:tc>
          <w:tcPr>
            <w:shd w:val="clear" w:color="auto" w:fill="ffffff"/>
            <w:tcBorders/>
            <w:tcMar>
              <w:left w:w="55" w:type="dxa"/>
              <w:top w:w="45" w:type="dxa"/>
              <w:right w:w="55" w:type="dxa"/>
              <w:bottom w:w="45" w:type="dxa"/>
            </w:tcMar>
            <w:tcW w:w="8910" w:type="dxa"/>
            <w:vAlign w:val="top"/>
          </w:tcPr>
          <w:p>
            <w:pPr>
              <w:pStyle w:val="1089"/>
              <w:pBdr/>
              <w:spacing/>
              <w:ind/>
              <w:rPr/>
            </w:pPr>
            <w:r>
              <w:t xml:space="preserve">Stenmark, Mikael. Contemporary Worldviews: A Comparative Study. Cambridge University Press, 2026. DOI: 10.1017/9781009745079.</w:t>
            </w:r>
            <w:r/>
          </w:p>
        </w:tc>
      </w:tr>
      <w:tr>
        <w:trPr>
          <w:cantSplit/>
        </w:trPr>
        <w:tc>
          <w:tcPr>
            <w:shd w:val="clear" w:color="auto" w:fill="f4f6f7"/>
            <w:tcBorders/>
            <w:tcMar>
              <w:left w:w="55" w:type="dxa"/>
              <w:top w:w="45" w:type="dxa"/>
              <w:right w:w="55" w:type="dxa"/>
              <w:bottom w:w="45" w:type="dxa"/>
            </w:tcMar>
            <w:tcW w:w="1096" w:type="dxa"/>
            <w:vAlign w:val="top"/>
          </w:tcPr>
          <w:p>
            <w:pPr>
              <w:pStyle w:val="1089"/>
              <w:pBdr/>
              <w:spacing/>
              <w:ind/>
              <w:rPr/>
            </w:pPr>
            <w:r>
              <w:t xml:space="preserve">[S12]</w:t>
            </w:r>
            <w:r/>
          </w:p>
        </w:tc>
        <w:tc>
          <w:tcPr>
            <w:shd w:val="clear" w:color="auto" w:fill="f4f6f7"/>
            <w:tcBorders/>
            <w:tcMar>
              <w:left w:w="55" w:type="dxa"/>
              <w:top w:w="45" w:type="dxa"/>
              <w:right w:w="55" w:type="dxa"/>
              <w:bottom w:w="45" w:type="dxa"/>
            </w:tcMar>
            <w:tcW w:w="8910" w:type="dxa"/>
            <w:vAlign w:val="top"/>
          </w:tcPr>
          <w:p>
            <w:pPr>
              <w:pStyle w:val="1089"/>
              <w:pBdr/>
              <w:spacing/>
              <w:ind/>
              <w:rPr/>
            </w:pPr>
            <w:r>
              <w:t xml:space="preserve">Sikri, Rohan. “Philosophy by Equivocation: A Methodological Reset for Comparative Philosophy.” Journal of World Philosophies 11(1), published 13 July 2026. </w:t>
            </w:r>
            <w:hyperlink r:id="rId16" w:tooltip="https://scholarworks.iu.edu/iupjournals/index.php/jwp/article/view/9253" w:history="1">
              <w:r>
                <w:t xml:space="preserve">Publisher record</w:t>
              </w:r>
            </w:hyperlink>
            <w:r/>
            <w:r/>
          </w:p>
        </w:tc>
      </w:tr>
      <w:tr>
        <w:trPr>
          <w:cantSplit/>
        </w:trPr>
        <w:tc>
          <w:tcPr>
            <w:shd w:val="clear" w:color="auto" w:fill="f4f6f7"/>
            <w:tcBorders/>
            <w:tcMar>
              <w:left w:w="55" w:type="dxa"/>
              <w:top w:w="45" w:type="dxa"/>
              <w:right w:w="55" w:type="dxa"/>
              <w:bottom w:w="45" w:type="dxa"/>
            </w:tcMar>
            <w:tcW w:w="1096" w:type="dxa"/>
            <w:vAlign w:val="top"/>
          </w:tcPr>
          <w:p>
            <w:pPr>
              <w:pStyle w:val="1089"/>
              <w:pBdr/>
              <w:spacing/>
              <w:ind/>
              <w:rPr/>
            </w:pPr>
            <w:r>
              <w:t xml:space="preserve">[S13]</w:t>
            </w:r>
            <w:r/>
          </w:p>
        </w:tc>
        <w:tc>
          <w:tcPr>
            <w:shd w:val="clear" w:color="auto" w:fill="f4f6f7"/>
            <w:tcBorders/>
            <w:tcMar>
              <w:left w:w="55" w:type="dxa"/>
              <w:top w:w="45" w:type="dxa"/>
              <w:right w:w="55" w:type="dxa"/>
              <w:bottom w:w="45" w:type="dxa"/>
            </w:tcMar>
            <w:tcW w:w="8910" w:type="dxa"/>
            <w:vAlign w:val="top"/>
          </w:tcPr>
          <w:p>
            <w:pPr>
              <w:pStyle w:val="1089"/>
              <w:pBdr/>
              <w:spacing/>
              <w:ind/>
              <w:rPr/>
            </w:pPr>
            <w:r>
              <w:t xml:space="preserve">Sharpe, Matthew, ed. Philosophy as a Way of Life: New Research Directions. Brill, 2025. DOI: 10.1163/9789004739147.</w:t>
            </w:r>
            <w:r/>
          </w:p>
        </w:tc>
      </w:tr>
      <w:tr>
        <w:trPr>
          <w:cantSplit/>
        </w:trPr>
        <w:tc>
          <w:tcPr>
            <w:shd w:val="clear" w:color="auto" w:fill="f4f6f7"/>
            <w:tcBorders/>
            <w:tcMar>
              <w:left w:w="55" w:type="dxa"/>
              <w:top w:w="45" w:type="dxa"/>
              <w:right w:w="55" w:type="dxa"/>
              <w:bottom w:w="45" w:type="dxa"/>
            </w:tcMar>
            <w:tcW w:w="1096" w:type="dxa"/>
            <w:vAlign w:val="top"/>
          </w:tcPr>
          <w:p>
            <w:pPr>
              <w:pStyle w:val="1089"/>
              <w:pBdr/>
              <w:spacing/>
              <w:ind/>
              <w:rPr/>
            </w:pPr>
            <w:r>
              <w:t xml:space="preserve">[S14]</w:t>
            </w:r>
            <w:r/>
          </w:p>
        </w:tc>
        <w:tc>
          <w:tcPr>
            <w:shd w:val="clear" w:color="auto" w:fill="f4f6f7"/>
            <w:tcBorders/>
            <w:tcMar>
              <w:left w:w="55" w:type="dxa"/>
              <w:top w:w="45" w:type="dxa"/>
              <w:right w:w="55" w:type="dxa"/>
              <w:bottom w:w="45" w:type="dxa"/>
            </w:tcMar>
            <w:tcW w:w="8910" w:type="dxa"/>
            <w:vAlign w:val="top"/>
          </w:tcPr>
          <w:p>
            <w:pPr>
              <w:pStyle w:val="1089"/>
              <w:pBdr/>
              <w:spacing/>
              <w:ind/>
              <w:rPr/>
            </w:pPr>
            <w:r>
              <w:t xml:space="preserve">Grimm, Stephen R. “Evaluating Philosophical Ways of Life.” In Matthew Sharpe, ed., Philosophy as a Way of Life: New Research Directions, 280–295. Brill, 2025. DOI: 10.1163/9789004739147_013.</w:t>
            </w:r>
            <w:r/>
          </w:p>
        </w:tc>
      </w:tr>
      <w:tr>
        <w:trPr>
          <w:cantSplit/>
        </w:trPr>
        <w:tc>
          <w:tcPr>
            <w:shd w:val="clear" w:color="auto" w:fill="f4f6f7"/>
            <w:tcBorders/>
            <w:tcMar>
              <w:left w:w="55" w:type="dxa"/>
              <w:top w:w="45" w:type="dxa"/>
              <w:right w:w="55" w:type="dxa"/>
              <w:bottom w:w="45" w:type="dxa"/>
            </w:tcMar>
            <w:tcW w:w="1096" w:type="dxa"/>
            <w:vAlign w:val="top"/>
          </w:tcPr>
          <w:p>
            <w:pPr>
              <w:pStyle w:val="1089"/>
              <w:pBdr/>
              <w:spacing/>
              <w:ind/>
              <w:rPr/>
            </w:pPr>
            <w:r>
              <w:t xml:space="preserve">[S15]</w:t>
            </w:r>
            <w:r/>
          </w:p>
        </w:tc>
        <w:tc>
          <w:tcPr>
            <w:shd w:val="clear" w:color="auto" w:fill="f4f6f7"/>
            <w:tcBorders/>
            <w:tcMar>
              <w:left w:w="55" w:type="dxa"/>
              <w:top w:w="45" w:type="dxa"/>
              <w:right w:w="55" w:type="dxa"/>
              <w:bottom w:w="45" w:type="dxa"/>
            </w:tcMar>
            <w:tcW w:w="8910" w:type="dxa"/>
            <w:vAlign w:val="top"/>
          </w:tcPr>
          <w:p>
            <w:pPr>
              <w:pStyle w:val="1089"/>
              <w:pBdr/>
              <w:spacing/>
              <w:ind/>
              <w:rPr/>
            </w:pPr>
            <w:r>
              <w:t xml:space="preserve">Amir, Lydia, ed. Handbook of Transformative Philosophy. Springer, 2026. DOI: 10.1007/978-3-032-00622-6.</w:t>
            </w:r>
            <w:r/>
          </w:p>
        </w:tc>
      </w:tr>
      <w:tr>
        <w:trPr>
          <w:cantSplit/>
        </w:trPr>
        <w:tc>
          <w:tcPr>
            <w:shd w:val="clear" w:color="auto" w:fill="f4f6f7"/>
            <w:tcBorders/>
            <w:tcMar>
              <w:left w:w="55" w:type="dxa"/>
              <w:top w:w="45" w:type="dxa"/>
              <w:right w:w="55" w:type="dxa"/>
              <w:bottom w:w="45" w:type="dxa"/>
            </w:tcMar>
            <w:tcW w:w="1096" w:type="dxa"/>
            <w:vAlign w:val="top"/>
          </w:tcPr>
          <w:p>
            <w:pPr>
              <w:pStyle w:val="1089"/>
              <w:pBdr/>
              <w:spacing/>
              <w:ind/>
              <w:rPr/>
            </w:pPr>
            <w:r>
              <w:t xml:space="preserve">[S16]</w:t>
            </w:r>
            <w:r/>
          </w:p>
        </w:tc>
        <w:tc>
          <w:tcPr>
            <w:shd w:val="clear" w:color="auto" w:fill="f4f6f7"/>
            <w:tcBorders/>
            <w:tcMar>
              <w:left w:w="55" w:type="dxa"/>
              <w:top w:w="45" w:type="dxa"/>
              <w:right w:w="55" w:type="dxa"/>
              <w:bottom w:w="45" w:type="dxa"/>
            </w:tcMar>
            <w:tcW w:w="8910" w:type="dxa"/>
            <w:vAlign w:val="top"/>
          </w:tcPr>
          <w:p>
            <w:pPr>
              <w:pStyle w:val="1089"/>
              <w:pBdr/>
              <w:spacing/>
              <w:ind/>
              <w:rPr/>
            </w:pPr>
            <w:r>
              <w:t xml:space="preserve">Jong, Abbas. “The Possibility of Cosmopolitan Philosophy: Integrating Ontologism and Phenomenological Hermeneutics Within a Post-Foundationalist Framework.” Philosophies 10(2):45, 2025. DOI: 10.3390/philosophies10020045.</w:t>
            </w:r>
            <w:r/>
          </w:p>
        </w:tc>
      </w:tr>
      <w:tr>
        <w:trPr>
          <w:cantSplit/>
        </w:trPr>
        <w:tc>
          <w:tcPr>
            <w:shd w:val="clear" w:color="auto" w:fill="f4f6f7"/>
            <w:tcBorders/>
            <w:tcMar>
              <w:left w:w="55" w:type="dxa"/>
              <w:top w:w="45" w:type="dxa"/>
              <w:right w:w="55" w:type="dxa"/>
              <w:bottom w:w="45" w:type="dxa"/>
            </w:tcMar>
            <w:tcW w:w="1096" w:type="dxa"/>
            <w:vAlign w:val="top"/>
          </w:tcPr>
          <w:p>
            <w:pPr>
              <w:pStyle w:val="1089"/>
              <w:pBdr/>
              <w:spacing/>
              <w:ind/>
              <w:rPr/>
            </w:pPr>
            <w:r>
              <w:t xml:space="preserve">[S17]</w:t>
            </w:r>
            <w:r/>
          </w:p>
        </w:tc>
        <w:tc>
          <w:tcPr>
            <w:shd w:val="clear" w:color="auto" w:fill="f4f6f7"/>
            <w:tcBorders/>
            <w:tcMar>
              <w:left w:w="55" w:type="dxa"/>
              <w:top w:w="45" w:type="dxa"/>
              <w:right w:w="55" w:type="dxa"/>
              <w:bottom w:w="45" w:type="dxa"/>
            </w:tcMar>
            <w:tcW w:w="8910" w:type="dxa"/>
            <w:vAlign w:val="top"/>
          </w:tcPr>
          <w:p>
            <w:pPr>
              <w:pStyle w:val="1089"/>
              <w:pBdr/>
              <w:spacing/>
              <w:ind/>
              <w:rPr/>
            </w:pPr>
            <w:r>
              <w:t xml:space="preserve">Takayama, Keita. “An invitation to theorise East Asian pedagogy: bodymind, dark consciousness, kata, and self-cultivation.” Asia Pacific Education Review, 2026. DOI: 10.1007/s12564-026-10113-1.</w:t>
            </w:r>
            <w:r/>
          </w:p>
        </w:tc>
      </w:tr>
    </w:tbl>
    <w:p>
      <w:pPr>
        <w:pStyle w:val="1097"/>
        <w:pBdr/>
        <w:spacing/>
        <w:ind/>
        <w:rPr/>
      </w:pPr>
      <w:r/>
      <w:r/>
    </w:p>
    <w:p>
      <w:pPr>
        <w:pStyle w:val="923"/>
        <w:keepNext w:val="true"/>
        <w:keepLines w:val="true"/>
        <w:pBdr/>
        <w:spacing/>
        <w:ind/>
        <w:rPr/>
      </w:pPr>
      <w:r/>
      <w:bookmarkStart w:id="182" w:name="annex_e2_novelty"/>
      <w:r>
        <w:t xml:space="preserve">E2. Dated novelty-reference set</w:t>
      </w:r>
      <w:bookmarkEnd w:id="182"/>
      <w:r/>
      <w:r/>
    </w:p>
    <w:p>
      <w:pPr>
        <w:pStyle w:val="1086"/>
        <w:keepNext w:val="true"/>
        <w:keepLines w:val="true"/>
        <w:pBdr/>
        <w:spacing/>
        <w:ind/>
        <w:rPr/>
      </w:pPr>
      <w:r/>
      <w:bookmarkStart w:id="183" w:name="tbl_novelty_references"/>
      <w:r>
        <w:t xml:space="preserve">Historical snapshot — Novelty-reference set current through 19 August 2026</w:t>
      </w:r>
      <w:bookmarkEnd w:id="183"/>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2994"/>
        <w:gridCol w:w="7012"/>
      </w:tblGrid>
      <w:tr>
        <w:trPr>
          <w:cantSplit/>
          <w:tblHeader/>
        </w:trPr>
        <w:tc>
          <w:tcPr>
            <w:shd w:val="clear" w:color="auto" w:fill="1f5d7a"/>
            <w:tcBorders/>
            <w:tcMar>
              <w:left w:w="55" w:type="dxa"/>
              <w:top w:w="45" w:type="dxa"/>
              <w:right w:w="55" w:type="dxa"/>
              <w:bottom w:w="45" w:type="dxa"/>
            </w:tcMar>
            <w:tcW w:w="2994" w:type="dxa"/>
            <w:vAlign w:val="top"/>
          </w:tcPr>
          <w:p>
            <w:pPr>
              <w:pStyle w:val="1090"/>
              <w:pBdr/>
              <w:spacing/>
              <w:ind/>
              <w:rPr/>
            </w:pPr>
            <w:r>
              <w:t xml:space="preserve">Reference family</w:t>
            </w:r>
            <w:r/>
          </w:p>
        </w:tc>
        <w:tc>
          <w:tcPr>
            <w:shd w:val="clear" w:color="auto" w:fill="1f5d7a"/>
            <w:tcBorders/>
            <w:tcMar>
              <w:left w:w="55" w:type="dxa"/>
              <w:top w:w="45" w:type="dxa"/>
              <w:right w:w="55" w:type="dxa"/>
              <w:bottom w:w="45" w:type="dxa"/>
            </w:tcMar>
            <w:tcW w:w="7012" w:type="dxa"/>
            <w:vAlign w:val="top"/>
          </w:tcPr>
          <w:p>
            <w:pPr>
              <w:pStyle w:val="1090"/>
              <w:pBdr/>
              <w:spacing/>
              <w:ind/>
              <w:rPr/>
            </w:pPr>
            <w:r>
              <w:t xml:space="preserve">Relevance to novelty discipline</w:t>
            </w:r>
            <w:r/>
          </w:p>
        </w:tc>
      </w:tr>
      <w:tr>
        <w:trPr>
          <w:cantSplit/>
        </w:trPr>
        <w:tc>
          <w:tcPr>
            <w:shd w:val="clear" w:color="auto" w:fill="ffffff"/>
            <w:tcBorders/>
            <w:tcMar>
              <w:left w:w="55" w:type="dxa"/>
              <w:top w:w="45" w:type="dxa"/>
              <w:right w:w="55" w:type="dxa"/>
              <w:bottom w:w="45" w:type="dxa"/>
            </w:tcMar>
            <w:tcW w:w="2994" w:type="dxa"/>
            <w:vAlign w:val="top"/>
          </w:tcPr>
          <w:p>
            <w:pPr>
              <w:pStyle w:val="1089"/>
              <w:pBdr/>
              <w:spacing/>
              <w:ind/>
              <w:rPr/>
            </w:pPr>
            <w:r>
              <w:t xml:space="preserve">Petrovich et al. (2026)</w:t>
            </w:r>
            <w:r/>
          </w:p>
        </w:tc>
        <w:tc>
          <w:tcPr>
            <w:shd w:val="clear" w:color="auto" w:fill="ffffff"/>
            <w:tcBorders/>
            <w:tcMar>
              <w:left w:w="55" w:type="dxa"/>
              <w:top w:w="45" w:type="dxa"/>
              <w:right w:w="55" w:type="dxa"/>
              <w:bottom w:w="45" w:type="dxa"/>
            </w:tcMar>
            <w:tcW w:w="7012" w:type="dxa"/>
            <w:vAlign w:val="top"/>
          </w:tcPr>
          <w:p>
            <w:pPr>
              <w:pStyle w:val="1089"/>
              <w:pBdr/>
              <w:spacing/>
              <w:ind/>
              <w:rPr/>
            </w:pPr>
            <w:r>
              <w:t xml:space="preserve">Petrovich, Eugenio, Selene Allevi, Edoardo Fazzini and Lorenzo Gandolfi. “SOPHIS: an open-access database for quantitative studies of contemporary philosoph</w:t>
            </w:r>
            <w:r>
              <w:t xml:space="preserve">y of science.” Scientometrics 131 (2026): 1947–1978. Published 19 March 2026. DOI: 10.1007/s11192-026-05591-4. The article describes a graph-based philosophy-of-science database covering eight journals in 2005–2019; it is not a global philosophy ontology. </w:t>
            </w:r>
            <w:hyperlink r:id="rId17" w:tooltip="https://doi.org/10.1007/s11192-026-05591-4" w:history="1">
              <w:r>
                <w:t xml:space="preserve">Publisher record</w:t>
              </w:r>
            </w:hyperlink>
            <w:r/>
            <w:r/>
          </w:p>
        </w:tc>
      </w:tr>
      <w:tr>
        <w:trPr>
          <w:cantSplit/>
        </w:trPr>
        <w:tc>
          <w:tcPr>
            <w:shd w:val="clear" w:color="auto" w:fill="f4f6f7"/>
            <w:tcBorders/>
            <w:tcMar>
              <w:left w:w="55" w:type="dxa"/>
              <w:top w:w="45" w:type="dxa"/>
              <w:right w:w="55" w:type="dxa"/>
              <w:bottom w:w="45" w:type="dxa"/>
            </w:tcMar>
            <w:tcW w:w="2994" w:type="dxa"/>
            <w:vAlign w:val="top"/>
          </w:tcPr>
          <w:p>
            <w:pPr>
              <w:pStyle w:val="1089"/>
              <w:pBdr/>
              <w:spacing/>
              <w:ind/>
              <w:rPr/>
            </w:pPr>
            <w:r>
              <w:t xml:space="preserve">Bose (2026a)</w:t>
            </w:r>
            <w:r/>
          </w:p>
        </w:tc>
        <w:tc>
          <w:tcPr>
            <w:shd w:val="clear" w:color="auto" w:fill="f4f6f7"/>
            <w:tcBorders/>
            <w:tcMar>
              <w:left w:w="55" w:type="dxa"/>
              <w:top w:w="45" w:type="dxa"/>
              <w:right w:w="55" w:type="dxa"/>
              <w:bottom w:w="45" w:type="dxa"/>
            </w:tcMar>
            <w:tcW w:w="7012" w:type="dxa"/>
            <w:vAlign w:val="top"/>
          </w:tcPr>
          <w:p>
            <w:pPr>
              <w:pStyle w:val="1089"/>
              <w:pBdr/>
              <w:spacing/>
              <w:ind/>
              <w:rPr/>
            </w:pPr>
            <w:r>
              <w:t xml:space="preserve">Bose, Joy. “Darshana Graph: A Parallel Commentary Corpus for Comparative Indian Philosophy, with Stylometric and Expl</w:t>
            </w:r>
            <w:r>
              <w:t xml:space="preserve">oratory Graph Analyses.” arXiv:2606.18222v1, submitted 16 June 2026. Repository manuscript on a parallel Indian-philosophy commentary corpus, stylometry and exploratory graph analyses; its reported findings and extraction limitations remain author claims. </w:t>
            </w:r>
            <w:hyperlink r:id="rId18" w:tooltip="https://arxiv.org/abs/2606.18222v1" w:history="1">
              <w:r>
                <w:t xml:space="preserve">Repository record (v1)</w:t>
              </w:r>
            </w:hyperlink>
            <w:r/>
            <w:r/>
          </w:p>
        </w:tc>
      </w:tr>
      <w:tr>
        <w:trPr>
          <w:cantSplit/>
        </w:trPr>
        <w:tc>
          <w:tcPr>
            <w:shd w:val="clear" w:color="auto" w:fill="ffffff"/>
            <w:tcBorders/>
            <w:tcMar>
              <w:left w:w="55" w:type="dxa"/>
              <w:top w:w="45" w:type="dxa"/>
              <w:right w:w="55" w:type="dxa"/>
              <w:bottom w:w="45" w:type="dxa"/>
            </w:tcMar>
            <w:tcW w:w="2994" w:type="dxa"/>
            <w:vAlign w:val="top"/>
          </w:tcPr>
          <w:p>
            <w:pPr>
              <w:pStyle w:val="1089"/>
              <w:pBdr/>
              <w:spacing/>
              <w:ind/>
              <w:rPr/>
            </w:pPr>
            <w:r>
              <w:t xml:space="preserve">Bose (2026b)</w:t>
            </w:r>
            <w:r/>
          </w:p>
        </w:tc>
        <w:tc>
          <w:tcPr>
            <w:shd w:val="clear" w:color="auto" w:fill="ffffff"/>
            <w:tcBorders/>
            <w:tcMar>
              <w:left w:w="55" w:type="dxa"/>
              <w:top w:w="45" w:type="dxa"/>
              <w:right w:w="55" w:type="dxa"/>
              <w:bottom w:w="45" w:type="dxa"/>
            </w:tcMar>
            <w:tcW w:w="7012" w:type="dxa"/>
            <w:vAlign w:val="top"/>
          </w:tcPr>
          <w:p>
            <w:pPr>
              <w:pStyle w:val="1089"/>
              <w:pBdr/>
              <w:spacing/>
              <w:ind/>
              <w:rPr/>
            </w:pPr>
            <w:r>
              <w:t xml:space="preserve">Bose, Joy. “Attribution Bias in Philosophical Knowledge Graphs</w:t>
            </w:r>
            <w:r>
              <w:t xml:space="preserve">: Corpus Frequency versus Temporal Sourcing.” arXiv:2606.29070v1, submitted 27 June 2026. Repository manuscript examining attribution bias in a philosophical corpus; its findings do not independently establish historical priority or doctrinal equivalence. </w:t>
            </w:r>
            <w:hyperlink r:id="rId19" w:tooltip="https://arxiv.org/abs/2606.29070v1" w:history="1">
              <w:r>
                <w:t xml:space="preserve">Repository record (v1)</w:t>
              </w:r>
            </w:hyperlink>
            <w:r/>
            <w:r/>
          </w:p>
        </w:tc>
      </w:tr>
      <w:tr>
        <w:trPr>
          <w:cantSplit/>
        </w:trPr>
        <w:tc>
          <w:tcPr>
            <w:shd w:val="clear" w:color="auto" w:fill="f4f6f7"/>
            <w:tcBorders/>
            <w:tcMar>
              <w:left w:w="55" w:type="dxa"/>
              <w:top w:w="45" w:type="dxa"/>
              <w:right w:w="55" w:type="dxa"/>
              <w:bottom w:w="45" w:type="dxa"/>
            </w:tcMar>
            <w:tcW w:w="2994" w:type="dxa"/>
            <w:vAlign w:val="top"/>
          </w:tcPr>
          <w:p>
            <w:pPr>
              <w:pStyle w:val="1089"/>
              <w:pBdr/>
              <w:spacing/>
              <w:ind/>
              <w:rPr/>
            </w:pPr>
            <w:r>
              <w:t xml:space="preserve">Do et al. (2026)</w:t>
            </w:r>
            <w:r/>
          </w:p>
        </w:tc>
        <w:tc>
          <w:tcPr>
            <w:shd w:val="clear" w:color="auto" w:fill="f4f6f7"/>
            <w:tcBorders/>
            <w:tcMar>
              <w:left w:w="55" w:type="dxa"/>
              <w:top w:w="45" w:type="dxa"/>
              <w:right w:w="55" w:type="dxa"/>
              <w:bottom w:w="45" w:type="dxa"/>
            </w:tcMar>
            <w:tcW w:w="7012" w:type="dxa"/>
            <w:vAlign w:val="top"/>
          </w:tcPr>
          <w:p>
            <w:pPr>
              <w:pStyle w:val="1089"/>
              <w:pBdr/>
              <w:spacing/>
              <w:ind/>
              <w:rPr/>
            </w:pPr>
            <w:r>
              <w:t xml:space="preserve">Do, Minh-Thu, et al. “Graphilosophy: Graph-Based Digital Humanities Computing with The Four Books.” arXiv:2603.28755v1, submitted 30 March 2026. Repository manuscript on graph-based computing with The Four Books, not a general global philosophy ontology. </w:t>
            </w:r>
            <w:hyperlink r:id="rId20" w:tooltip="https://arxiv.org/abs/2603.28755v1" w:history="1">
              <w:r>
                <w:t xml:space="preserve">Repository record (v1)</w:t>
              </w:r>
            </w:hyperlink>
            <w:r/>
            <w:r/>
          </w:p>
        </w:tc>
      </w:tr>
      <w:tr>
        <w:trPr>
          <w:cantSplit/>
        </w:trPr>
        <w:tc>
          <w:tcPr>
            <w:shd w:val="clear" w:color="auto" w:fill="f4f6f7"/>
            <w:tcBorders/>
            <w:tcMar>
              <w:left w:w="55" w:type="dxa"/>
              <w:top w:w="45" w:type="dxa"/>
              <w:right w:w="55" w:type="dxa"/>
              <w:bottom w:w="45" w:type="dxa"/>
            </w:tcMar>
            <w:tcW w:w="2994" w:type="dxa"/>
            <w:vAlign w:val="top"/>
          </w:tcPr>
          <w:p>
            <w:pPr>
              <w:pStyle w:val="1089"/>
              <w:pBdr/>
              <w:spacing/>
              <w:ind/>
              <w:rPr/>
            </w:pPr>
            <w:r>
              <w:t xml:space="preserve">DRH / Pulotu / Seshat / philosophy ontology literature</w:t>
            </w:r>
            <w:r/>
          </w:p>
        </w:tc>
        <w:tc>
          <w:tcPr>
            <w:shd w:val="clear" w:color="auto" w:fill="f4f6f7"/>
            <w:tcBorders/>
            <w:tcMar>
              <w:left w:w="55" w:type="dxa"/>
              <w:top w:w="45" w:type="dxa"/>
              <w:right w:w="55" w:type="dxa"/>
              <w:bottom w:w="45" w:type="dxa"/>
            </w:tcMar>
            <w:tcW w:w="7012" w:type="dxa"/>
            <w:vAlign w:val="top"/>
          </w:tcPr>
          <w:p>
            <w:pPr>
              <w:pStyle w:val="1089"/>
              <w:pBdr/>
              <w:spacing/>
              <w:ind/>
              <w:rPr/>
            </w:pPr>
            <w:r>
              <w:t xml:space="preserve">Established prior art for structured religion/history/culture data and machine-readable conceptual representation.</w:t>
            </w:r>
            <w:r/>
          </w:p>
        </w:tc>
      </w:tr>
      <w:tr>
        <w:trPr>
          <w:cantSplit/>
        </w:trPr>
        <w:tc>
          <w:tcPr>
            <w:shd w:val="clear" w:color="auto" w:fill="f4f6f7"/>
            <w:tcBorders/>
            <w:tcMar>
              <w:left w:w="55" w:type="dxa"/>
              <w:top w:w="45" w:type="dxa"/>
              <w:right w:w="55" w:type="dxa"/>
              <w:bottom w:w="45" w:type="dxa"/>
            </w:tcMar>
            <w:tcW w:w="2994" w:type="dxa"/>
            <w:vAlign w:val="top"/>
          </w:tcPr>
          <w:p>
            <w:pPr>
              <w:pStyle w:val="1089"/>
              <w:pBdr/>
              <w:spacing/>
              <w:ind/>
              <w:rPr/>
            </w:pPr>
            <w:r>
              <w:t xml:space="preserve">Philosophy-as-way-of-life / transformative-philosophy / knower-transformation literature (2025–2026)</w:t>
            </w:r>
            <w:r/>
          </w:p>
        </w:tc>
        <w:tc>
          <w:tcPr>
            <w:shd w:val="clear" w:color="auto" w:fill="f4f6f7"/>
            <w:tcBorders/>
            <w:tcMar>
              <w:left w:w="55" w:type="dxa"/>
              <w:top w:w="45" w:type="dxa"/>
              <w:right w:w="55" w:type="dxa"/>
              <w:bottom w:w="45" w:type="dxa"/>
            </w:tcMar>
            <w:tcW w:w="7012" w:type="dxa"/>
            <w:vAlign w:val="top"/>
          </w:tcPr>
          <w:p>
            <w:pPr>
              <w:pStyle w:val="1089"/>
              <w:pBdr/>
              <w:spacing/>
              <w:ind/>
              <w:rPr/>
            </w:pPr>
            <w:r>
              <w:t xml:space="preserve">Established prior art for philosophy as lived practice, self-cultivation, transformation of knowing or the knower, predicament–path–goal analysis and universalizing ontology–epistemology integration. Atl</w:t>
            </w:r>
            <w:r>
              <w:t xml:space="preserve">as differentiation cannot rest on those themes alone; it must rest on the governed integration of bounded Positions, explicit coupling and uncoupling, negative states, concept control, provenance, disanalogy, genealogy, counterexamples and gated synthesis.</w:t>
            </w:r>
            <w:r/>
          </w:p>
        </w:tc>
      </w:tr>
    </w:tbl>
    <w:p>
      <w:pPr>
        <w:pStyle w:val="1097"/>
        <w:pBdr/>
        <w:spacing/>
        <w:ind/>
        <w:rPr/>
      </w:pPr>
      <w:r/>
      <w:r/>
    </w:p>
    <w:tbl>
      <w:tblPr>
        <w:jc w:val="center"/>
        <w:tblW w:w="0" w:type="auto"/>
        <w:tblBorders>
          <w:top w:val="single" w:color="4a5560" w:sz="5" w:space="0"/>
          <w:left w:val="single" w:color="4a5560" w:sz="5" w:space="0"/>
          <w:bottom w:val="single" w:color="4a5560" w:sz="5" w:space="0"/>
          <w:right w:val="single" w:color="4a5560" w:sz="5" w:space="0"/>
          <w:insideH w:val="single" w:color="4a5560" w:sz="5" w:space="0"/>
          <w:insideV w:val="single" w:color="4a5560" w:sz="5" w:space="0"/>
        </w:tblBorders>
        <w:tblLayout w:type="fixed"/>
        <w:tblLook w:val="04A0" w:firstRow="1" w:lastRow="0" w:firstColumn="1" w:lastColumn="0" w:noHBand="0" w:noVBand="1"/>
      </w:tblPr>
      <w:tblGrid>
        <w:gridCol w:w="10006"/>
      </w:tblGrid>
      <w:tr>
        <w:trPr>
          <w:cantSplit/>
          <w:tblHeader/>
        </w:trPr>
        <w:tc>
          <w:tcPr>
            <w:shd w:val="clear" w:color="auto" w:fill="f4f6f7"/>
            <w:tcBorders/>
            <w:tcMar>
              <w:left w:w="90" w:type="dxa"/>
              <w:top w:w="0" w:type="dxa"/>
              <w:right w:w="90" w:type="dxa"/>
              <w:bottom w:w="65" w:type="dxa"/>
            </w:tcMar>
            <w:tcW w:w="9864" w:type="dxa"/>
            <w:vAlign w:val="center"/>
          </w:tcPr>
          <w:p>
            <w:pPr>
              <w:pStyle w:val="1091"/>
              <w:pBdr/>
              <w:shd w:val="clear" w:color="auto" w:fill="4a5560"/>
              <w:spacing/>
              <w:ind/>
              <w:rPr/>
            </w:pPr>
            <w:r>
              <w:t xml:space="preserve">Governing: Reference rule</w:t>
            </w:r>
            <w:r/>
          </w:p>
          <w:p>
            <w:pPr>
              <w:pStyle w:val="1092"/>
              <w:pBdr/>
              <w:spacing/>
              <w:ind/>
              <w:rPr/>
            </w:pPr>
            <w:r>
              <w:t xml:space="preserve">External references justify technical and methodological choices or constrain originality language. They do not provide evidence for worldview Claims unless separately entered as fit-for-purpose SourceRecords and EvidenceLinks for a specific Claim.</w:t>
            </w:r>
            <w:r/>
          </w:p>
        </w:tc>
      </w:tr>
    </w:tbl>
    <w:p>
      <w:pPr>
        <w:pStyle w:val="922"/>
        <w:keepNext w:val="true"/>
        <w:keepLines w:val="true"/>
        <w:pBdr/>
        <w:spacing/>
        <w:ind/>
        <w:rPr/>
      </w:pPr>
      <w:r/>
      <w:bookmarkStart w:id="184" w:name="historical_snapshot"/>
      <w:r>
        <w:t xml:space="preserve">Historical snapshot — GateRun status as of 28 July 2026</w:t>
      </w:r>
      <w:bookmarkEnd w:id="184"/>
      <w:r/>
      <w:r/>
    </w:p>
    <w:tbl>
      <w:tblPr>
        <w:jc w:val="center"/>
        <w:tblW w:w="0" w:type="auto"/>
        <w:tblBorders>
          <w:top w:val="single" w:color="4a5560" w:sz="5" w:space="0"/>
          <w:left w:val="single" w:color="4a5560" w:sz="5" w:space="0"/>
          <w:bottom w:val="single" w:color="4a5560" w:sz="5" w:space="0"/>
          <w:right w:val="single" w:color="4a5560" w:sz="5" w:space="0"/>
          <w:insideH w:val="single" w:color="4a5560" w:sz="5" w:space="0"/>
          <w:insideV w:val="single" w:color="4a5560" w:sz="5" w:space="0"/>
        </w:tblBorders>
        <w:tblLayout w:type="fixed"/>
        <w:tblLook w:val="04A0" w:firstRow="1" w:lastRow="0" w:firstColumn="1" w:lastColumn="0" w:noHBand="0" w:noVBand="1"/>
      </w:tblPr>
      <w:tblGrid>
        <w:gridCol w:w="10006"/>
      </w:tblGrid>
      <w:tr>
        <w:trPr>
          <w:cantSplit/>
          <w:tblHeader/>
        </w:trPr>
        <w:tc>
          <w:tcPr>
            <w:shd w:val="clear" w:color="auto" w:fill="f4f6f7"/>
            <w:tcBorders/>
            <w:tcMar>
              <w:left w:w="90" w:type="dxa"/>
              <w:top w:w="0" w:type="dxa"/>
              <w:right w:w="90" w:type="dxa"/>
              <w:bottom w:w="65" w:type="dxa"/>
            </w:tcMar>
            <w:tcW w:w="9864" w:type="dxa"/>
            <w:vAlign w:val="center"/>
          </w:tcPr>
          <w:p>
            <w:pPr>
              <w:pStyle w:val="1091"/>
              <w:pBdr/>
              <w:shd w:val="clear" w:color="auto" w:fill="4a5560"/>
              <w:spacing/>
              <w:ind/>
              <w:rPr/>
            </w:pPr>
            <w:r>
              <w:t xml:space="preserve">Historical snapshot: Snapshot status</w:t>
            </w:r>
            <w:r/>
          </w:p>
          <w:p>
            <w:pPr>
              <w:pStyle w:val="1092"/>
              <w:pBdr/>
              <w:spacing/>
              <w:ind/>
              <w:rPr/>
            </w:pPr>
            <w:r>
              <w:t xml:space="preserve">This historical snapshot re</w:t>
            </w:r>
            <w:r>
              <w:t xml:space="preserve">cords the project-level GateRun state at 28 July 2026. It is a dated summary, not a source of later authority. Current gate and release decisions require applicable recorded GateRuns and release records under §10; document preparation is not gate evidence.</w:t>
            </w:r>
            <w:r/>
          </w:p>
        </w:tc>
      </w:tr>
    </w:tbl>
    <w:p>
      <w:pPr>
        <w:pStyle w:val="1097"/>
        <w:pBdr/>
        <w:spacing/>
        <w:ind/>
        <w:rPr/>
      </w:pPr>
      <w:r/>
      <w:r/>
    </w:p>
    <w:p>
      <w:pPr>
        <w:pStyle w:val="1083"/>
        <w:pBdr/>
        <w:spacing/>
        <w:ind/>
        <w:rPr/>
      </w:pPr>
      <w:r>
        <w:t xml:space="preserve">PENDING indicates that qualifying evidence has not yet established PASS or FAIL.</w:t>
      </w:r>
      <w:r>
        <w:t xml:space="preserve"> It is not itself FAIL and does not authorize release. In this snapshot, G1–G7 remain PENDING; G5 records PARTIAL evidence and G7 PROTOTYPE evidence. G8 records PASS with COMPLETE evidence from 27 July 2026. The recorded release authorization remains HOLD.</w:t>
      </w:r>
      <w:r/>
    </w:p>
    <w:p>
      <w:pPr>
        <w:pStyle w:val="1086"/>
        <w:keepNext w:val="true"/>
        <w:keepLines w:val="true"/>
        <w:pBdr/>
        <w:spacing/>
        <w:ind/>
        <w:rPr/>
      </w:pPr>
      <w:r/>
      <w:bookmarkStart w:id="185" w:name="tbl_gate_snapshot"/>
      <w:r>
        <w:t xml:space="preserve">Historical snapshot — Project GateRun state at 28 July 2026</w:t>
      </w:r>
      <w:bookmarkEnd w:id="185"/>
      <w:r/>
      <w:r/>
    </w:p>
    <w:tbl>
      <w:tblPr>
        <w:jc w:val="center"/>
        <w:tblW w:w="0" w:type="auto"/>
        <w:tblBorders>
          <w:top w:val="single" w:color="d8dde1" w:sz="4" w:space="0"/>
          <w:left w:val="single" w:color="d8dde1" w:sz="4" w:space="0"/>
          <w:bottom w:val="single" w:color="d8dde1" w:sz="4" w:space="0"/>
          <w:right w:val="single" w:color="d8dde1" w:sz="4" w:space="0"/>
          <w:insideH w:val="single" w:color="d8dde1" w:sz="4" w:space="0"/>
          <w:insideV w:val="single" w:color="d8dde1" w:sz="4" w:space="0"/>
        </w:tblBorders>
        <w:tblLayout w:type="fixed"/>
        <w:tblLook w:val="04A0" w:firstRow="1" w:lastRow="0" w:firstColumn="1" w:lastColumn="0" w:noHBand="0" w:noVBand="1"/>
      </w:tblPr>
      <w:tblGrid>
        <w:gridCol w:w="1440"/>
        <w:gridCol w:w="2735"/>
        <w:gridCol w:w="936"/>
        <w:gridCol w:w="2303"/>
        <w:gridCol w:w="2591"/>
      </w:tblGrid>
      <w:tr>
        <w:trPr>
          <w:cantSplit/>
          <w:tblHeader/>
        </w:trPr>
        <w:tc>
          <w:tcPr>
            <w:shd w:val="clear" w:color="auto" w:fill="1f5d7a"/>
            <w:tcBorders/>
            <w:tcMar>
              <w:left w:w="55" w:type="dxa"/>
              <w:top w:w="45" w:type="dxa"/>
              <w:right w:w="55" w:type="dxa"/>
              <w:bottom w:w="45" w:type="dxa"/>
            </w:tcMar>
            <w:tcW w:w="1440" w:type="dxa"/>
            <w:vAlign w:val="top"/>
          </w:tcPr>
          <w:p>
            <w:pPr>
              <w:pStyle w:val="1090"/>
              <w:pBdr/>
              <w:spacing/>
              <w:ind/>
              <w:rPr/>
            </w:pPr>
            <w:r>
              <w:t xml:space="preserve">Gate</w:t>
            </w:r>
            <w:r/>
          </w:p>
        </w:tc>
        <w:tc>
          <w:tcPr>
            <w:shd w:val="clear" w:color="auto" w:fill="1f5d7a"/>
            <w:tcBorders/>
            <w:tcMar>
              <w:left w:w="55" w:type="dxa"/>
              <w:top w:w="45" w:type="dxa"/>
              <w:right w:w="55" w:type="dxa"/>
              <w:bottom w:w="45" w:type="dxa"/>
            </w:tcMar>
            <w:tcW w:w="2735" w:type="dxa"/>
            <w:vAlign w:val="top"/>
          </w:tcPr>
          <w:p>
            <w:pPr>
              <w:pStyle w:val="1090"/>
              <w:pBdr/>
              <w:spacing/>
              <w:ind/>
              <w:rPr/>
            </w:pPr>
            <w:r>
              <w:t xml:space="preserve">Owner / evidence required</w:t>
            </w:r>
            <w:r/>
          </w:p>
        </w:tc>
        <w:tc>
          <w:tcPr>
            <w:shd w:val="clear" w:color="auto" w:fill="1f5d7a"/>
            <w:tcBorders/>
            <w:tcMar>
              <w:left w:w="55" w:type="dxa"/>
              <w:top w:w="45" w:type="dxa"/>
              <w:right w:w="55" w:type="dxa"/>
              <w:bottom w:w="45" w:type="dxa"/>
            </w:tcMar>
            <w:tcW w:w="936" w:type="dxa"/>
            <w:vAlign w:val="top"/>
          </w:tcPr>
          <w:p>
            <w:pPr>
              <w:pStyle w:val="1090"/>
              <w:pBdr/>
              <w:spacing/>
              <w:ind/>
              <w:rPr/>
            </w:pPr>
            <w:r>
              <w:t xml:space="preserve">Verdict</w:t>
            </w:r>
            <w:r/>
          </w:p>
        </w:tc>
        <w:tc>
          <w:tcPr>
            <w:shd w:val="clear" w:color="auto" w:fill="1f5d7a"/>
            <w:tcBorders/>
            <w:tcMar>
              <w:left w:w="55" w:type="dxa"/>
              <w:top w:w="45" w:type="dxa"/>
              <w:right w:w="55" w:type="dxa"/>
              <w:bottom w:w="45" w:type="dxa"/>
            </w:tcMar>
            <w:tcW w:w="2303" w:type="dxa"/>
            <w:vAlign w:val="top"/>
          </w:tcPr>
          <w:p>
            <w:pPr>
              <w:pStyle w:val="1090"/>
              <w:pBdr/>
              <w:spacing/>
              <w:ind/>
              <w:rPr/>
            </w:pPr>
            <w:r>
              <w:t xml:space="preserve">Evidence maturity / last run</w:t>
            </w:r>
            <w:r/>
          </w:p>
        </w:tc>
        <w:tc>
          <w:tcPr>
            <w:shd w:val="clear" w:color="auto" w:fill="1f5d7a"/>
            <w:tcBorders/>
            <w:tcMar>
              <w:left w:w="55" w:type="dxa"/>
              <w:top w:w="45" w:type="dxa"/>
              <w:right w:w="55" w:type="dxa"/>
              <w:bottom w:w="45" w:type="dxa"/>
            </w:tcMar>
            <w:tcW w:w="2591" w:type="dxa"/>
            <w:vAlign w:val="top"/>
          </w:tcPr>
          <w:p>
            <w:pPr>
              <w:pStyle w:val="1090"/>
              <w:pBdr/>
              <w:spacing/>
              <w:ind/>
              <w:rPr/>
            </w:pPr>
            <w:r>
              <w:t xml:space="preserve">Re-test trigger</w:t>
            </w:r>
            <w:r/>
          </w:p>
        </w:tc>
      </w:tr>
      <w:tr>
        <w:trPr>
          <w:cantSplit/>
        </w:trPr>
        <w:tc>
          <w:tcPr>
            <w:shd w:val="clear" w:color="auto" w:fill="ffffff"/>
            <w:tcBorders/>
            <w:tcMar>
              <w:left w:w="55" w:type="dxa"/>
              <w:top w:w="45" w:type="dxa"/>
              <w:right w:w="55" w:type="dxa"/>
              <w:bottom w:w="45" w:type="dxa"/>
            </w:tcMar>
            <w:tcW w:w="1440" w:type="dxa"/>
            <w:vAlign w:val="top"/>
          </w:tcPr>
          <w:p>
            <w:pPr>
              <w:pStyle w:val="1089"/>
              <w:pBdr/>
              <w:spacing/>
              <w:ind/>
              <w:rPr/>
            </w:pPr>
            <w:r>
              <w:t xml:space="preserve">G1 - Schema stability</w:t>
            </w:r>
            <w:r/>
          </w:p>
        </w:tc>
        <w:tc>
          <w:tcPr>
            <w:shd w:val="clear" w:color="auto" w:fill="ffffff"/>
            <w:tcBorders/>
            <w:tcMar>
              <w:left w:w="55" w:type="dxa"/>
              <w:top w:w="45" w:type="dxa"/>
              <w:right w:w="55" w:type="dxa"/>
              <w:bottom w:w="45" w:type="dxa"/>
            </w:tcMar>
            <w:tcW w:w="2735" w:type="dxa"/>
            <w:vAlign w:val="top"/>
          </w:tcPr>
          <w:p>
            <w:pPr>
              <w:pStyle w:val="1089"/>
              <w:pBdr/>
              <w:spacing/>
              <w:ind/>
              <w:rPr/>
            </w:pPr>
            <w:r>
              <w:t xml:space="preserve">Research methods owner + release officer. Defect log and evidence that no repeated core structural failure remains under this semantic version.</w:t>
            </w:r>
            <w:r/>
          </w:p>
        </w:tc>
        <w:tc>
          <w:tcPr>
            <w:shd w:val="clear" w:color="auto" w:fill="ffffff"/>
            <w:tcBorders/>
            <w:tcMar>
              <w:left w:w="55" w:type="dxa"/>
              <w:top w:w="45" w:type="dxa"/>
              <w:right w:w="55" w:type="dxa"/>
              <w:bottom w:w="45" w:type="dxa"/>
            </w:tcMar>
            <w:tcW w:w="936" w:type="dxa"/>
            <w:vAlign w:val="top"/>
          </w:tcPr>
          <w:p>
            <w:pPr>
              <w:pStyle w:val="1089"/>
              <w:pBdr/>
              <w:spacing/>
              <w:ind/>
              <w:rPr/>
            </w:pPr>
            <w:r>
              <w:t xml:space="preserve">PENDING</w:t>
            </w:r>
            <w:r/>
          </w:p>
        </w:tc>
        <w:tc>
          <w:tcPr>
            <w:shd w:val="clear" w:color="auto" w:fill="ffffff"/>
            <w:tcBorders/>
            <w:tcMar>
              <w:left w:w="55" w:type="dxa"/>
              <w:top w:w="45" w:type="dxa"/>
              <w:right w:w="55" w:type="dxa"/>
              <w:bottom w:w="45" w:type="dxa"/>
            </w:tcMar>
            <w:tcW w:w="2303" w:type="dxa"/>
            <w:vAlign w:val="top"/>
          </w:tcPr>
          <w:p>
            <w:pPr>
              <w:pStyle w:val="1089"/>
              <w:pBdr/>
              <w:spacing/>
              <w:ind/>
              <w:rPr/>
            </w:pPr>
            <w:r>
              <w:t xml:space="preserve">NONE; no qualifying gate run asserted</w:t>
            </w:r>
            <w:r/>
          </w:p>
        </w:tc>
        <w:tc>
          <w:tcPr>
            <w:shd w:val="clear" w:color="auto" w:fill="ffffff"/>
            <w:tcBorders/>
            <w:tcMar>
              <w:left w:w="55" w:type="dxa"/>
              <w:top w:w="45" w:type="dxa"/>
              <w:right w:w="55" w:type="dxa"/>
              <w:bottom w:w="45" w:type="dxa"/>
            </w:tcMar>
            <w:tcW w:w="2591" w:type="dxa"/>
            <w:vAlign w:val="top"/>
          </w:tcPr>
          <w:p>
            <w:pPr>
              <w:pStyle w:val="1089"/>
              <w:pBdr/>
              <w:spacing/>
              <w:ind/>
              <w:rPr/>
            </w:pPr>
            <w:r>
              <w:t xml:space="preserve">Completion of a governed stability run, or any repeated core failure that cannot be represented without changing a governed semantic/cardinality.</w:t>
            </w:r>
            <w:r/>
          </w:p>
        </w:tc>
      </w:tr>
      <w:tr>
        <w:trPr>
          <w:cantSplit/>
        </w:trPr>
        <w:tc>
          <w:tcPr>
            <w:shd w:val="clear" w:color="auto" w:fill="f4f6f7"/>
            <w:tcBorders/>
            <w:tcMar>
              <w:left w:w="55" w:type="dxa"/>
              <w:top w:w="45" w:type="dxa"/>
              <w:right w:w="55" w:type="dxa"/>
              <w:bottom w:w="45" w:type="dxa"/>
            </w:tcMar>
            <w:tcW w:w="1440" w:type="dxa"/>
            <w:vAlign w:val="top"/>
          </w:tcPr>
          <w:p>
            <w:pPr>
              <w:pStyle w:val="1089"/>
              <w:pBdr/>
              <w:spacing/>
              <w:ind/>
              <w:rPr/>
            </w:pPr>
            <w:r>
              <w:t xml:space="preserve">G2 - Status discrimination</w:t>
            </w:r>
            <w:r/>
          </w:p>
        </w:tc>
        <w:tc>
          <w:tcPr>
            <w:shd w:val="clear" w:color="auto" w:fill="f4f6f7"/>
            <w:tcBorders/>
            <w:tcMar>
              <w:left w:w="55" w:type="dxa"/>
              <w:top w:w="45" w:type="dxa"/>
              <w:right w:w="55" w:type="dxa"/>
              <w:bottom w:w="45" w:type="dxa"/>
            </w:tcMar>
            <w:tcW w:w="2735" w:type="dxa"/>
            <w:vAlign w:val="top"/>
          </w:tcPr>
          <w:p>
            <w:pPr>
              <w:pStyle w:val="1089"/>
              <w:pBdr/>
              <w:spacing/>
              <w:ind/>
              <w:rPr/>
            </w:pPr>
            <w:r>
              <w:t xml:space="preserve">Reliability lead. Blind all-state coder packet, eight-state reliability, CAT reliability, confusion diagnostics and independence declarations.</w:t>
            </w:r>
            <w:r/>
          </w:p>
        </w:tc>
        <w:tc>
          <w:tcPr>
            <w:shd w:val="clear" w:color="auto" w:fill="f4f6f7"/>
            <w:tcBorders/>
            <w:tcMar>
              <w:left w:w="55" w:type="dxa"/>
              <w:top w:w="45" w:type="dxa"/>
              <w:right w:w="55" w:type="dxa"/>
              <w:bottom w:w="45" w:type="dxa"/>
            </w:tcMar>
            <w:tcW w:w="936" w:type="dxa"/>
            <w:vAlign w:val="top"/>
          </w:tcPr>
          <w:p>
            <w:pPr>
              <w:pStyle w:val="1089"/>
              <w:pBdr/>
              <w:spacing/>
              <w:ind/>
              <w:rPr/>
            </w:pPr>
            <w:r>
              <w:t xml:space="preserve">PENDING</w:t>
            </w:r>
            <w:r/>
          </w:p>
        </w:tc>
        <w:tc>
          <w:tcPr>
            <w:shd w:val="clear" w:color="auto" w:fill="f4f6f7"/>
            <w:tcBorders/>
            <w:tcMar>
              <w:left w:w="55" w:type="dxa"/>
              <w:top w:w="45" w:type="dxa"/>
              <w:right w:w="55" w:type="dxa"/>
              <w:bottom w:w="45" w:type="dxa"/>
            </w:tcMar>
            <w:tcW w:w="2303" w:type="dxa"/>
            <w:vAlign w:val="top"/>
          </w:tcPr>
          <w:p>
            <w:pPr>
              <w:pStyle w:val="1089"/>
              <w:pBdr/>
              <w:spacing/>
              <w:ind/>
              <w:rPr/>
            </w:pPr>
            <w:r>
              <w:t xml:space="preserve">NONE; no packet result asserted</w:t>
            </w:r>
            <w:r/>
          </w:p>
        </w:tc>
        <w:tc>
          <w:tcPr>
            <w:shd w:val="clear" w:color="auto" w:fill="f4f6f7"/>
            <w:tcBorders/>
            <w:tcMar>
              <w:left w:w="55" w:type="dxa"/>
              <w:top w:w="45" w:type="dxa"/>
              <w:right w:w="55" w:type="dxa"/>
              <w:bottom w:w="45" w:type="dxa"/>
            </w:tcMar>
            <w:tcW w:w="2591" w:type="dxa"/>
            <w:vAlign w:val="top"/>
          </w:tcPr>
          <w:p>
            <w:pPr>
              <w:pStyle w:val="1089"/>
              <w:pBdr/>
              <w:spacing/>
              <w:ind/>
              <w:rPr/>
            </w:pPr>
            <w:r>
              <w:t xml:space="preserve">Material codebook/example revision, new population/use case or failed diagnostic threshold.</w:t>
            </w:r>
            <w:r/>
          </w:p>
        </w:tc>
      </w:tr>
      <w:tr>
        <w:trPr>
          <w:cantSplit/>
        </w:trPr>
        <w:tc>
          <w:tcPr>
            <w:shd w:val="clear" w:color="auto" w:fill="ffffff"/>
            <w:tcBorders/>
            <w:tcMar>
              <w:left w:w="55" w:type="dxa"/>
              <w:top w:w="45" w:type="dxa"/>
              <w:right w:w="55" w:type="dxa"/>
              <w:bottom w:w="45" w:type="dxa"/>
            </w:tcMar>
            <w:tcW w:w="1440" w:type="dxa"/>
            <w:vAlign w:val="top"/>
          </w:tcPr>
          <w:p>
            <w:pPr>
              <w:pStyle w:val="1089"/>
              <w:pBdr/>
              <w:spacing/>
              <w:ind/>
              <w:rPr/>
            </w:pPr>
            <w:r>
              <w:t xml:space="preserve">G3 - Relation reliability</w:t>
            </w:r>
            <w:r/>
          </w:p>
        </w:tc>
        <w:tc>
          <w:tcPr>
            <w:shd w:val="clear" w:color="auto" w:fill="ffffff"/>
            <w:tcBorders/>
            <w:tcMar>
              <w:left w:w="55" w:type="dxa"/>
              <w:top w:w="45" w:type="dxa"/>
              <w:right w:w="55" w:type="dxa"/>
              <w:bottom w:w="45" w:type="dxa"/>
            </w:tcMar>
            <w:tcW w:w="2735" w:type="dxa"/>
            <w:vAlign w:val="top"/>
          </w:tcPr>
          <w:p>
            <w:pPr>
              <w:pStyle w:val="1089"/>
              <w:pBdr/>
              <w:spacing/>
              <w:ind/>
              <w:rPr/>
            </w:pPr>
            <w:r>
              <w:t xml:space="preserve">Reliability/comparison lead. Blind full-taxonomy multi-label relation packet, scope agreement, coherence validation, disanalogy audit and OEQ safeguard review.</w:t>
            </w:r>
            <w:r/>
          </w:p>
        </w:tc>
        <w:tc>
          <w:tcPr>
            <w:shd w:val="clear" w:color="auto" w:fill="ffffff"/>
            <w:tcBorders/>
            <w:tcMar>
              <w:left w:w="55" w:type="dxa"/>
              <w:top w:w="45" w:type="dxa"/>
              <w:right w:w="55" w:type="dxa"/>
              <w:bottom w:w="45" w:type="dxa"/>
            </w:tcMar>
            <w:tcW w:w="936" w:type="dxa"/>
            <w:vAlign w:val="top"/>
          </w:tcPr>
          <w:p>
            <w:pPr>
              <w:pStyle w:val="1089"/>
              <w:pBdr/>
              <w:spacing/>
              <w:ind/>
              <w:rPr/>
            </w:pPr>
            <w:r>
              <w:t xml:space="preserve">PENDING</w:t>
            </w:r>
            <w:r/>
          </w:p>
        </w:tc>
        <w:tc>
          <w:tcPr>
            <w:shd w:val="clear" w:color="auto" w:fill="ffffff"/>
            <w:tcBorders/>
            <w:tcMar>
              <w:left w:w="55" w:type="dxa"/>
              <w:top w:w="45" w:type="dxa"/>
              <w:right w:w="55" w:type="dxa"/>
              <w:bottom w:w="45" w:type="dxa"/>
            </w:tcMar>
            <w:tcW w:w="2303" w:type="dxa"/>
            <w:vAlign w:val="top"/>
          </w:tcPr>
          <w:p>
            <w:pPr>
              <w:pStyle w:val="1089"/>
              <w:pBdr/>
              <w:spacing/>
              <w:ind/>
              <w:rPr/>
            </w:pPr>
            <w:r>
              <w:t xml:space="preserve">NONE; no packet result asserted</w:t>
            </w:r>
            <w:r/>
          </w:p>
        </w:tc>
        <w:tc>
          <w:tcPr>
            <w:shd w:val="clear" w:color="auto" w:fill="ffffff"/>
            <w:tcBorders/>
            <w:tcMar>
              <w:left w:w="55" w:type="dxa"/>
              <w:top w:w="45" w:type="dxa"/>
              <w:right w:w="55" w:type="dxa"/>
              <w:bottom w:w="45" w:type="dxa"/>
            </w:tcMar>
            <w:tcW w:w="2591" w:type="dxa"/>
            <w:vAlign w:val="top"/>
          </w:tcPr>
          <w:p>
            <w:pPr>
              <w:pStyle w:val="1089"/>
              <w:pBdr/>
              <w:spacing/>
              <w:ind/>
              <w:rPr/>
            </w:pPr>
            <w:r>
              <w:t xml:space="preserve">Material relation guidance change or failed reproducibility in manuscript comparisons.</w:t>
            </w:r>
            <w:r/>
          </w:p>
        </w:tc>
      </w:tr>
      <w:tr>
        <w:trPr>
          <w:cantSplit/>
        </w:trPr>
        <w:tc>
          <w:tcPr>
            <w:shd w:val="clear" w:color="auto" w:fill="f4f6f7"/>
            <w:tcBorders/>
            <w:tcMar>
              <w:left w:w="55" w:type="dxa"/>
              <w:top w:w="45" w:type="dxa"/>
              <w:right w:w="55" w:type="dxa"/>
              <w:bottom w:w="45" w:type="dxa"/>
            </w:tcMar>
            <w:tcW w:w="1440" w:type="dxa"/>
            <w:vAlign w:val="top"/>
          </w:tcPr>
          <w:p>
            <w:pPr>
              <w:pStyle w:val="1089"/>
              <w:pBdr/>
              <w:spacing/>
              <w:ind/>
              <w:rPr/>
            </w:pPr>
            <w:r>
              <w:t xml:space="preserve">G4 - Oral/performance provenance</w:t>
            </w:r>
            <w:r/>
          </w:p>
        </w:tc>
        <w:tc>
          <w:tcPr>
            <w:shd w:val="clear" w:color="auto" w:fill="f4f6f7"/>
            <w:tcBorders/>
            <w:tcMar>
              <w:left w:w="55" w:type="dxa"/>
              <w:top w:w="45" w:type="dxa"/>
              <w:right w:w="55" w:type="dxa"/>
              <w:bottom w:w="45" w:type="dxa"/>
            </w:tcMar>
            <w:tcW w:w="2735" w:type="dxa"/>
            <w:vAlign w:val="top"/>
          </w:tcPr>
          <w:p>
            <w:pPr>
              <w:pStyle w:val="1089"/>
              <w:pBdr/>
              <w:spacing/>
              <w:ind/>
              <w:rPr/>
            </w:pPr>
            <w:r>
              <w:t xml:space="preserve">Provenance/governance lead. Complete Claim -&gt; EvidenceLink -&gt; SourceInstance -&gt; artifact chain with language, event, transcription/translation and authorization metadata.</w:t>
            </w:r>
            <w:r/>
          </w:p>
        </w:tc>
        <w:tc>
          <w:tcPr>
            <w:shd w:val="clear" w:color="auto" w:fill="f4f6f7"/>
            <w:tcBorders/>
            <w:tcMar>
              <w:left w:w="55" w:type="dxa"/>
              <w:top w:w="45" w:type="dxa"/>
              <w:right w:w="55" w:type="dxa"/>
              <w:bottom w:w="45" w:type="dxa"/>
            </w:tcMar>
            <w:tcW w:w="936" w:type="dxa"/>
            <w:vAlign w:val="top"/>
          </w:tcPr>
          <w:p>
            <w:pPr>
              <w:pStyle w:val="1089"/>
              <w:pBdr/>
              <w:spacing/>
              <w:ind/>
              <w:rPr/>
            </w:pPr>
            <w:r>
              <w:t xml:space="preserve">PENDING</w:t>
            </w:r>
            <w:r/>
          </w:p>
        </w:tc>
        <w:tc>
          <w:tcPr>
            <w:shd w:val="clear" w:color="auto" w:fill="f4f6f7"/>
            <w:tcBorders/>
            <w:tcMar>
              <w:left w:w="55" w:type="dxa"/>
              <w:top w:w="45" w:type="dxa"/>
              <w:right w:w="55" w:type="dxa"/>
              <w:bottom w:w="45" w:type="dxa"/>
            </w:tcMar>
            <w:tcW w:w="2303" w:type="dxa"/>
            <w:vAlign w:val="top"/>
          </w:tcPr>
          <w:p>
            <w:pPr>
              <w:pStyle w:val="1089"/>
              <w:pBdr/>
              <w:spacing/>
              <w:ind/>
              <w:rPr/>
            </w:pPr>
            <w:r>
              <w:t xml:space="preserve">NONE; no qualifying capability case asserted</w:t>
            </w:r>
            <w:r/>
          </w:p>
        </w:tc>
        <w:tc>
          <w:tcPr>
            <w:shd w:val="clear" w:color="auto" w:fill="f4f6f7"/>
            <w:tcBorders/>
            <w:tcMar>
              <w:left w:w="55" w:type="dxa"/>
              <w:top w:w="45" w:type="dxa"/>
              <w:right w:w="55" w:type="dxa"/>
              <w:bottom w:w="45" w:type="dxa"/>
            </w:tcMar>
            <w:tcW w:w="2591" w:type="dxa"/>
            <w:vAlign w:val="top"/>
          </w:tcPr>
          <w:p>
            <w:pPr>
              <w:pStyle w:val="1089"/>
              <w:pBdr/>
              <w:spacing/>
              <w:ind/>
              <w:rPr/>
            </w:pPr>
            <w:r>
              <w:t xml:space="preserve">New oral/performance release class or change in rights/provenance basis.</w:t>
            </w:r>
            <w:r/>
          </w:p>
        </w:tc>
      </w:tr>
      <w:tr>
        <w:trPr>
          <w:cantSplit/>
        </w:trPr>
        <w:tc>
          <w:tcPr>
            <w:shd w:val="clear" w:color="auto" w:fill="ffffff"/>
            <w:tcBorders/>
            <w:tcMar>
              <w:left w:w="55" w:type="dxa"/>
              <w:top w:w="45" w:type="dxa"/>
              <w:right w:w="55" w:type="dxa"/>
              <w:bottom w:w="45" w:type="dxa"/>
            </w:tcMar>
            <w:tcW w:w="1440" w:type="dxa"/>
            <w:vAlign w:val="top"/>
          </w:tcPr>
          <w:p>
            <w:pPr>
              <w:pStyle w:val="1089"/>
              <w:pBdr/>
              <w:spacing/>
              <w:ind/>
              <w:rPr/>
            </w:pPr>
            <w:r>
              <w:t xml:space="preserve">G5 - Community representation</w:t>
            </w:r>
            <w:r/>
          </w:p>
        </w:tc>
        <w:tc>
          <w:tcPr>
            <w:shd w:val="clear" w:color="auto" w:fill="ffffff"/>
            <w:tcBorders/>
            <w:tcMar>
              <w:left w:w="55" w:type="dxa"/>
              <w:top w:w="45" w:type="dxa"/>
              <w:right w:w="55" w:type="dxa"/>
              <w:bottom w:w="45" w:type="dxa"/>
            </w:tcMar>
            <w:tcW w:w="2735" w:type="dxa"/>
            <w:vAlign w:val="top"/>
          </w:tcPr>
          <w:p>
            <w:pPr>
              <w:pStyle w:val="1089"/>
              <w:pBdr/>
              <w:spacing/>
              <w:ind/>
              <w:rPr/>
            </w:pPr>
            <w:r>
              <w:t xml:space="preserve">Governance liaison + release officer. Coverage basis, authority scope, rights/protocols, limitations, feedback and release decision.</w:t>
            </w:r>
            <w:r/>
          </w:p>
        </w:tc>
        <w:tc>
          <w:tcPr>
            <w:shd w:val="clear" w:color="auto" w:fill="ffffff"/>
            <w:tcBorders/>
            <w:tcMar>
              <w:left w:w="55" w:type="dxa"/>
              <w:top w:w="45" w:type="dxa"/>
              <w:right w:w="55" w:type="dxa"/>
              <w:bottom w:w="45" w:type="dxa"/>
            </w:tcMar>
            <w:tcW w:w="936" w:type="dxa"/>
            <w:vAlign w:val="top"/>
          </w:tcPr>
          <w:p>
            <w:pPr>
              <w:pStyle w:val="1089"/>
              <w:pBdr/>
              <w:spacing/>
              <w:ind/>
              <w:rPr/>
            </w:pPr>
            <w:r>
              <w:t xml:space="preserve">PENDING</w:t>
            </w:r>
            <w:r/>
          </w:p>
        </w:tc>
        <w:tc>
          <w:tcPr>
            <w:shd w:val="clear" w:color="auto" w:fill="ffffff"/>
            <w:tcBorders/>
            <w:tcMar>
              <w:left w:w="55" w:type="dxa"/>
              <w:top w:w="45" w:type="dxa"/>
              <w:right w:w="55" w:type="dxa"/>
              <w:bottom w:w="45" w:type="dxa"/>
            </w:tcMar>
            <w:tcW w:w="2303" w:type="dxa"/>
            <w:vAlign w:val="top"/>
          </w:tcPr>
          <w:p>
            <w:pPr>
              <w:pStyle w:val="1089"/>
              <w:pBdr/>
              <w:spacing/>
              <w:ind/>
              <w:rPr/>
            </w:pPr>
            <w:r>
              <w:t xml:space="preserve">PARTIAL; partial basis recorded, no PASS asserted</w:t>
            </w:r>
            <w:r/>
          </w:p>
        </w:tc>
        <w:tc>
          <w:tcPr>
            <w:shd w:val="clear" w:color="auto" w:fill="ffffff"/>
            <w:tcBorders/>
            <w:tcMar>
              <w:left w:w="55" w:type="dxa"/>
              <w:top w:w="45" w:type="dxa"/>
              <w:right w:w="55" w:type="dxa"/>
              <w:bottom w:w="45" w:type="dxa"/>
            </w:tcMar>
            <w:tcW w:w="2591" w:type="dxa"/>
            <w:vAlign w:val="top"/>
          </w:tcPr>
          <w:p>
            <w:pPr>
              <w:pStyle w:val="1089"/>
              <w:pBdr/>
              <w:spacing/>
              <w:ind/>
              <w:rPr/>
            </w:pPr>
            <w:r>
              <w:t xml:space="preserve">New applicable community Position, changed scope/rights or material dispute.</w:t>
            </w:r>
            <w:r/>
          </w:p>
        </w:tc>
      </w:tr>
      <w:tr>
        <w:trPr>
          <w:cantSplit/>
        </w:trPr>
        <w:tc>
          <w:tcPr>
            <w:shd w:val="clear" w:color="auto" w:fill="f4f6f7"/>
            <w:tcBorders/>
            <w:tcMar>
              <w:left w:w="55" w:type="dxa"/>
              <w:top w:w="45" w:type="dxa"/>
              <w:right w:w="55" w:type="dxa"/>
              <w:bottom w:w="45" w:type="dxa"/>
            </w:tcMar>
            <w:tcW w:w="1440" w:type="dxa"/>
            <w:vAlign w:val="top"/>
          </w:tcPr>
          <w:p>
            <w:pPr>
              <w:pStyle w:val="1089"/>
              <w:pBdr/>
              <w:spacing/>
              <w:ind/>
              <w:rPr/>
            </w:pPr>
            <w:r>
              <w:t xml:space="preserve">G6 - Claim and publication-claim traceability</w:t>
            </w:r>
            <w:r/>
          </w:p>
        </w:tc>
        <w:tc>
          <w:tcPr>
            <w:shd w:val="clear" w:color="auto" w:fill="f4f6f7"/>
            <w:tcBorders/>
            <w:tcMar>
              <w:left w:w="55" w:type="dxa"/>
              <w:top w:w="45" w:type="dxa"/>
              <w:right w:w="55" w:type="dxa"/>
              <w:bottom w:w="45" w:type="dxa"/>
            </w:tcMar>
            <w:tcW w:w="2735" w:type="dxa"/>
            <w:vAlign w:val="top"/>
          </w:tcPr>
          <w:p>
            <w:pPr>
              <w:pStyle w:val="1089"/>
              <w:pBdr/>
              <w:spacing/>
              <w:ind/>
              <w:rPr/>
            </w:pPr>
            <w:r>
              <w:t xml:space="preserve">Validation lead. 100% release-candidate Claim traceability plus complete premise chains for thesis-bearing PublicationClaims.</w:t>
            </w:r>
            <w:r/>
          </w:p>
        </w:tc>
        <w:tc>
          <w:tcPr>
            <w:shd w:val="clear" w:color="auto" w:fill="f4f6f7"/>
            <w:tcBorders/>
            <w:tcMar>
              <w:left w:w="55" w:type="dxa"/>
              <w:top w:w="45" w:type="dxa"/>
              <w:right w:w="55" w:type="dxa"/>
              <w:bottom w:w="45" w:type="dxa"/>
            </w:tcMar>
            <w:tcW w:w="936" w:type="dxa"/>
            <w:vAlign w:val="top"/>
          </w:tcPr>
          <w:p>
            <w:pPr>
              <w:pStyle w:val="1089"/>
              <w:pBdr/>
              <w:spacing/>
              <w:ind/>
              <w:rPr/>
            </w:pPr>
            <w:r>
              <w:t xml:space="preserve">PENDING</w:t>
            </w:r>
            <w:r/>
          </w:p>
        </w:tc>
        <w:tc>
          <w:tcPr>
            <w:shd w:val="clear" w:color="auto" w:fill="f4f6f7"/>
            <w:tcBorders/>
            <w:tcMar>
              <w:left w:w="55" w:type="dxa"/>
              <w:top w:w="45" w:type="dxa"/>
              <w:right w:w="55" w:type="dxa"/>
              <w:bottom w:w="45" w:type="dxa"/>
            </w:tcMar>
            <w:tcW w:w="2303" w:type="dxa"/>
            <w:vAlign w:val="top"/>
          </w:tcPr>
          <w:p>
            <w:pPr>
              <w:pStyle w:val="1089"/>
              <w:pBdr/>
              <w:spacing/>
              <w:ind/>
              <w:rPr/>
            </w:pPr>
            <w:r>
              <w:t xml:space="preserve">NONE; no candidate-build audit asserted</w:t>
            </w:r>
            <w:r/>
          </w:p>
        </w:tc>
        <w:tc>
          <w:tcPr>
            <w:shd w:val="clear" w:color="auto" w:fill="f4f6f7"/>
            <w:tcBorders/>
            <w:tcMar>
              <w:left w:w="55" w:type="dxa"/>
              <w:top w:w="45" w:type="dxa"/>
              <w:right w:w="55" w:type="dxa"/>
              <w:bottom w:w="45" w:type="dxa"/>
            </w:tcMar>
            <w:tcW w:w="2591" w:type="dxa"/>
            <w:vAlign w:val="top"/>
          </w:tcPr>
          <w:p>
            <w:pPr>
              <w:pStyle w:val="1089"/>
              <w:pBdr/>
              <w:spacing/>
              <w:ind/>
              <w:rPr/>
            </w:pPr>
            <w:r>
              <w:t xml:space="preserve">Every candidate release build.</w:t>
            </w:r>
            <w:r/>
          </w:p>
        </w:tc>
      </w:tr>
      <w:tr>
        <w:trPr>
          <w:cantSplit/>
        </w:trPr>
        <w:tc>
          <w:tcPr>
            <w:shd w:val="clear" w:color="auto" w:fill="ffffff"/>
            <w:tcBorders/>
            <w:tcMar>
              <w:left w:w="55" w:type="dxa"/>
              <w:top w:w="45" w:type="dxa"/>
              <w:right w:w="55" w:type="dxa"/>
              <w:bottom w:w="45" w:type="dxa"/>
            </w:tcMar>
            <w:tcW w:w="1440" w:type="dxa"/>
            <w:vAlign w:val="top"/>
          </w:tcPr>
          <w:p>
            <w:pPr>
              <w:pStyle w:val="1089"/>
              <w:pBdr/>
              <w:spacing/>
              <w:ind/>
              <w:rPr/>
            </w:pPr>
            <w:r>
              <w:t xml:space="preserve">G7 - Production regeneration</w:t>
            </w:r>
            <w:r/>
          </w:p>
        </w:tc>
        <w:tc>
          <w:tcPr>
            <w:shd w:val="clear" w:color="auto" w:fill="ffffff"/>
            <w:tcBorders/>
            <w:tcMar>
              <w:left w:w="55" w:type="dxa"/>
              <w:top w:w="45" w:type="dxa"/>
              <w:right w:w="55" w:type="dxa"/>
              <w:bottom w:w="45" w:type="dxa"/>
            </w:tcMar>
            <w:tcW w:w="2735" w:type="dxa"/>
            <w:vAlign w:val="top"/>
          </w:tcPr>
          <w:p>
            <w:pPr>
              <w:pStyle w:val="1089"/>
              <w:pBdr/>
              <w:spacing/>
              <w:ind/>
              <w:rPr/>
            </w:pPr>
            <w:r>
              <w:t xml:space="preserve">Data/validation engineer. Production regeneration and controlled-change propagation with canonical-build, query and output manifests/hashes, including PublicationClaim-linked exhibits.</w:t>
            </w:r>
            <w:r/>
          </w:p>
        </w:tc>
        <w:tc>
          <w:tcPr>
            <w:shd w:val="clear" w:color="auto" w:fill="ffffff"/>
            <w:tcBorders/>
            <w:tcMar>
              <w:left w:w="55" w:type="dxa"/>
              <w:top w:w="45" w:type="dxa"/>
              <w:right w:w="55" w:type="dxa"/>
              <w:bottom w:w="45" w:type="dxa"/>
            </w:tcMar>
            <w:tcW w:w="936" w:type="dxa"/>
            <w:vAlign w:val="top"/>
          </w:tcPr>
          <w:p>
            <w:pPr>
              <w:pStyle w:val="1089"/>
              <w:pBdr/>
              <w:spacing/>
              <w:ind/>
              <w:rPr/>
            </w:pPr>
            <w:r>
              <w:t xml:space="preserve">PENDING</w:t>
            </w:r>
            <w:r/>
          </w:p>
        </w:tc>
        <w:tc>
          <w:tcPr>
            <w:shd w:val="clear" w:color="auto" w:fill="ffffff"/>
            <w:tcBorders/>
            <w:tcMar>
              <w:left w:w="55" w:type="dxa"/>
              <w:top w:w="45" w:type="dxa"/>
              <w:right w:w="55" w:type="dxa"/>
              <w:bottom w:w="45" w:type="dxa"/>
            </w:tcMar>
            <w:tcW w:w="2303" w:type="dxa"/>
            <w:vAlign w:val="top"/>
          </w:tcPr>
          <w:p>
            <w:pPr>
              <w:pStyle w:val="1089"/>
              <w:pBdr/>
              <w:spacing/>
              <w:ind/>
              <w:rPr/>
            </w:pPr>
            <w:r>
              <w:t xml:space="preserve">PROTOTYPE; prototype evidence only, no production PASS asserted</w:t>
            </w:r>
            <w:r/>
          </w:p>
        </w:tc>
        <w:tc>
          <w:tcPr>
            <w:shd w:val="clear" w:color="auto" w:fill="ffffff"/>
            <w:tcBorders/>
            <w:tcMar>
              <w:left w:w="55" w:type="dxa"/>
              <w:top w:w="45" w:type="dxa"/>
              <w:right w:w="55" w:type="dxa"/>
              <w:bottom w:w="45" w:type="dxa"/>
            </w:tcMar>
            <w:tcW w:w="2591" w:type="dxa"/>
            <w:vAlign w:val="top"/>
          </w:tcPr>
          <w:p>
            <w:pPr>
              <w:pStyle w:val="1089"/>
              <w:pBdr/>
              <w:spacing/>
              <w:ind/>
              <w:rPr/>
            </w:pPr>
            <w:r>
              <w:t xml:space="preserve">Every production implementation or material query-pipeline change.</w:t>
            </w:r>
            <w:r/>
          </w:p>
        </w:tc>
      </w:tr>
      <w:tr>
        <w:trPr>
          <w:cantSplit/>
        </w:trPr>
        <w:tc>
          <w:tcPr>
            <w:shd w:val="clear" w:color="auto" w:fill="f4f6f7"/>
            <w:tcBorders/>
            <w:tcMar>
              <w:left w:w="55" w:type="dxa"/>
              <w:top w:w="45" w:type="dxa"/>
              <w:right w:w="55" w:type="dxa"/>
              <w:bottom w:w="45" w:type="dxa"/>
            </w:tcMar>
            <w:tcW w:w="1440" w:type="dxa"/>
            <w:vAlign w:val="top"/>
          </w:tcPr>
          <w:p>
            <w:pPr>
              <w:pStyle w:val="1089"/>
              <w:pBdr/>
              <w:spacing/>
              <w:ind/>
              <w:rPr/>
            </w:pPr>
            <w:r>
              <w:t xml:space="preserve">G8 - Novelty refresh</w:t>
            </w:r>
            <w:r/>
          </w:p>
        </w:tc>
        <w:tc>
          <w:tcPr>
            <w:shd w:val="clear" w:color="auto" w:fill="f4f6f7"/>
            <w:tcBorders/>
            <w:tcMar>
              <w:left w:w="55" w:type="dxa"/>
              <w:top w:w="45" w:type="dxa"/>
              <w:right w:w="55" w:type="dxa"/>
              <w:bottom w:w="45" w:type="dxa"/>
            </w:tcMar>
            <w:tcW w:w="2735" w:type="dxa"/>
            <w:vAlign w:val="top"/>
          </w:tcPr>
          <w:p>
            <w:pPr>
              <w:pStyle w:val="1089"/>
              <w:pBdr/>
              <w:spacing/>
              <w:ind/>
              <w:rPr/>
            </w:pPr>
            <w:r>
              <w:t xml:space="preserve">Research/publication lead. Dated scoped originality/precedent review.</w:t>
            </w:r>
            <w:r/>
          </w:p>
        </w:tc>
        <w:tc>
          <w:tcPr>
            <w:shd w:val="clear" w:color="auto" w:fill="f4f6f7"/>
            <w:tcBorders/>
            <w:tcMar>
              <w:left w:w="55" w:type="dxa"/>
              <w:top w:w="45" w:type="dxa"/>
              <w:right w:w="55" w:type="dxa"/>
              <w:bottom w:w="45" w:type="dxa"/>
            </w:tcMar>
            <w:tcW w:w="936" w:type="dxa"/>
            <w:vAlign w:val="top"/>
          </w:tcPr>
          <w:p>
            <w:pPr>
              <w:pStyle w:val="1089"/>
              <w:pBdr/>
              <w:spacing/>
              <w:ind/>
              <w:rPr/>
            </w:pPr>
            <w:r>
              <w:t xml:space="preserve">PASS</w:t>
            </w:r>
            <w:r/>
          </w:p>
        </w:tc>
        <w:tc>
          <w:tcPr>
            <w:shd w:val="clear" w:color="auto" w:fill="f4f6f7"/>
            <w:tcBorders/>
            <w:tcMar>
              <w:left w:w="55" w:type="dxa"/>
              <w:top w:w="45" w:type="dxa"/>
              <w:right w:w="55" w:type="dxa"/>
              <w:bottom w:w="45" w:type="dxa"/>
            </w:tcMar>
            <w:tcW w:w="2303" w:type="dxa"/>
            <w:vAlign w:val="top"/>
          </w:tcPr>
          <w:p>
            <w:pPr>
              <w:pStyle w:val="1089"/>
              <w:pBdr/>
              <w:spacing/>
              <w:ind/>
              <w:rPr/>
            </w:pPr>
            <w:r>
              <w:t xml:space="preserve">COMPLETE; run date 27 July 2026</w:t>
            </w:r>
            <w:r/>
          </w:p>
        </w:tc>
        <w:tc>
          <w:tcPr>
            <w:shd w:val="clear" w:color="auto" w:fill="f4f6f7"/>
            <w:tcBorders/>
            <w:tcMar>
              <w:left w:w="55" w:type="dxa"/>
              <w:top w:w="45" w:type="dxa"/>
              <w:right w:w="55" w:type="dxa"/>
              <w:bottom w:w="45" w:type="dxa"/>
            </w:tcMar>
            <w:tcW w:w="2591" w:type="dxa"/>
            <w:vAlign w:val="top"/>
          </w:tcPr>
          <w:p>
            <w:pPr>
              <w:pStyle w:val="1089"/>
              <w:pBdr/>
              <w:spacing/>
              <w:ind/>
              <w:rPr/>
            </w:pPr>
            <w:r>
              <w:t xml:space="preserve">Before later public originality language when the current review is no longer contemporaneous.</w:t>
            </w:r>
            <w:r/>
          </w:p>
        </w:tc>
      </w:tr>
    </w:tbl>
    <w:p>
      <w:pPr>
        <w:pStyle w:val="1097"/>
        <w:pBdr/>
        <w:spacing/>
        <w:ind/>
        <w:rPr/>
      </w:pPr>
      <w:r/>
      <w:r/>
    </w:p>
    <w:p>
      <w:pPr>
        <w:pStyle w:val="1083"/>
        <w:keepLines w:val="false"/>
        <w:pBdr/>
        <w:spacing/>
        <w:ind/>
        <w:rPr/>
      </w:pPr>
      <w:r>
        <w:t xml:space="preserve">Snapshot release authorization: HOLD. G8 is PASS with COMPLETE evidence dated 27 July 2026; all other gates remain PENDING. GO remains prohibited until every applicable gate is PASS with complete gate-specific evidence and no unresolved Severity-1 defect.</w:t>
      </w:r>
      <w:r/>
    </w:p>
    <w:p>
      <w:pPr>
        <w:pStyle w:val="1097"/>
        <w:keepLines w:val="false"/>
        <w:pBdr/>
        <w:spacing/>
        <w:ind/>
        <w:rPr/>
      </w:pPr>
      <w:r>
        <w:t xml:space="preserve">End of governing specification.</w:t>
      </w:r>
      <w:r/>
    </w:p>
    <w:sectPr>
      <w:headerReference w:type="default" r:id="rId9"/>
      <w:headerReference w:type="first" r:id="rId10"/>
      <w:footerReference w:type="default" r:id="rId11"/>
      <w:footerReference w:type="first" r:id="rId12"/>
      <w:footnotePr/>
      <w:endnotePr/>
      <w:type w:val="nextPage"/>
      <w:pgSz w:h="16838" w:orient="portrait" w:w="11906"/>
      <w:pgMar w:top="979" w:right="950" w:bottom="893" w:left="950" w:header="360" w:footer="36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Courier">
    <w:panose1 w:val="02070309020205020404"/>
  </w:font>
  <w:font w:name="Noto Sans">
    <w:panose1 w:val="05040102010807070707"/>
  </w:font>
  <w:font w:name="Noto Serif">
    <w:panose1 w:val="05040102010807070707"/>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20"/>
      <w:keepNext w:val="false"/>
      <w:keepLines w:val="false"/>
      <w:pageBreakBefore w:val="false"/>
      <w:pBdr/>
      <w:spacing w:after="0" w:before="0" w:line="240" w:lineRule="auto"/>
      <w:ind w:right="0" w:firstLine="0" w:left="0"/>
      <w:jc w:val="righ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fldChar w:fldCharType="begin"/>
    </w:r>
    <w:r>
      <w:rPr>
        <w:rFonts w:ascii="Noto Sans" w:hAnsi="Noto Sans" w:eastAsia="Noto Sans" w:cs="Noto Sans"/>
        <w:b w:val="0"/>
        <w:bCs w:val="0"/>
        <w:i w:val="0"/>
        <w:iCs w:val="0"/>
        <w:color w:val="4a5560"/>
        <w:sz w:val="16"/>
        <w:szCs w:val="16"/>
      </w:rPr>
      <w:instrText xml:space="preserve"> PAGE </w:instrText>
    </w:r>
    <w:r>
      <w:rPr>
        <w:rFonts w:ascii="Noto Sans" w:hAnsi="Noto Sans" w:eastAsia="Noto Sans" w:cs="Noto Sans"/>
        <w:b w:val="0"/>
        <w:bCs w:val="0"/>
        <w:i w:val="0"/>
        <w:iCs w:val="0"/>
        <w:color w:val="4a5560"/>
        <w:sz w:val="16"/>
        <w:szCs w:val="16"/>
      </w:rPr>
      <w:fldChar w:fldCharType="separate"/>
    </w:r>
    <w:r>
      <w:rPr>
        <w:rFonts w:ascii="Noto Sans" w:hAnsi="Noto Sans" w:eastAsia="Noto Sans" w:cs="Noto Sans"/>
        <w:b w:val="0"/>
        <w:bCs w:val="0"/>
        <w:i w:val="0"/>
        <w:iCs w:val="0"/>
        <w:color w:val="4a5560"/>
        <w:sz w:val="16"/>
        <w:szCs w:val="16"/>
      </w:rPr>
      <w:t xml:space="preserve">1</w:t>
    </w:r>
    <w:r>
      <w:rPr>
        <w:rFonts w:ascii="Noto Sans" w:hAnsi="Noto Sans" w:eastAsia="Noto Sans" w:cs="Noto Sans"/>
        <w:b w:val="0"/>
        <w:bCs w:val="0"/>
        <w:i w:val="0"/>
        <w:iCs w:val="0"/>
        <w:color w:val="4a5560"/>
        <w:sz w:val="16"/>
        <w:szCs w:val="16"/>
      </w:rPr>
      <w:fldChar w:fldCharType="end"/>
    </w:r>
    <w:r>
      <w:rPr>
        <w:rFonts w:ascii="Noto Sans" w:hAnsi="Noto Sans" w:eastAsia="Noto Sans" w:cs="Noto Sans"/>
        <w:b w:val="0"/>
        <w:bCs w:val="0"/>
        <w:i w:val="0"/>
        <w:iCs w:val="0"/>
        <w:color w:val="4a5560"/>
        <w:sz w:val="16"/>
        <w:szCs w:val="16"/>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20"/>
      <w:keepNext w:val="false"/>
      <w:keepLines w:val="false"/>
      <w:pageBreakBefore w:val="false"/>
      <w:pBdr/>
      <w:spacing w:after="0" w:before="0" w:line="240" w:lineRule="auto"/>
      <w:ind w:right="0" w:firstLine="0" w:left="0"/>
      <w:jc w:val="righ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fldChar w:fldCharType="begin"/>
    </w:r>
    <w:r>
      <w:rPr>
        <w:rFonts w:ascii="Noto Sans" w:hAnsi="Noto Sans" w:eastAsia="Noto Sans" w:cs="Noto Sans"/>
        <w:b w:val="0"/>
        <w:bCs w:val="0"/>
        <w:i w:val="0"/>
        <w:iCs w:val="0"/>
        <w:color w:val="4a5560"/>
        <w:sz w:val="16"/>
        <w:szCs w:val="16"/>
      </w:rPr>
      <w:instrText xml:space="preserve"> PAGE </w:instrText>
    </w:r>
    <w:r>
      <w:rPr>
        <w:rFonts w:ascii="Noto Sans" w:hAnsi="Noto Sans" w:eastAsia="Noto Sans" w:cs="Noto Sans"/>
        <w:b w:val="0"/>
        <w:bCs w:val="0"/>
        <w:i w:val="0"/>
        <w:iCs w:val="0"/>
        <w:color w:val="4a5560"/>
        <w:sz w:val="16"/>
        <w:szCs w:val="16"/>
      </w:rPr>
      <w:fldChar w:fldCharType="separate"/>
    </w:r>
    <w:r>
      <w:rPr>
        <w:rFonts w:ascii="Noto Sans" w:hAnsi="Noto Sans" w:eastAsia="Noto Sans" w:cs="Noto Sans"/>
        <w:b w:val="0"/>
        <w:bCs w:val="0"/>
        <w:i w:val="0"/>
        <w:iCs w:val="0"/>
        <w:color w:val="4a5560"/>
        <w:sz w:val="16"/>
        <w:szCs w:val="16"/>
      </w:rPr>
      <w:t xml:space="preserve">1</w:t>
    </w:r>
    <w:r>
      <w:rPr>
        <w:rFonts w:ascii="Noto Sans" w:hAnsi="Noto Sans" w:eastAsia="Noto Sans" w:cs="Noto Sans"/>
        <w:b w:val="0"/>
        <w:bCs w:val="0"/>
        <w:i w:val="0"/>
        <w:iCs w:val="0"/>
        <w:color w:val="4a5560"/>
        <w:sz w:val="16"/>
        <w:szCs w:val="16"/>
      </w:rPr>
      <w:fldChar w:fldCharType="end"/>
    </w:r>
    <w:r>
      <w:rPr>
        <w:rFonts w:ascii="Noto Sans" w:hAnsi="Noto Sans" w:eastAsia="Noto Sans" w:cs="Noto Sans"/>
        <w:b w:val="0"/>
        <w:bCs w:val="0"/>
        <w:i w:val="0"/>
        <w:iCs w:val="0"/>
        <w:color w:val="4a5560"/>
        <w:sz w:val="16"/>
        <w:szCs w:val="16"/>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8"/>
      <w:keepNext w:val="false"/>
      <w:keepLines w:val="false"/>
      <w:pageBreakBefore w:val="false"/>
      <w:pBdr/>
      <w:spacing w:after="0" w:before="0" w:line="240" w:lineRule="auto"/>
      <w:ind w:right="0" w:firstLine="0" w:left="0"/>
      <w:jc w:val="lef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t xml:space="preserve">Atlas | Research, Evidence &amp; Validation</w:t>
    </w:r>
    <w:r>
      <w:rPr>
        <w:rFonts w:ascii="Noto Sans" w:hAnsi="Noto Sans" w:eastAsia="Noto Sans" w:cs="Noto Sans"/>
        <w:b w:val="0"/>
        <w:bCs w:val="0"/>
        <w:i w:val="0"/>
        <w:iCs w:val="0"/>
        <w:color w:val="4a5560"/>
        <w:sz w:val="16"/>
        <w:szCs w:val="16"/>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8"/>
      <w:keepNext w:val="false"/>
      <w:keepLines w:val="false"/>
      <w:pageBreakBefore w:val="false"/>
      <w:pBdr/>
      <w:spacing w:after="0" w:before="0" w:line="240" w:lineRule="auto"/>
      <w:ind w:right="0" w:firstLine="0" w:left="0"/>
      <w:jc w:val="left"/>
      <w:rPr>
        <w:rFonts w:ascii="Noto Sans" w:hAnsi="Noto Sans" w:eastAsia="Noto Sans" w:cs="Noto Sans"/>
        <w:b w:val="0"/>
        <w:bCs w:val="0"/>
        <w:i w:val="0"/>
        <w:iCs w:val="0"/>
        <w:color w:val="4a5560"/>
        <w:sz w:val="16"/>
        <w:szCs w:val="16"/>
      </w:rPr>
    </w:pPr>
    <w:r>
      <w:rPr>
        <w:rFonts w:ascii="Noto Sans" w:hAnsi="Noto Sans" w:eastAsia="Noto Sans" w:cs="Noto Sans"/>
        <w:b w:val="0"/>
        <w:bCs w:val="0"/>
        <w:i w:val="0"/>
        <w:iCs w:val="0"/>
        <w:color w:val="4a5560"/>
        <w:sz w:val="16"/>
        <w:szCs w:val="16"/>
      </w:rPr>
    </w:r>
    <w:r>
      <w:rPr>
        <w:rFonts w:ascii="Noto Sans" w:hAnsi="Noto Sans" w:eastAsia="Noto Sans" w:cs="Noto Sans"/>
        <w:b w:val="0"/>
        <w:bCs w:val="0"/>
        <w:i w:val="0"/>
        <w:iCs w:val="0"/>
        <w:color w:val="4a5560"/>
        <w:sz w:val="16"/>
        <w:szCs w:val="16"/>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95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95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95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95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955"/>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952"/>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73">
    <w:name w:val="Table Grid Light"/>
    <w:basedOn w:val="93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Plain Table 1"/>
    <w:basedOn w:val="932"/>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Plain Table 2"/>
    <w:basedOn w:val="932"/>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Plain Table 3"/>
    <w:basedOn w:val="93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Plain Table 4"/>
    <w:basedOn w:val="93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Plain Table 5"/>
    <w:basedOn w:val="93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Grid Table 1 Light"/>
    <w:basedOn w:val="93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1 Light - Accent 1"/>
    <w:basedOn w:val="93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Grid Table 1 Light - Accent 2"/>
    <w:basedOn w:val="93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Grid Table 1 Light - Accent 3"/>
    <w:basedOn w:val="93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Grid Table 1 Light - Accent 4"/>
    <w:basedOn w:val="93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Grid Table 1 Light - Accent 5"/>
    <w:basedOn w:val="93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1 Light - Accent 6"/>
    <w:basedOn w:val="93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Grid Table 2"/>
    <w:basedOn w:val="93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Grid Table 2 - Accent 1"/>
    <w:basedOn w:val="93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Grid Table 2 - Accent 2"/>
    <w:basedOn w:val="93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Grid Table 2 - Accent 3"/>
    <w:basedOn w:val="93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2 - Accent 4"/>
    <w:basedOn w:val="93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Grid Table 2 - Accent 5"/>
    <w:basedOn w:val="93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Grid Table 2 - Accent 6"/>
    <w:basedOn w:val="93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Grid Table 3"/>
    <w:basedOn w:val="93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3 - Accent 1"/>
    <w:basedOn w:val="93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Grid Table 3 - Accent 2"/>
    <w:basedOn w:val="93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Grid Table 3 - Accent 3"/>
    <w:basedOn w:val="93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Grid Table 3 - Accent 4"/>
    <w:basedOn w:val="93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Grid Table 3 - Accent 5"/>
    <w:basedOn w:val="93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Grid Table 3 - Accent 6"/>
    <w:basedOn w:val="93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Grid Table 4"/>
    <w:basedOn w:val="93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Grid Table 4 - Accent 1"/>
    <w:basedOn w:val="93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Grid Table 4 - Accent 2"/>
    <w:basedOn w:val="93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Grid Table 4 - Accent 3"/>
    <w:basedOn w:val="93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Grid Table 4 - Accent 4"/>
    <w:basedOn w:val="93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Grid Table 4 - Accent 5"/>
    <w:basedOn w:val="93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4 - Accent 6"/>
    <w:basedOn w:val="93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Grid Table 5 Dark"/>
    <w:basedOn w:val="9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Grid Table 5 Dark- Accent 1"/>
    <w:basedOn w:val="9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Grid Table 5 Dark - Accent 2"/>
    <w:basedOn w:val="9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Grid Table 5 Dark - Accent 3"/>
    <w:basedOn w:val="9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5 Dark- Accent 4"/>
    <w:basedOn w:val="9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5 Dark - Accent 5"/>
    <w:basedOn w:val="9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5 Dark - Accent 6"/>
    <w:basedOn w:val="93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6 Colorful"/>
    <w:basedOn w:val="93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15">
    <w:name w:val="Grid Table 6 Colorful - Accent 1"/>
    <w:basedOn w:val="93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16">
    <w:name w:val="Grid Table 6 Colorful - Accent 2"/>
    <w:basedOn w:val="93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17">
    <w:name w:val="Grid Table 6 Colorful - Accent 3"/>
    <w:basedOn w:val="93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18">
    <w:name w:val="Grid Table 6 Colorful - Accent 4"/>
    <w:basedOn w:val="93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19">
    <w:name w:val="Grid Table 6 Colorful - Accent 5"/>
    <w:basedOn w:val="93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20">
    <w:name w:val="Grid Table 6 Colorful - Accent 6"/>
    <w:basedOn w:val="93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21">
    <w:name w:val="Grid Table 7 Colorful"/>
    <w:basedOn w:val="93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7 Colorful - Accent 1"/>
    <w:basedOn w:val="93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7 Colorful - Accent 2"/>
    <w:basedOn w:val="93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7 Colorful - Accent 3"/>
    <w:basedOn w:val="93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7 Colorful - Accent 4"/>
    <w:basedOn w:val="93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7 Colorful - Accent 5"/>
    <w:basedOn w:val="93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7 Colorful - Accent 6"/>
    <w:basedOn w:val="93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st Table 1 Light"/>
    <w:basedOn w:val="9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st Table 1 Light - Accent 1"/>
    <w:basedOn w:val="9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st Table 1 Light - Accent 2"/>
    <w:basedOn w:val="9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st Table 1 Light - Accent 3"/>
    <w:basedOn w:val="9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1 Light - Accent 4"/>
    <w:basedOn w:val="9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st Table 1 Light - Accent 5"/>
    <w:basedOn w:val="9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List Table 1 Light - Accent 6"/>
    <w:basedOn w:val="93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List Table 2"/>
    <w:basedOn w:val="93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st Table 2 - Accent 1"/>
    <w:basedOn w:val="93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List Table 2 - Accent 2"/>
    <w:basedOn w:val="93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List Table 2 - Accent 3"/>
    <w:basedOn w:val="93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List Table 2 - Accent 4"/>
    <w:basedOn w:val="93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List Table 2 - Accent 5"/>
    <w:basedOn w:val="93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st Table 2 - Accent 6"/>
    <w:basedOn w:val="93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List Table 3"/>
    <w:basedOn w:val="93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List Table 3 - Accent 1"/>
    <w:basedOn w:val="93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List Table 3 - Accent 2"/>
    <w:basedOn w:val="93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List Table 3 - Accent 3"/>
    <w:basedOn w:val="93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st Table 3 - Accent 4"/>
    <w:basedOn w:val="93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List Table 3 - Accent 5"/>
    <w:basedOn w:val="93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List Table 3 - Accent 6"/>
    <w:basedOn w:val="93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List Table 4"/>
    <w:basedOn w:val="93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st Table 4 - Accent 1"/>
    <w:basedOn w:val="93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List Table 4 - Accent 2"/>
    <w:basedOn w:val="93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List Table 4 - Accent 3"/>
    <w:basedOn w:val="93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st Table 4 - Accent 4"/>
    <w:basedOn w:val="93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st Table 4 - Accent 5"/>
    <w:basedOn w:val="93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st Table 4 - Accent 6"/>
    <w:basedOn w:val="93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List Table 5 Dark"/>
    <w:basedOn w:val="93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7">
    <w:name w:val="List Table 5 Dark - Accent 1"/>
    <w:basedOn w:val="93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8">
    <w:name w:val="List Table 5 Dark - Accent 2"/>
    <w:basedOn w:val="93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59">
    <w:name w:val="List Table 5 Dark - Accent 3"/>
    <w:basedOn w:val="93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60">
    <w:name w:val="List Table 5 Dark - Accent 4"/>
    <w:basedOn w:val="93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61">
    <w:name w:val="List Table 5 Dark - Accent 5"/>
    <w:basedOn w:val="93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62">
    <w:name w:val="List Table 5 Dark - Accent 6"/>
    <w:basedOn w:val="93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63">
    <w:name w:val="List Table 6 Colorful"/>
    <w:basedOn w:val="93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6 Colorful - Accent 1"/>
    <w:basedOn w:val="93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6 Colorful - Accent 2"/>
    <w:basedOn w:val="93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6 Colorful - Accent 3"/>
    <w:basedOn w:val="93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6 Colorful - Accent 4"/>
    <w:basedOn w:val="93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6 Colorful - Accent 5"/>
    <w:basedOn w:val="93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6 Colorful - Accent 6"/>
    <w:basedOn w:val="93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7 Colorful"/>
    <w:basedOn w:val="93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71">
    <w:name w:val="List Table 7 Colorful - Accent 1"/>
    <w:basedOn w:val="93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72">
    <w:name w:val="List Table 7 Colorful - Accent 2"/>
    <w:basedOn w:val="93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73">
    <w:name w:val="List Table 7 Colorful - Accent 3"/>
    <w:basedOn w:val="93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74">
    <w:name w:val="List Table 7 Colorful - Accent 4"/>
    <w:basedOn w:val="93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75">
    <w:name w:val="List Table 7 Colorful - Accent 5"/>
    <w:basedOn w:val="93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76">
    <w:name w:val="List Table 7 Colorful - Accent 6"/>
    <w:basedOn w:val="93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77">
    <w:name w:val="Lined - Accent"/>
    <w:basedOn w:val="9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ned - Accent 1"/>
    <w:basedOn w:val="9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ned - Accent 2"/>
    <w:basedOn w:val="9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ned - Accent 3"/>
    <w:basedOn w:val="9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ned - Accent 4"/>
    <w:basedOn w:val="9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ned - Accent 5"/>
    <w:basedOn w:val="9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ned - Accent 6"/>
    <w:basedOn w:val="93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Bordered &amp; Lined - Accent"/>
    <w:basedOn w:val="93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Bordered &amp; Lined - Accent 1"/>
    <w:basedOn w:val="93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Bordered &amp; Lined - Accent 2"/>
    <w:basedOn w:val="93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Bordered &amp; Lined - Accent 3"/>
    <w:basedOn w:val="93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Bordered &amp; Lined - Accent 4"/>
    <w:basedOn w:val="93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Bordered &amp; Lined - Accent 5"/>
    <w:basedOn w:val="93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Bordered &amp; Lined - Accent 6"/>
    <w:basedOn w:val="93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Bordered"/>
    <w:basedOn w:val="93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Bordered - Accent 1"/>
    <w:basedOn w:val="93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Bordered - Accent 2"/>
    <w:basedOn w:val="93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Bordered - Accent 3"/>
    <w:basedOn w:val="93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Bordered - Accent 4"/>
    <w:basedOn w:val="93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Bordered - Accent 5"/>
    <w:basedOn w:val="93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Bordered - Accent 6"/>
    <w:basedOn w:val="93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98">
    <w:name w:val="footnote text"/>
    <w:basedOn w:val="917"/>
    <w:link w:val="899"/>
    <w:uiPriority w:val="99"/>
    <w:semiHidden/>
    <w:unhideWhenUsed/>
    <w:pPr>
      <w:pBdr/>
      <w:spacing w:after="0" w:line="240" w:lineRule="auto"/>
      <w:ind/>
    </w:pPr>
    <w:rPr>
      <w:sz w:val="20"/>
      <w:szCs w:val="20"/>
    </w:rPr>
  </w:style>
  <w:style w:type="character" w:styleId="899">
    <w:name w:val="Footnote Text Char"/>
    <w:basedOn w:val="931"/>
    <w:link w:val="898"/>
    <w:uiPriority w:val="99"/>
    <w:semiHidden/>
    <w:pPr>
      <w:pBdr/>
      <w:spacing/>
      <w:ind/>
    </w:pPr>
    <w:rPr>
      <w:sz w:val="20"/>
      <w:szCs w:val="20"/>
    </w:rPr>
  </w:style>
  <w:style w:type="character" w:styleId="900">
    <w:name w:val="footnote reference"/>
    <w:basedOn w:val="931"/>
    <w:uiPriority w:val="99"/>
    <w:semiHidden/>
    <w:unhideWhenUsed/>
    <w:pPr>
      <w:pBdr/>
      <w:spacing/>
      <w:ind/>
    </w:pPr>
    <w:rPr>
      <w:vertAlign w:val="superscript"/>
    </w:rPr>
  </w:style>
  <w:style w:type="paragraph" w:styleId="901">
    <w:name w:val="endnote text"/>
    <w:basedOn w:val="917"/>
    <w:link w:val="902"/>
    <w:uiPriority w:val="99"/>
    <w:semiHidden/>
    <w:unhideWhenUsed/>
    <w:pPr>
      <w:pBdr/>
      <w:spacing w:after="0" w:line="240" w:lineRule="auto"/>
      <w:ind/>
    </w:pPr>
    <w:rPr>
      <w:sz w:val="20"/>
      <w:szCs w:val="20"/>
    </w:rPr>
  </w:style>
  <w:style w:type="character" w:styleId="902">
    <w:name w:val="Endnote Text Char"/>
    <w:basedOn w:val="931"/>
    <w:link w:val="901"/>
    <w:uiPriority w:val="99"/>
    <w:semiHidden/>
    <w:pPr>
      <w:pBdr/>
      <w:spacing/>
      <w:ind/>
    </w:pPr>
    <w:rPr>
      <w:sz w:val="20"/>
      <w:szCs w:val="20"/>
    </w:rPr>
  </w:style>
  <w:style w:type="character" w:styleId="903">
    <w:name w:val="endnote reference"/>
    <w:basedOn w:val="931"/>
    <w:uiPriority w:val="99"/>
    <w:semiHidden/>
    <w:unhideWhenUsed/>
    <w:pPr>
      <w:pBdr/>
      <w:spacing/>
      <w:ind/>
    </w:pPr>
    <w:rPr>
      <w:vertAlign w:val="superscript"/>
    </w:rPr>
  </w:style>
  <w:style w:type="character" w:styleId="904">
    <w:name w:val="Hyperlink"/>
    <w:basedOn w:val="931"/>
    <w:uiPriority w:val="99"/>
    <w:unhideWhenUsed/>
    <w:pPr>
      <w:pBdr/>
      <w:spacing/>
      <w:ind/>
    </w:pPr>
    <w:rPr>
      <w:color w:val="0563c1" w:themeColor="hyperlink"/>
      <w:u w:val="single"/>
    </w:rPr>
  </w:style>
  <w:style w:type="character" w:styleId="905">
    <w:name w:val="FollowedHyperlink"/>
    <w:basedOn w:val="931"/>
    <w:uiPriority w:val="99"/>
    <w:semiHidden/>
    <w:unhideWhenUsed/>
    <w:pPr>
      <w:pBdr/>
      <w:spacing/>
      <w:ind/>
    </w:pPr>
    <w:rPr>
      <w:color w:val="954f72" w:themeColor="followedHyperlink"/>
      <w:u w:val="single"/>
    </w:rPr>
  </w:style>
  <w:style w:type="paragraph" w:styleId="906">
    <w:name w:val="toc 1"/>
    <w:basedOn w:val="917"/>
    <w:next w:val="917"/>
    <w:uiPriority w:val="39"/>
    <w:unhideWhenUsed/>
    <w:pPr>
      <w:pBdr/>
      <w:spacing w:after="100"/>
      <w:ind/>
    </w:pPr>
  </w:style>
  <w:style w:type="paragraph" w:styleId="907">
    <w:name w:val="toc 2"/>
    <w:basedOn w:val="917"/>
    <w:next w:val="917"/>
    <w:uiPriority w:val="39"/>
    <w:unhideWhenUsed/>
    <w:pPr>
      <w:pBdr/>
      <w:spacing w:after="100"/>
      <w:ind w:left="220"/>
    </w:pPr>
  </w:style>
  <w:style w:type="paragraph" w:styleId="908">
    <w:name w:val="toc 3"/>
    <w:basedOn w:val="917"/>
    <w:next w:val="917"/>
    <w:uiPriority w:val="39"/>
    <w:unhideWhenUsed/>
    <w:pPr>
      <w:pBdr/>
      <w:spacing w:after="100"/>
      <w:ind w:left="440"/>
    </w:pPr>
  </w:style>
  <w:style w:type="paragraph" w:styleId="909">
    <w:name w:val="toc 4"/>
    <w:basedOn w:val="917"/>
    <w:next w:val="917"/>
    <w:uiPriority w:val="39"/>
    <w:unhideWhenUsed/>
    <w:pPr>
      <w:pBdr/>
      <w:spacing w:after="100"/>
      <w:ind w:left="660"/>
    </w:pPr>
  </w:style>
  <w:style w:type="paragraph" w:styleId="910">
    <w:name w:val="toc 5"/>
    <w:basedOn w:val="917"/>
    <w:next w:val="917"/>
    <w:uiPriority w:val="39"/>
    <w:unhideWhenUsed/>
    <w:pPr>
      <w:pBdr/>
      <w:spacing w:after="100"/>
      <w:ind w:left="880"/>
    </w:pPr>
  </w:style>
  <w:style w:type="paragraph" w:styleId="911">
    <w:name w:val="toc 6"/>
    <w:basedOn w:val="917"/>
    <w:next w:val="917"/>
    <w:uiPriority w:val="39"/>
    <w:unhideWhenUsed/>
    <w:pPr>
      <w:pBdr/>
      <w:spacing w:after="100"/>
      <w:ind w:left="1100"/>
    </w:pPr>
  </w:style>
  <w:style w:type="paragraph" w:styleId="912">
    <w:name w:val="toc 7"/>
    <w:basedOn w:val="917"/>
    <w:next w:val="917"/>
    <w:uiPriority w:val="39"/>
    <w:unhideWhenUsed/>
    <w:pPr>
      <w:pBdr/>
      <w:spacing w:after="100"/>
      <w:ind w:left="1320"/>
    </w:pPr>
  </w:style>
  <w:style w:type="paragraph" w:styleId="913">
    <w:name w:val="toc 8"/>
    <w:basedOn w:val="917"/>
    <w:next w:val="917"/>
    <w:uiPriority w:val="39"/>
    <w:unhideWhenUsed/>
    <w:pPr>
      <w:pBdr/>
      <w:spacing w:after="100"/>
      <w:ind w:left="1540"/>
    </w:pPr>
  </w:style>
  <w:style w:type="paragraph" w:styleId="914">
    <w:name w:val="toc 9"/>
    <w:basedOn w:val="917"/>
    <w:next w:val="917"/>
    <w:uiPriority w:val="39"/>
    <w:unhideWhenUsed/>
    <w:pPr>
      <w:pBdr/>
      <w:spacing w:after="100"/>
      <w:ind w:left="1760"/>
    </w:pPr>
  </w:style>
  <w:style w:type="character" w:styleId="915">
    <w:name w:val="Placeholder Text"/>
    <w:basedOn w:val="931"/>
    <w:uiPriority w:val="99"/>
    <w:semiHidden/>
    <w:pPr>
      <w:pBdr/>
      <w:spacing/>
      <w:ind/>
    </w:pPr>
    <w:rPr>
      <w:color w:val="666666"/>
    </w:rPr>
  </w:style>
  <w:style w:type="paragraph" w:styleId="916">
    <w:name w:val="table of figures"/>
    <w:basedOn w:val="917"/>
    <w:next w:val="917"/>
    <w:uiPriority w:val="99"/>
    <w:unhideWhenUsed/>
    <w:pPr>
      <w:pBdr/>
      <w:spacing w:after="0" w:afterAutospacing="0"/>
      <w:ind/>
    </w:pPr>
  </w:style>
  <w:style w:type="paragraph" w:styleId="917" w:default="1">
    <w:name w:val="Normal"/>
    <w:qFormat/>
    <w:pPr>
      <w:keepNext w:val="false"/>
      <w:keepLines w:val="false"/>
      <w:pageBreakBefore w:val="false"/>
      <w:pBdr/>
      <w:spacing w:after="70" w:before="0" w:line="259" w:lineRule="auto"/>
      <w:ind/>
    </w:pPr>
    <w:rPr>
      <w:rFonts w:ascii="Noto Serif" w:hAnsi="Noto Serif" w:eastAsia="Noto Serif" w:cs="Noto Serif"/>
      <w:b w:val="0"/>
      <w:i w:val="0"/>
      <w:color w:val="111111"/>
      <w:sz w:val="18"/>
    </w:rPr>
  </w:style>
  <w:style w:type="paragraph" w:styleId="918">
    <w:name w:val="Header"/>
    <w:basedOn w:val="917"/>
    <w:link w:val="919"/>
    <w:uiPriority w:val="99"/>
    <w:unhideWhenUsed/>
    <w:pPr>
      <w:keepNext w:val="false"/>
      <w:keepLines w:val="false"/>
      <w:pageBreakBefore w:val="false"/>
      <w:pBdr/>
      <w:tabs>
        <w:tab w:val="center" w:leader="none" w:pos="4680"/>
        <w:tab w:val="right" w:leader="none" w:pos="9360"/>
      </w:tabs>
      <w:spacing w:after="0" w:before="0" w:line="240" w:lineRule="auto"/>
      <w:ind/>
    </w:pPr>
    <w:rPr>
      <w:rFonts w:ascii="Noto Sans" w:hAnsi="Noto Sans" w:eastAsia="Noto Sans" w:cs="Noto Sans"/>
      <w:b w:val="0"/>
      <w:i w:val="0"/>
      <w:color w:val="4a5560"/>
      <w:sz w:val="16"/>
    </w:rPr>
  </w:style>
  <w:style w:type="character" w:styleId="919" w:customStyle="1">
    <w:name w:val="Header Char"/>
    <w:basedOn w:val="931"/>
    <w:link w:val="918"/>
    <w:uiPriority w:val="99"/>
    <w:pPr>
      <w:pBdr/>
      <w:spacing/>
      <w:ind/>
    </w:pPr>
  </w:style>
  <w:style w:type="paragraph" w:styleId="920">
    <w:name w:val="Footer"/>
    <w:basedOn w:val="917"/>
    <w:link w:val="921"/>
    <w:uiPriority w:val="99"/>
    <w:unhideWhenUsed/>
    <w:pPr>
      <w:keepNext w:val="false"/>
      <w:keepLines w:val="false"/>
      <w:pageBreakBefore w:val="false"/>
      <w:pBdr/>
      <w:tabs>
        <w:tab w:val="center" w:leader="none" w:pos="4680"/>
        <w:tab w:val="right" w:leader="none" w:pos="9360"/>
      </w:tabs>
      <w:spacing w:after="0" w:before="0" w:line="240" w:lineRule="auto"/>
      <w:ind/>
    </w:pPr>
    <w:rPr>
      <w:rFonts w:ascii="Noto Serif" w:hAnsi="Noto Serif" w:eastAsia="Noto Serif" w:cs="Noto Serif"/>
      <w:b w:val="0"/>
      <w:i w:val="0"/>
      <w:color w:val="4a5560"/>
      <w:sz w:val="16"/>
    </w:rPr>
  </w:style>
  <w:style w:type="character" w:styleId="921" w:customStyle="1">
    <w:name w:val="Footer Char"/>
    <w:basedOn w:val="931"/>
    <w:link w:val="920"/>
    <w:uiPriority w:val="99"/>
    <w:pPr>
      <w:pBdr/>
      <w:spacing/>
      <w:ind/>
    </w:pPr>
  </w:style>
  <w:style w:type="paragraph" w:styleId="922">
    <w:name w:val="Heading 1"/>
    <w:basedOn w:val="917"/>
    <w:next w:val="917"/>
    <w:link w:val="935"/>
    <w:uiPriority w:val="9"/>
    <w:qFormat/>
    <w:pPr>
      <w:keepNext w:val="true"/>
      <w:keepLines w:val="false"/>
      <w:pageBreakBefore w:val="true"/>
      <w:pBdr/>
      <w:spacing w:after="100" w:before="160" w:line="240" w:lineRule="auto"/>
      <w:ind/>
      <w:outlineLvl w:val="0"/>
    </w:pPr>
    <w:rPr>
      <w:rFonts w:ascii="Noto Sans" w:hAnsi="Noto Sans" w:eastAsia="Noto Sans" w:cs="Noto Sans"/>
      <w:b/>
      <w:bCs/>
      <w:i w:val="0"/>
      <w:color w:val="1f5d7a"/>
      <w:sz w:val="28"/>
      <w:szCs w:val="28"/>
    </w:rPr>
  </w:style>
  <w:style w:type="paragraph" w:styleId="923">
    <w:name w:val="Heading 2"/>
    <w:basedOn w:val="917"/>
    <w:next w:val="917"/>
    <w:link w:val="936"/>
    <w:uiPriority w:val="9"/>
    <w:unhideWhenUsed/>
    <w:qFormat/>
    <w:pPr>
      <w:keepNext w:val="true"/>
      <w:keepLines w:val="false"/>
      <w:pageBreakBefore w:val="false"/>
      <w:pBdr/>
      <w:spacing w:after="80" w:before="160" w:line="240" w:lineRule="auto"/>
      <w:ind/>
      <w:outlineLvl w:val="1"/>
    </w:pPr>
    <w:rPr>
      <w:rFonts w:ascii="Noto Sans" w:hAnsi="Noto Sans" w:eastAsia="Noto Sans" w:cs="Noto Sans"/>
      <w:b/>
      <w:bCs/>
      <w:i w:val="0"/>
      <w:color w:val="17465c"/>
      <w:sz w:val="22"/>
      <w:szCs w:val="26"/>
    </w:rPr>
  </w:style>
  <w:style w:type="paragraph" w:styleId="924">
    <w:name w:val="Heading 3"/>
    <w:basedOn w:val="917"/>
    <w:next w:val="917"/>
    <w:link w:val="937"/>
    <w:uiPriority w:val="9"/>
    <w:unhideWhenUsed/>
    <w:qFormat/>
    <w:pPr>
      <w:keepNext w:val="true"/>
      <w:keepLines w:val="false"/>
      <w:pageBreakBefore w:val="false"/>
      <w:pBdr/>
      <w:spacing w:after="60" w:before="120" w:line="240" w:lineRule="auto"/>
      <w:ind/>
      <w:outlineLvl w:val="2"/>
    </w:pPr>
    <w:rPr>
      <w:rFonts w:ascii="Noto Sans" w:hAnsi="Noto Sans" w:eastAsia="Noto Sans" w:cs="Noto Sans"/>
      <w:b/>
      <w:bCs/>
      <w:i w:val="0"/>
      <w:color w:val="17465c"/>
      <w:sz w:val="20"/>
    </w:rPr>
  </w:style>
  <w:style w:type="paragraph" w:styleId="925">
    <w:name w:val="Heading 4"/>
    <w:basedOn w:val="917"/>
    <w:next w:val="917"/>
    <w:link w:val="965"/>
    <w:uiPriority w:val="9"/>
    <w:semiHidden/>
    <w:unhideWhenUsed/>
    <w:qFormat/>
    <w:pPr>
      <w:keepNext w:val="true"/>
      <w:keepLines w:val="false"/>
      <w:pageBreakBefore w:val="false"/>
      <w:pBdr/>
      <w:spacing w:after="50" w:before="100" w:line="240" w:lineRule="auto"/>
      <w:ind/>
      <w:outlineLvl w:val="3"/>
    </w:pPr>
    <w:rPr>
      <w:rFonts w:ascii="Noto Sans" w:hAnsi="Noto Sans" w:eastAsia="Noto Sans" w:cs="Noto Sans"/>
      <w:b/>
      <w:bCs/>
      <w:i w:val="0"/>
      <w:iCs/>
      <w:color w:val="17465c"/>
      <w:sz w:val="18"/>
    </w:rPr>
  </w:style>
  <w:style w:type="paragraph" w:styleId="926">
    <w:name w:val="Heading 5"/>
    <w:basedOn w:val="917"/>
    <w:next w:val="917"/>
    <w:link w:val="966"/>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27">
    <w:name w:val="Heading 6"/>
    <w:basedOn w:val="917"/>
    <w:next w:val="917"/>
    <w:link w:val="967"/>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28">
    <w:name w:val="Heading 7"/>
    <w:basedOn w:val="917"/>
    <w:next w:val="917"/>
    <w:link w:val="968"/>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29">
    <w:name w:val="Heading 8"/>
    <w:basedOn w:val="917"/>
    <w:next w:val="917"/>
    <w:link w:val="969"/>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30">
    <w:name w:val="Heading 9"/>
    <w:basedOn w:val="917"/>
    <w:next w:val="917"/>
    <w:link w:val="970"/>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31" w:default="1">
    <w:name w:val="Default Paragraph Font"/>
    <w:uiPriority w:val="1"/>
    <w:semiHidden/>
    <w:unhideWhenUsed/>
    <w:pPr>
      <w:pBdr/>
      <w:spacing/>
      <w:ind/>
    </w:pPr>
  </w:style>
  <w:style w:type="table" w:styleId="93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33" w:default="1">
    <w:name w:val="No List"/>
    <w:uiPriority w:val="99"/>
    <w:semiHidden/>
    <w:unhideWhenUsed/>
    <w:pPr>
      <w:pBdr/>
      <w:spacing/>
      <w:ind/>
    </w:pPr>
  </w:style>
  <w:style w:type="paragraph" w:styleId="934">
    <w:name w:val="No Spacing"/>
    <w:uiPriority w:val="1"/>
    <w:qFormat/>
    <w:pPr>
      <w:pBdr/>
      <w:spacing w:after="0" w:line="240" w:lineRule="auto"/>
      <w:ind/>
    </w:pPr>
  </w:style>
  <w:style w:type="character" w:styleId="935" w:customStyle="1">
    <w:name w:val="Heading 1 Char"/>
    <w:basedOn w:val="931"/>
    <w:link w:val="922"/>
    <w:uiPriority w:val="9"/>
    <w:pPr>
      <w:pBdr/>
      <w:spacing/>
      <w:ind/>
    </w:pPr>
    <w:rPr>
      <w:rFonts w:ascii="Noto Sans" w:hAnsi="Noto Sans" w:eastAsia="Noto Sans" w:cs="Noto Sans"/>
      <w:b/>
      <w:bCs/>
      <w:i w:val="0"/>
      <w:color w:val="1f5d7a"/>
      <w:sz w:val="28"/>
      <w:szCs w:val="28"/>
    </w:rPr>
  </w:style>
  <w:style w:type="character" w:styleId="936" w:customStyle="1">
    <w:name w:val="Heading 2 Char"/>
    <w:basedOn w:val="931"/>
    <w:link w:val="923"/>
    <w:uiPriority w:val="9"/>
    <w:pPr>
      <w:pBdr/>
      <w:spacing/>
      <w:ind/>
    </w:pPr>
    <w:rPr>
      <w:rFonts w:ascii="Noto Sans" w:hAnsi="Noto Sans" w:eastAsia="Noto Sans" w:cs="Noto Sans"/>
      <w:b/>
      <w:bCs/>
      <w:i w:val="0"/>
      <w:color w:val="17465c"/>
      <w:sz w:val="22"/>
      <w:szCs w:val="26"/>
    </w:rPr>
  </w:style>
  <w:style w:type="character" w:styleId="937" w:customStyle="1">
    <w:name w:val="Heading 3 Char"/>
    <w:basedOn w:val="931"/>
    <w:link w:val="924"/>
    <w:uiPriority w:val="9"/>
    <w:pPr>
      <w:pBdr/>
      <w:spacing/>
      <w:ind/>
    </w:pPr>
    <w:rPr>
      <w:rFonts w:ascii="Noto Sans" w:hAnsi="Noto Sans" w:eastAsia="Noto Sans" w:cs="Noto Sans"/>
      <w:b/>
      <w:bCs/>
      <w:i w:val="0"/>
      <w:color w:val="17465c"/>
      <w:sz w:val="20"/>
    </w:rPr>
  </w:style>
  <w:style w:type="paragraph" w:styleId="938">
    <w:name w:val="Title"/>
    <w:basedOn w:val="917"/>
    <w:next w:val="917"/>
    <w:link w:val="939"/>
    <w:uiPriority w:val="10"/>
    <w:qFormat/>
    <w:pPr>
      <w:keepNext w:val="true"/>
      <w:keepLines w:val="false"/>
      <w:pageBreakBefore w:val="false"/>
      <w:pBdr>
        <w:bottom w:val="single" w:color="4f81bd" w:themeColor="accent1" w:sz="8" w:space="4"/>
      </w:pBdr>
      <w:spacing w:after="100" w:before="0" w:line="240" w:lineRule="auto"/>
      <w:ind/>
      <w:contextualSpacing w:val="true"/>
    </w:pPr>
    <w:rPr>
      <w:rFonts w:ascii="Noto Sans" w:hAnsi="Noto Sans" w:eastAsia="Noto Sans" w:cs="Noto Sans"/>
      <w:b/>
      <w:i w:val="0"/>
      <w:color w:val="17465c"/>
      <w:spacing w:val="5"/>
      <w:sz w:val="38"/>
      <w:szCs w:val="52"/>
    </w:rPr>
  </w:style>
  <w:style w:type="character" w:styleId="939" w:customStyle="1">
    <w:name w:val="Title Char"/>
    <w:basedOn w:val="931"/>
    <w:link w:val="938"/>
    <w:uiPriority w:val="10"/>
    <w:pPr>
      <w:pBdr/>
      <w:spacing/>
      <w:ind/>
    </w:pPr>
    <w:rPr>
      <w:rFonts w:ascii="Noto Sans" w:hAnsi="Noto Sans" w:eastAsia="Noto Sans" w:cs="Noto Sans"/>
      <w:b/>
      <w:i w:val="0"/>
      <w:color w:val="17465c"/>
      <w:spacing w:val="5"/>
      <w:sz w:val="38"/>
      <w:szCs w:val="52"/>
    </w:rPr>
  </w:style>
  <w:style w:type="paragraph" w:styleId="940">
    <w:name w:val="Subtitle"/>
    <w:basedOn w:val="917"/>
    <w:next w:val="917"/>
    <w:link w:val="941"/>
    <w:uiPriority w:val="11"/>
    <w:qFormat/>
    <w:pPr>
      <w:keepNext w:val="true"/>
      <w:keepLines w:val="false"/>
      <w:pageBreakBefore w:val="false"/>
      <w:numPr>
        <w:ilvl w:val="1"/>
      </w:numPr>
      <w:pBdr/>
      <w:spacing w:after="160" w:before="0" w:line="252" w:lineRule="auto"/>
      <w:ind/>
    </w:pPr>
    <w:rPr>
      <w:rFonts w:ascii="Noto Serif" w:hAnsi="Noto Serif" w:eastAsia="Noto Serif" w:cs="Noto Serif"/>
      <w:b w:val="0"/>
      <w:i/>
      <w:iCs/>
      <w:color w:val="4a5560"/>
      <w:spacing w:val="15"/>
      <w:sz w:val="22"/>
      <w:szCs w:val="24"/>
    </w:rPr>
  </w:style>
  <w:style w:type="character" w:styleId="941" w:customStyle="1">
    <w:name w:val="Subtitle Char"/>
    <w:basedOn w:val="931"/>
    <w:link w:val="940"/>
    <w:uiPriority w:val="11"/>
    <w:pPr>
      <w:pBdr/>
      <w:spacing/>
      <w:ind/>
    </w:pPr>
    <w:rPr>
      <w:rFonts w:ascii="Noto Serif" w:hAnsi="Noto Serif" w:eastAsia="Noto Serif" w:cs="Noto Serif"/>
      <w:b w:val="0"/>
      <w:i/>
      <w:iCs/>
      <w:color w:val="4a5560"/>
      <w:spacing w:val="15"/>
      <w:sz w:val="22"/>
      <w:szCs w:val="24"/>
    </w:rPr>
  </w:style>
  <w:style w:type="paragraph" w:styleId="942">
    <w:name w:val="List Paragraph"/>
    <w:basedOn w:val="917"/>
    <w:uiPriority w:val="34"/>
    <w:qFormat/>
    <w:pPr>
      <w:pBdr/>
      <w:spacing/>
      <w:ind w:left="720"/>
      <w:contextualSpacing w:val="true"/>
    </w:pPr>
  </w:style>
  <w:style w:type="paragraph" w:styleId="943">
    <w:name w:val="Body Text"/>
    <w:basedOn w:val="917"/>
    <w:link w:val="944"/>
    <w:uiPriority w:val="99"/>
    <w:unhideWhenUsed/>
    <w:pPr>
      <w:pBdr/>
      <w:spacing w:after="120"/>
      <w:ind/>
    </w:pPr>
  </w:style>
  <w:style w:type="character" w:styleId="944" w:customStyle="1">
    <w:name w:val="Body Text Char"/>
    <w:basedOn w:val="931"/>
    <w:link w:val="943"/>
    <w:uiPriority w:val="99"/>
    <w:pPr>
      <w:pBdr/>
      <w:spacing/>
      <w:ind/>
    </w:pPr>
  </w:style>
  <w:style w:type="paragraph" w:styleId="945">
    <w:name w:val="Body Text 2"/>
    <w:basedOn w:val="917"/>
    <w:link w:val="946"/>
    <w:uiPriority w:val="99"/>
    <w:unhideWhenUsed/>
    <w:pPr>
      <w:pBdr/>
      <w:spacing w:after="120" w:line="480" w:lineRule="auto"/>
      <w:ind/>
    </w:pPr>
  </w:style>
  <w:style w:type="character" w:styleId="946" w:customStyle="1">
    <w:name w:val="Body Text 2 Char"/>
    <w:basedOn w:val="931"/>
    <w:link w:val="945"/>
    <w:uiPriority w:val="99"/>
    <w:pPr>
      <w:pBdr/>
      <w:spacing/>
      <w:ind/>
    </w:pPr>
  </w:style>
  <w:style w:type="paragraph" w:styleId="947">
    <w:name w:val="Body Text 3"/>
    <w:basedOn w:val="917"/>
    <w:link w:val="948"/>
    <w:uiPriority w:val="99"/>
    <w:unhideWhenUsed/>
    <w:pPr>
      <w:pBdr/>
      <w:spacing w:after="120"/>
      <w:ind/>
    </w:pPr>
    <w:rPr>
      <w:sz w:val="16"/>
      <w:szCs w:val="16"/>
    </w:rPr>
  </w:style>
  <w:style w:type="character" w:styleId="948" w:customStyle="1">
    <w:name w:val="Body Text 3 Char"/>
    <w:basedOn w:val="931"/>
    <w:link w:val="947"/>
    <w:uiPriority w:val="99"/>
    <w:pPr>
      <w:pBdr/>
      <w:spacing/>
      <w:ind/>
    </w:pPr>
    <w:rPr>
      <w:sz w:val="16"/>
      <w:szCs w:val="16"/>
    </w:rPr>
  </w:style>
  <w:style w:type="paragraph" w:styleId="949">
    <w:name w:val="List"/>
    <w:basedOn w:val="917"/>
    <w:uiPriority w:val="99"/>
    <w:unhideWhenUsed/>
    <w:pPr>
      <w:pBdr/>
      <w:spacing/>
      <w:ind w:hanging="360" w:left="360"/>
      <w:contextualSpacing w:val="true"/>
    </w:pPr>
  </w:style>
  <w:style w:type="paragraph" w:styleId="950">
    <w:name w:val="List 2"/>
    <w:basedOn w:val="917"/>
    <w:uiPriority w:val="99"/>
    <w:unhideWhenUsed/>
    <w:pPr>
      <w:pBdr/>
      <w:spacing/>
      <w:ind w:hanging="360" w:left="720"/>
      <w:contextualSpacing w:val="true"/>
    </w:pPr>
  </w:style>
  <w:style w:type="paragraph" w:styleId="951">
    <w:name w:val="List 3"/>
    <w:basedOn w:val="917"/>
    <w:uiPriority w:val="99"/>
    <w:unhideWhenUsed/>
    <w:pPr>
      <w:pBdr/>
      <w:spacing/>
      <w:ind w:hanging="360" w:left="1080"/>
      <w:contextualSpacing w:val="true"/>
    </w:pPr>
  </w:style>
  <w:style w:type="paragraph" w:styleId="952">
    <w:name w:val="List Bullet"/>
    <w:basedOn w:val="917"/>
    <w:uiPriority w:val="99"/>
    <w:unhideWhenUsed/>
    <w:pPr>
      <w:numPr>
        <w:numId w:val="1"/>
      </w:numPr>
      <w:pBdr/>
      <w:spacing/>
      <w:ind/>
      <w:contextualSpacing w:val="true"/>
    </w:pPr>
  </w:style>
  <w:style w:type="paragraph" w:styleId="953">
    <w:name w:val="List Bullet 2"/>
    <w:basedOn w:val="917"/>
    <w:uiPriority w:val="99"/>
    <w:unhideWhenUsed/>
    <w:pPr>
      <w:numPr>
        <w:numId w:val="2"/>
      </w:numPr>
      <w:pBdr/>
      <w:spacing/>
      <w:ind/>
      <w:contextualSpacing w:val="true"/>
    </w:pPr>
  </w:style>
  <w:style w:type="paragraph" w:styleId="954">
    <w:name w:val="List Bullet 3"/>
    <w:basedOn w:val="917"/>
    <w:uiPriority w:val="99"/>
    <w:unhideWhenUsed/>
    <w:pPr>
      <w:numPr>
        <w:numId w:val="3"/>
      </w:numPr>
      <w:pBdr/>
      <w:spacing/>
      <w:ind/>
      <w:contextualSpacing w:val="true"/>
    </w:pPr>
  </w:style>
  <w:style w:type="paragraph" w:styleId="955">
    <w:name w:val="List Number"/>
    <w:basedOn w:val="917"/>
    <w:uiPriority w:val="99"/>
    <w:unhideWhenUsed/>
    <w:pPr>
      <w:numPr>
        <w:numId w:val="5"/>
      </w:numPr>
      <w:pBdr/>
      <w:spacing/>
      <w:ind/>
      <w:contextualSpacing w:val="true"/>
    </w:pPr>
  </w:style>
  <w:style w:type="paragraph" w:styleId="956">
    <w:name w:val="List Number 2"/>
    <w:basedOn w:val="917"/>
    <w:uiPriority w:val="99"/>
    <w:unhideWhenUsed/>
    <w:pPr>
      <w:numPr>
        <w:numId w:val="6"/>
      </w:numPr>
      <w:pBdr/>
      <w:spacing/>
      <w:ind/>
      <w:contextualSpacing w:val="true"/>
    </w:pPr>
  </w:style>
  <w:style w:type="paragraph" w:styleId="957">
    <w:name w:val="List Number 3"/>
    <w:basedOn w:val="917"/>
    <w:uiPriority w:val="99"/>
    <w:unhideWhenUsed/>
    <w:pPr>
      <w:numPr>
        <w:numId w:val="7"/>
      </w:numPr>
      <w:pBdr/>
      <w:spacing/>
      <w:ind/>
      <w:contextualSpacing w:val="true"/>
    </w:pPr>
  </w:style>
  <w:style w:type="paragraph" w:styleId="958">
    <w:name w:val="List Continue"/>
    <w:basedOn w:val="917"/>
    <w:uiPriority w:val="99"/>
    <w:unhideWhenUsed/>
    <w:pPr>
      <w:pBdr/>
      <w:spacing w:after="120"/>
      <w:ind w:left="360"/>
      <w:contextualSpacing w:val="true"/>
    </w:pPr>
  </w:style>
  <w:style w:type="paragraph" w:styleId="959">
    <w:name w:val="List Continue 2"/>
    <w:basedOn w:val="917"/>
    <w:uiPriority w:val="99"/>
    <w:unhideWhenUsed/>
    <w:pPr>
      <w:pBdr/>
      <w:spacing w:after="120"/>
      <w:ind w:left="720"/>
      <w:contextualSpacing w:val="true"/>
    </w:pPr>
  </w:style>
  <w:style w:type="paragraph" w:styleId="960">
    <w:name w:val="List Continue 3"/>
    <w:basedOn w:val="917"/>
    <w:uiPriority w:val="99"/>
    <w:unhideWhenUsed/>
    <w:pPr>
      <w:pBdr/>
      <w:spacing w:after="120"/>
      <w:ind w:left="1080"/>
      <w:contextualSpacing w:val="true"/>
    </w:pPr>
  </w:style>
  <w:style w:type="paragraph" w:styleId="961">
    <w:name w:val="macro"/>
    <w:link w:val="962"/>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962" w:customStyle="1">
    <w:name w:val="Macro Text Char"/>
    <w:basedOn w:val="931"/>
    <w:link w:val="961"/>
    <w:uiPriority w:val="99"/>
    <w:pPr>
      <w:pBdr/>
      <w:spacing/>
      <w:ind/>
    </w:pPr>
    <w:rPr>
      <w:rFonts w:ascii="Courier" w:hAnsi="Courier"/>
      <w:sz w:val="20"/>
      <w:szCs w:val="20"/>
    </w:rPr>
  </w:style>
  <w:style w:type="paragraph" w:styleId="963">
    <w:name w:val="Quote"/>
    <w:basedOn w:val="917"/>
    <w:next w:val="917"/>
    <w:link w:val="964"/>
    <w:uiPriority w:val="29"/>
    <w:qFormat/>
    <w:pPr>
      <w:pBdr/>
      <w:spacing/>
      <w:ind/>
    </w:pPr>
    <w:rPr>
      <w:i/>
      <w:iCs/>
      <w:color w:val="000000" w:themeColor="text1"/>
    </w:rPr>
  </w:style>
  <w:style w:type="character" w:styleId="964" w:customStyle="1">
    <w:name w:val="Quote Char"/>
    <w:basedOn w:val="931"/>
    <w:link w:val="963"/>
    <w:uiPriority w:val="29"/>
    <w:pPr>
      <w:pBdr/>
      <w:spacing/>
      <w:ind/>
    </w:pPr>
    <w:rPr>
      <w:i/>
      <w:iCs/>
      <w:color w:val="000000" w:themeColor="text1"/>
    </w:rPr>
  </w:style>
  <w:style w:type="character" w:styleId="965" w:customStyle="1">
    <w:name w:val="Heading 4 Char"/>
    <w:basedOn w:val="931"/>
    <w:link w:val="925"/>
    <w:uiPriority w:val="9"/>
    <w:semiHidden/>
    <w:pPr>
      <w:pBdr/>
      <w:spacing/>
      <w:ind/>
    </w:pPr>
    <w:rPr>
      <w:rFonts w:ascii="Noto Sans" w:hAnsi="Noto Sans" w:eastAsia="Noto Sans" w:cs="Noto Sans"/>
      <w:b/>
      <w:bCs/>
      <w:i w:val="0"/>
      <w:iCs/>
      <w:color w:val="17465c"/>
      <w:sz w:val="18"/>
    </w:rPr>
  </w:style>
  <w:style w:type="character" w:styleId="966" w:customStyle="1">
    <w:name w:val="Heading 5 Char"/>
    <w:basedOn w:val="931"/>
    <w:link w:val="926"/>
    <w:uiPriority w:val="9"/>
    <w:semiHidden/>
    <w:pPr>
      <w:pBdr/>
      <w:spacing/>
      <w:ind/>
    </w:pPr>
    <w:rPr>
      <w:rFonts w:asciiTheme="majorHAnsi" w:hAnsiTheme="majorHAnsi" w:eastAsiaTheme="majorEastAsia" w:cstheme="majorBidi"/>
      <w:color w:val="243f60" w:themeColor="accent1" w:themeShade="7F"/>
    </w:rPr>
  </w:style>
  <w:style w:type="character" w:styleId="967" w:customStyle="1">
    <w:name w:val="Heading 6 Char"/>
    <w:basedOn w:val="931"/>
    <w:link w:val="927"/>
    <w:uiPriority w:val="9"/>
    <w:semiHidden/>
    <w:pPr>
      <w:pBdr/>
      <w:spacing/>
      <w:ind/>
    </w:pPr>
    <w:rPr>
      <w:rFonts w:asciiTheme="majorHAnsi" w:hAnsiTheme="majorHAnsi" w:eastAsiaTheme="majorEastAsia" w:cstheme="majorBidi"/>
      <w:i/>
      <w:iCs/>
      <w:color w:val="243f60" w:themeColor="accent1" w:themeShade="7F"/>
    </w:rPr>
  </w:style>
  <w:style w:type="character" w:styleId="968" w:customStyle="1">
    <w:name w:val="Heading 7 Char"/>
    <w:basedOn w:val="931"/>
    <w:link w:val="928"/>
    <w:uiPriority w:val="9"/>
    <w:semiHidden/>
    <w:pPr>
      <w:pBdr/>
      <w:spacing/>
      <w:ind/>
    </w:pPr>
    <w:rPr>
      <w:rFonts w:asciiTheme="majorHAnsi" w:hAnsiTheme="majorHAnsi" w:eastAsiaTheme="majorEastAsia" w:cstheme="majorBidi"/>
      <w:i/>
      <w:iCs/>
      <w:color w:val="404040" w:themeColor="text1" w:themeTint="BF"/>
    </w:rPr>
  </w:style>
  <w:style w:type="character" w:styleId="969" w:customStyle="1">
    <w:name w:val="Heading 8 Char"/>
    <w:basedOn w:val="931"/>
    <w:link w:val="929"/>
    <w:uiPriority w:val="9"/>
    <w:semiHidden/>
    <w:pPr>
      <w:pBdr/>
      <w:spacing/>
      <w:ind/>
    </w:pPr>
    <w:rPr>
      <w:rFonts w:asciiTheme="majorHAnsi" w:hAnsiTheme="majorHAnsi" w:eastAsiaTheme="majorEastAsia" w:cstheme="majorBidi"/>
      <w:color w:val="4f81bd" w:themeColor="accent1"/>
      <w:sz w:val="20"/>
      <w:szCs w:val="20"/>
    </w:rPr>
  </w:style>
  <w:style w:type="character" w:styleId="970" w:customStyle="1">
    <w:name w:val="Heading 9 Char"/>
    <w:basedOn w:val="931"/>
    <w:link w:val="930"/>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971">
    <w:name w:val="Caption"/>
    <w:basedOn w:val="917"/>
    <w:next w:val="917"/>
    <w:uiPriority w:val="35"/>
    <w:semiHidden/>
    <w:unhideWhenUsed/>
    <w:qFormat/>
    <w:pPr>
      <w:pBdr/>
      <w:spacing w:line="240" w:lineRule="auto"/>
      <w:ind/>
    </w:pPr>
    <w:rPr>
      <w:b/>
      <w:bCs/>
      <w:color w:val="4f81bd" w:themeColor="accent1"/>
      <w:sz w:val="18"/>
      <w:szCs w:val="18"/>
    </w:rPr>
  </w:style>
  <w:style w:type="character" w:styleId="972">
    <w:name w:val="Strong"/>
    <w:basedOn w:val="931"/>
    <w:uiPriority w:val="22"/>
    <w:qFormat/>
    <w:pPr>
      <w:pBdr/>
      <w:spacing/>
      <w:ind/>
    </w:pPr>
    <w:rPr>
      <w:b/>
      <w:bCs/>
    </w:rPr>
  </w:style>
  <w:style w:type="character" w:styleId="973">
    <w:name w:val="Emphasis"/>
    <w:basedOn w:val="931"/>
    <w:uiPriority w:val="20"/>
    <w:qFormat/>
    <w:pPr>
      <w:pBdr/>
      <w:spacing/>
      <w:ind/>
    </w:pPr>
    <w:rPr>
      <w:i/>
      <w:iCs/>
    </w:rPr>
  </w:style>
  <w:style w:type="paragraph" w:styleId="974">
    <w:name w:val="Intense Quote"/>
    <w:basedOn w:val="917"/>
    <w:next w:val="917"/>
    <w:link w:val="975"/>
    <w:uiPriority w:val="30"/>
    <w:qFormat/>
    <w:pPr>
      <w:pBdr>
        <w:bottom w:val="single" w:color="4f81bd" w:themeColor="accent1" w:sz="4" w:space="4"/>
      </w:pBdr>
      <w:spacing w:after="280" w:before="200"/>
      <w:ind w:right="936" w:left="936"/>
    </w:pPr>
    <w:rPr>
      <w:b/>
      <w:bCs/>
      <w:i/>
      <w:iCs/>
      <w:color w:val="4f81bd" w:themeColor="accent1"/>
    </w:rPr>
  </w:style>
  <w:style w:type="character" w:styleId="975" w:customStyle="1">
    <w:name w:val="Intense Quote Char"/>
    <w:basedOn w:val="931"/>
    <w:link w:val="974"/>
    <w:uiPriority w:val="30"/>
    <w:pPr>
      <w:pBdr/>
      <w:spacing/>
      <w:ind/>
    </w:pPr>
    <w:rPr>
      <w:b/>
      <w:bCs/>
      <w:i/>
      <w:iCs/>
      <w:color w:val="4f81bd" w:themeColor="accent1"/>
    </w:rPr>
  </w:style>
  <w:style w:type="character" w:styleId="976">
    <w:name w:val="Subtle Emphasis"/>
    <w:basedOn w:val="931"/>
    <w:uiPriority w:val="19"/>
    <w:qFormat/>
    <w:pPr>
      <w:pBdr/>
      <w:spacing/>
      <w:ind/>
    </w:pPr>
    <w:rPr>
      <w:i/>
      <w:iCs/>
      <w:color w:val="808080" w:themeColor="text1" w:themeTint="7F"/>
    </w:rPr>
  </w:style>
  <w:style w:type="character" w:styleId="977">
    <w:name w:val="Intense Emphasis"/>
    <w:basedOn w:val="931"/>
    <w:uiPriority w:val="21"/>
    <w:qFormat/>
    <w:pPr>
      <w:pBdr/>
      <w:spacing/>
      <w:ind/>
    </w:pPr>
    <w:rPr>
      <w:b/>
      <w:bCs/>
      <w:i/>
      <w:iCs/>
      <w:color w:val="4f81bd" w:themeColor="accent1"/>
    </w:rPr>
  </w:style>
  <w:style w:type="character" w:styleId="978">
    <w:name w:val="Subtle Reference"/>
    <w:basedOn w:val="931"/>
    <w:uiPriority w:val="31"/>
    <w:qFormat/>
    <w:pPr>
      <w:pBdr/>
      <w:spacing/>
      <w:ind/>
    </w:pPr>
    <w:rPr>
      <w:smallCaps/>
      <w:color w:val="c0504d" w:themeColor="accent2"/>
      <w:u w:val="single"/>
    </w:rPr>
  </w:style>
  <w:style w:type="character" w:styleId="979">
    <w:name w:val="Intense Reference"/>
    <w:basedOn w:val="931"/>
    <w:uiPriority w:val="32"/>
    <w:qFormat/>
    <w:pPr>
      <w:pBdr/>
      <w:spacing/>
      <w:ind/>
    </w:pPr>
    <w:rPr>
      <w:b/>
      <w:bCs/>
      <w:smallCaps/>
      <w:color w:val="c0504d" w:themeColor="accent2"/>
      <w:spacing w:val="5"/>
      <w:u w:val="single"/>
    </w:rPr>
  </w:style>
  <w:style w:type="character" w:styleId="980">
    <w:name w:val="Book Title"/>
    <w:basedOn w:val="931"/>
    <w:uiPriority w:val="33"/>
    <w:qFormat/>
    <w:pPr>
      <w:pBdr/>
      <w:spacing/>
      <w:ind/>
    </w:pPr>
    <w:rPr>
      <w:b/>
      <w:bCs/>
      <w:smallCaps/>
      <w:spacing w:val="5"/>
    </w:rPr>
  </w:style>
  <w:style w:type="paragraph" w:styleId="981">
    <w:name w:val="TOC Heading"/>
    <w:basedOn w:val="922"/>
    <w:next w:val="917"/>
    <w:uiPriority w:val="39"/>
    <w:semiHidden/>
    <w:unhideWhenUsed/>
    <w:qFormat/>
    <w:pPr>
      <w:pBdr/>
      <w:spacing/>
      <w:ind/>
      <w:outlineLvl w:val="9"/>
    </w:pPr>
  </w:style>
  <w:style w:type="table" w:styleId="982">
    <w:name w:val="Table Grid"/>
    <w:basedOn w:val="932"/>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Light Shading"/>
    <w:basedOn w:val="932"/>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Light Shading Accent 1"/>
    <w:basedOn w:val="932"/>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Light Shading Accent 2"/>
    <w:basedOn w:val="932"/>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Light Shading Accent 3"/>
    <w:basedOn w:val="932"/>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Light Shading Accent 4"/>
    <w:basedOn w:val="932"/>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Light Shading Accent 5"/>
    <w:basedOn w:val="932"/>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Light Shading Accent 6"/>
    <w:basedOn w:val="932"/>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Light List"/>
    <w:basedOn w:val="932"/>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Light List Accent 1"/>
    <w:basedOn w:val="932"/>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ght List Accent 2"/>
    <w:basedOn w:val="932"/>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ght List Accent 3"/>
    <w:basedOn w:val="932"/>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ght List Accent 4"/>
    <w:basedOn w:val="932"/>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ght List Accent 5"/>
    <w:basedOn w:val="932"/>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ght List Accent 6"/>
    <w:basedOn w:val="932"/>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ght Grid"/>
    <w:basedOn w:val="932"/>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ght Grid Accent 1"/>
    <w:basedOn w:val="932"/>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ght Grid Accent 2"/>
    <w:basedOn w:val="932"/>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ght Grid Accent 3"/>
    <w:basedOn w:val="932"/>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ght Grid Accent 4"/>
    <w:basedOn w:val="932"/>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ght Grid Accent 5"/>
    <w:basedOn w:val="932"/>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ght Grid Accent 6"/>
    <w:basedOn w:val="932"/>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Medium Shading 1"/>
    <w:basedOn w:val="932"/>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Medium Shading 1 Accent 1"/>
    <w:basedOn w:val="932"/>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Medium Shading 1 Accent 2"/>
    <w:basedOn w:val="932"/>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Medium Shading 1 Accent 3"/>
    <w:basedOn w:val="932"/>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Medium Shading 1 Accent 4"/>
    <w:basedOn w:val="932"/>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Medium Shading 1 Accent 5"/>
    <w:basedOn w:val="932"/>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Medium Shading 1 Accent 6"/>
    <w:basedOn w:val="932"/>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Medium Shading 2"/>
    <w:basedOn w:val="932"/>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Medium Shading 2 Accent 1"/>
    <w:basedOn w:val="932"/>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Medium Shading 2 Accent 2"/>
    <w:basedOn w:val="932"/>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Medium Shading 2 Accent 3"/>
    <w:basedOn w:val="932"/>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Medium Shading 2 Accent 4"/>
    <w:basedOn w:val="932"/>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Medium Shading 2 Accent 5"/>
    <w:basedOn w:val="932"/>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Medium Shading 2 Accent 6"/>
    <w:basedOn w:val="932"/>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Medium List 1"/>
    <w:basedOn w:val="932"/>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Medium List 1 Accent 1"/>
    <w:basedOn w:val="932"/>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Medium List 1 Accent 2"/>
    <w:basedOn w:val="932"/>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Medium List 1 Accent 3"/>
    <w:basedOn w:val="932"/>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Medium List 1 Accent 4"/>
    <w:basedOn w:val="932"/>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Medium List 1 Accent 5"/>
    <w:basedOn w:val="932"/>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Medium List 1 Accent 6"/>
    <w:basedOn w:val="932"/>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Medium List 2"/>
    <w:basedOn w:val="932"/>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Medium List 2 Accent 1"/>
    <w:basedOn w:val="932"/>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Medium List 2 Accent 2"/>
    <w:basedOn w:val="932"/>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Medium List 2 Accent 3"/>
    <w:basedOn w:val="932"/>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Medium List 2 Accent 4"/>
    <w:basedOn w:val="932"/>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Medium List 2 Accent 5"/>
    <w:basedOn w:val="932"/>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Medium List 2 Accent 6"/>
    <w:basedOn w:val="932"/>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Medium Grid 1"/>
    <w:basedOn w:val="932"/>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Medium Grid 1 Accent 1"/>
    <w:basedOn w:val="932"/>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Medium Grid 1 Accent 2"/>
    <w:basedOn w:val="932"/>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Medium Grid 1 Accent 3"/>
    <w:basedOn w:val="932"/>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Medium Grid 1 Accent 4"/>
    <w:basedOn w:val="932"/>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Medium Grid 1 Accent 5"/>
    <w:basedOn w:val="932"/>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Medium Grid 1 Accent 6"/>
    <w:basedOn w:val="932"/>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Medium Grid 2"/>
    <w:basedOn w:val="932"/>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Medium Grid 2 Accent 1"/>
    <w:basedOn w:val="932"/>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Medium Grid 2 Accent 2"/>
    <w:basedOn w:val="932"/>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Medium Grid 2 Accent 3"/>
    <w:basedOn w:val="932"/>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Medium Grid 2 Accent 4"/>
    <w:basedOn w:val="932"/>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Medium Grid 2 Accent 5"/>
    <w:basedOn w:val="932"/>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Medium Grid 2 Accent 6"/>
    <w:basedOn w:val="932"/>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Medium Grid 3"/>
    <w:basedOn w:val="932"/>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Medium Grid 3 Accent 1"/>
    <w:basedOn w:val="932"/>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Medium Grid 3 Accent 2"/>
    <w:basedOn w:val="932"/>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Medium Grid 3 Accent 3"/>
    <w:basedOn w:val="932"/>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Medium Grid 3 Accent 4"/>
    <w:basedOn w:val="932"/>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Medium Grid 3 Accent 5"/>
    <w:basedOn w:val="932"/>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Medium Grid 3 Accent 6"/>
    <w:basedOn w:val="932"/>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Dark List"/>
    <w:basedOn w:val="932"/>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Dark List Accent 1"/>
    <w:basedOn w:val="932"/>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Dark List Accent 2"/>
    <w:basedOn w:val="932"/>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Dark List Accent 3"/>
    <w:basedOn w:val="932"/>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Dark List Accent 4"/>
    <w:basedOn w:val="932"/>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Dark List Accent 5"/>
    <w:basedOn w:val="932"/>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Dark List Accent 6"/>
    <w:basedOn w:val="932"/>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Colorful Shading"/>
    <w:basedOn w:val="932"/>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Colorful Shading Accent 1"/>
    <w:basedOn w:val="932"/>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Colorful Shading Accent 2"/>
    <w:basedOn w:val="932"/>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Colorful Shading Accent 3"/>
    <w:basedOn w:val="932"/>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Colorful Shading Accent 4"/>
    <w:basedOn w:val="932"/>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Colorful Shading Accent 5"/>
    <w:basedOn w:val="932"/>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Colorful Shading Accent 6"/>
    <w:basedOn w:val="932"/>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Colorful List"/>
    <w:basedOn w:val="932"/>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Colorful List Accent 1"/>
    <w:basedOn w:val="932"/>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Colorful List Accent 2"/>
    <w:basedOn w:val="932"/>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Colorful List Accent 3"/>
    <w:basedOn w:val="932"/>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Colorful List Accent 4"/>
    <w:basedOn w:val="932"/>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Colorful List Accent 5"/>
    <w:basedOn w:val="932"/>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Colorful List Accent 6"/>
    <w:basedOn w:val="932"/>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Colorful Grid"/>
    <w:basedOn w:val="932"/>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Colorful Grid Accent 1"/>
    <w:basedOn w:val="932"/>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Colorful Grid Accent 2"/>
    <w:basedOn w:val="932"/>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Colorful Grid Accent 3"/>
    <w:basedOn w:val="932"/>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Colorful Grid Accent 4"/>
    <w:basedOn w:val="932"/>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Colorful Grid Accent 5"/>
    <w:basedOn w:val="932"/>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Colorful Grid Accent 6"/>
    <w:basedOn w:val="932"/>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81" w:customStyle="1">
    <w:name w:val="Atlas Document Title"/>
    <w:basedOn w:val="917"/>
    <w:pPr>
      <w:keepNext w:val="true"/>
      <w:keepLines w:val="false"/>
      <w:pageBreakBefore w:val="false"/>
      <w:pBdr/>
      <w:spacing w:after="100" w:before="0" w:line="240" w:lineRule="auto"/>
      <w:ind/>
      <w:jc w:val="center"/>
    </w:pPr>
    <w:rPr>
      <w:rFonts w:ascii="Noto Sans" w:hAnsi="Noto Sans" w:eastAsia="Noto Sans" w:cs="Noto Sans"/>
      <w:b/>
      <w:i w:val="0"/>
      <w:color w:val="17465c"/>
      <w:sz w:val="38"/>
    </w:rPr>
  </w:style>
  <w:style w:type="paragraph" w:styleId="1082" w:customStyle="1">
    <w:name w:val="Atlas Document Subtitle"/>
    <w:basedOn w:val="917"/>
    <w:pPr>
      <w:keepNext w:val="true"/>
      <w:keepLines w:val="false"/>
      <w:pageBreakBefore w:val="false"/>
      <w:pBdr/>
      <w:spacing w:after="160" w:before="0" w:line="252" w:lineRule="auto"/>
      <w:ind/>
      <w:jc w:val="center"/>
    </w:pPr>
    <w:rPr>
      <w:rFonts w:ascii="Noto Serif" w:hAnsi="Noto Serif" w:eastAsia="Noto Serif" w:cs="Noto Serif"/>
      <w:b w:val="0"/>
      <w:i/>
      <w:color w:val="4a5560"/>
      <w:sz w:val="22"/>
    </w:rPr>
  </w:style>
  <w:style w:type="paragraph" w:styleId="1083" w:customStyle="1">
    <w:name w:val="Atlas Body"/>
    <w:basedOn w:val="917"/>
    <w:pPr>
      <w:keepNext w:val="false"/>
      <w:keepLines w:val="false"/>
      <w:pageBreakBefore w:val="false"/>
      <w:pBdr/>
      <w:spacing w:after="70" w:before="0" w:line="259" w:lineRule="auto"/>
      <w:ind/>
    </w:pPr>
    <w:rPr>
      <w:rFonts w:ascii="Noto Serif" w:hAnsi="Noto Serif" w:eastAsia="Noto Serif" w:cs="Noto Serif"/>
      <w:b w:val="0"/>
      <w:i w:val="0"/>
      <w:color w:val="111111"/>
      <w:sz w:val="18"/>
    </w:rPr>
  </w:style>
  <w:style w:type="paragraph" w:styleId="1084" w:customStyle="1">
    <w:name w:val="Atlas Bullet"/>
    <w:basedOn w:val="917"/>
    <w:pPr>
      <w:keepNext w:val="false"/>
      <w:keepLines w:val="false"/>
      <w:pageBreakBefore w:val="false"/>
      <w:pBdr/>
      <w:spacing w:after="44" w:before="0" w:line="252" w:lineRule="auto"/>
      <w:ind w:hanging="317" w:left="317"/>
    </w:pPr>
    <w:rPr>
      <w:rFonts w:ascii="Noto Serif" w:hAnsi="Noto Serif" w:eastAsia="Noto Serif" w:cs="Noto Serif"/>
      <w:b w:val="0"/>
      <w:i w:val="0"/>
      <w:color w:val="111111"/>
      <w:sz w:val="18"/>
    </w:rPr>
  </w:style>
  <w:style w:type="paragraph" w:styleId="1085" w:customStyle="1">
    <w:name w:val="Atlas Number"/>
    <w:basedOn w:val="917"/>
    <w:pPr>
      <w:keepNext w:val="false"/>
      <w:keepLines w:val="false"/>
      <w:pageBreakBefore w:val="false"/>
      <w:pBdr/>
      <w:spacing w:after="44" w:before="0" w:line="252" w:lineRule="auto"/>
      <w:ind w:hanging="360" w:left="360"/>
    </w:pPr>
    <w:rPr>
      <w:rFonts w:ascii="Noto Serif" w:hAnsi="Noto Serif" w:eastAsia="Noto Serif" w:cs="Noto Serif"/>
      <w:b w:val="0"/>
      <w:i w:val="0"/>
      <w:color w:val="111111"/>
      <w:sz w:val="18"/>
    </w:rPr>
  </w:style>
  <w:style w:type="paragraph" w:styleId="1086" w:customStyle="1">
    <w:name w:val="Atlas Caption"/>
    <w:basedOn w:val="917"/>
    <w:pPr>
      <w:keepNext w:val="true"/>
      <w:keepLines w:val="false"/>
      <w:pageBreakBefore w:val="false"/>
      <w:pBdr/>
      <w:spacing w:after="50" w:before="80" w:line="240" w:lineRule="auto"/>
      <w:ind/>
    </w:pPr>
    <w:rPr>
      <w:rFonts w:ascii="Noto Serif" w:hAnsi="Noto Serif" w:eastAsia="Noto Serif" w:cs="Noto Serif"/>
      <w:b w:val="0"/>
      <w:i/>
      <w:color w:val="1f5d7a"/>
      <w:sz w:val="16"/>
    </w:rPr>
  </w:style>
  <w:style w:type="paragraph" w:styleId="1087" w:customStyle="1">
    <w:name w:val="Atlas Table Header"/>
    <w:pPr>
      <w:keepNext w:val="false"/>
      <w:keepLines w:val="true"/>
      <w:pageBreakBefore w:val="false"/>
      <w:pBdr/>
      <w:spacing w:after="0" w:before="0" w:line="240" w:lineRule="auto"/>
      <w:ind/>
    </w:pPr>
    <w:rPr>
      <w:rFonts w:ascii="Noto Sans" w:hAnsi="Noto Sans" w:eastAsia="Noto Sans" w:cs="Noto Sans"/>
      <w:b/>
      <w:i w:val="0"/>
      <w:color w:val="ffffff"/>
      <w:sz w:val="16"/>
    </w:rPr>
  </w:style>
  <w:style w:type="paragraph" w:styleId="1088" w:customStyle="1">
    <w:name w:val="Atlas Table Body"/>
    <w:pPr>
      <w:keepNext w:val="false"/>
      <w:keepLines w:val="false"/>
      <w:pageBreakBefore w:val="false"/>
      <w:pBdr/>
      <w:spacing w:after="0" w:before="0" w:line="245" w:lineRule="auto"/>
      <w:ind/>
    </w:pPr>
    <w:rPr>
      <w:rFonts w:ascii="Noto Serif" w:hAnsi="Noto Serif" w:eastAsia="Noto Serif" w:cs="Noto Serif"/>
      <w:b w:val="0"/>
      <w:i w:val="0"/>
      <w:color w:val="111111"/>
      <w:sz w:val="16"/>
    </w:rPr>
  </w:style>
  <w:style w:type="paragraph" w:styleId="1089" w:customStyle="1">
    <w:name w:val="Atlas Table Dense"/>
    <w:pPr>
      <w:keepNext w:val="false"/>
      <w:keepLines w:val="false"/>
      <w:pageBreakBefore w:val="false"/>
      <w:pBdr/>
      <w:spacing w:after="0" w:before="0" w:line="240" w:lineRule="auto"/>
      <w:ind/>
    </w:pPr>
    <w:rPr>
      <w:rFonts w:ascii="Noto Serif" w:hAnsi="Noto Serif" w:eastAsia="Noto Serif" w:cs="Noto Serif"/>
      <w:b w:val="0"/>
      <w:i w:val="0"/>
      <w:color w:val="111111"/>
      <w:sz w:val="14"/>
    </w:rPr>
  </w:style>
  <w:style w:type="paragraph" w:styleId="1090" w:customStyle="1">
    <w:name w:val="Atlas Table Dense Header"/>
    <w:pPr>
      <w:keepNext w:val="false"/>
      <w:keepLines w:val="true"/>
      <w:pageBreakBefore w:val="false"/>
      <w:pBdr/>
      <w:spacing w:after="0" w:before="0" w:line="240" w:lineRule="auto"/>
      <w:ind/>
    </w:pPr>
    <w:rPr>
      <w:rFonts w:ascii="Noto Sans" w:hAnsi="Noto Sans" w:eastAsia="Noto Sans" w:cs="Noto Sans"/>
      <w:b/>
      <w:i w:val="0"/>
      <w:color w:val="ffffff"/>
      <w:sz w:val="14"/>
    </w:rPr>
  </w:style>
  <w:style w:type="paragraph" w:styleId="1091" w:customStyle="1">
    <w:name w:val="Atlas Callout Label"/>
    <w:pPr>
      <w:keepNext w:val="true"/>
      <w:keepLines w:val="true"/>
      <w:pageBreakBefore w:val="false"/>
      <w:pBdr/>
      <w:spacing w:after="60" w:before="0" w:line="240" w:lineRule="auto"/>
      <w:ind/>
    </w:pPr>
    <w:rPr>
      <w:rFonts w:ascii="Noto Sans" w:hAnsi="Noto Sans" w:eastAsia="Noto Sans" w:cs="Noto Sans"/>
      <w:b/>
      <w:i w:val="0"/>
      <w:color w:val="ffffff"/>
      <w:sz w:val="16"/>
    </w:rPr>
  </w:style>
  <w:style w:type="paragraph" w:styleId="1092" w:customStyle="1">
    <w:name w:val="Atlas Callout Body"/>
    <w:pPr>
      <w:keepNext w:val="false"/>
      <w:keepLines w:val="true"/>
      <w:pageBreakBefore w:val="false"/>
      <w:pBdr/>
      <w:spacing w:after="0" w:before="0" w:line="254" w:lineRule="auto"/>
      <w:ind/>
    </w:pPr>
    <w:rPr>
      <w:rFonts w:ascii="Noto Serif" w:hAnsi="Noto Serif" w:eastAsia="Noto Serif" w:cs="Noto Serif"/>
      <w:b w:val="0"/>
      <w:i w:val="0"/>
      <w:color w:val="111111"/>
      <w:sz w:val="18"/>
    </w:rPr>
  </w:style>
  <w:style w:type="paragraph" w:styleId="1093" w:customStyle="1">
    <w:name w:val="Atlas Front Door Label"/>
    <w:pPr>
      <w:keepNext w:val="false"/>
      <w:keepLines w:val="false"/>
      <w:pageBreakBefore w:val="false"/>
      <w:pBdr/>
      <w:spacing w:after="0" w:before="0" w:line="240" w:lineRule="auto"/>
      <w:ind/>
    </w:pPr>
    <w:rPr>
      <w:rFonts w:ascii="Noto Sans" w:hAnsi="Noto Sans" w:eastAsia="Noto Sans" w:cs="Noto Sans"/>
      <w:b/>
      <w:i w:val="0"/>
      <w:color w:val="17465c"/>
      <w:sz w:val="16"/>
    </w:rPr>
  </w:style>
  <w:style w:type="paragraph" w:styleId="1094" w:customStyle="1">
    <w:name w:val="Atlas TOC 1"/>
    <w:pPr>
      <w:keepNext w:val="false"/>
      <w:keepLines w:val="false"/>
      <w:pageBreakBefore w:val="false"/>
      <w:pBdr/>
      <w:spacing w:after="40" w:before="0" w:line="240" w:lineRule="auto"/>
      <w:ind/>
    </w:pPr>
    <w:rPr>
      <w:rFonts w:ascii="Noto Sans" w:hAnsi="Noto Sans" w:eastAsia="Noto Sans" w:cs="Noto Sans"/>
      <w:b/>
      <w:i w:val="0"/>
      <w:color w:val="17465c"/>
      <w:sz w:val="18"/>
    </w:rPr>
  </w:style>
  <w:style w:type="paragraph" w:styleId="1095" w:customStyle="1">
    <w:name w:val="Atlas TOC 2"/>
    <w:pPr>
      <w:keepNext w:val="false"/>
      <w:keepLines w:val="false"/>
      <w:pageBreakBefore w:val="false"/>
      <w:pBdr/>
      <w:spacing w:after="30" w:before="0" w:line="240" w:lineRule="auto"/>
      <w:ind w:left="317"/>
    </w:pPr>
    <w:rPr>
      <w:rFonts w:ascii="Noto Serif" w:hAnsi="Noto Serif" w:eastAsia="Noto Serif" w:cs="Noto Serif"/>
      <w:b w:val="0"/>
      <w:i w:val="0"/>
      <w:color w:val="111111"/>
      <w:sz w:val="16"/>
    </w:rPr>
  </w:style>
  <w:style w:type="paragraph" w:styleId="1096" w:customStyle="1">
    <w:name w:val="Atlas TOC 3"/>
    <w:pPr>
      <w:keepNext w:val="false"/>
      <w:keepLines w:val="false"/>
      <w:pageBreakBefore w:val="false"/>
      <w:pBdr/>
      <w:spacing w:after="20" w:before="0" w:line="240" w:lineRule="auto"/>
      <w:ind w:left="605"/>
    </w:pPr>
    <w:rPr>
      <w:rFonts w:ascii="Noto Serif" w:hAnsi="Noto Serif" w:eastAsia="Noto Serif" w:cs="Noto Serif"/>
      <w:b w:val="0"/>
      <w:i w:val="0"/>
      <w:color w:val="4a5560"/>
      <w:sz w:val="16"/>
    </w:rPr>
  </w:style>
  <w:style w:type="paragraph" w:styleId="1097" w:customStyle="1">
    <w:name w:val="Atlas Small"/>
    <w:pPr>
      <w:keepNext w:val="false"/>
      <w:keepLines w:val="false"/>
      <w:pageBreakBefore w:val="false"/>
      <w:pBdr/>
      <w:spacing w:after="40" w:before="0" w:line="240" w:lineRule="auto"/>
      <w:ind/>
    </w:pPr>
    <w:rPr>
      <w:rFonts w:ascii="Noto Serif" w:hAnsi="Noto Serif" w:eastAsia="Noto Serif" w:cs="Noto Serif"/>
      <w:b w:val="0"/>
      <w:i w:val="0"/>
      <w:color w:val="4a5560"/>
      <w:sz w:val="16"/>
    </w:rPr>
  </w:style>
  <w:style w:type="paragraph" w:styleId="1098" w:customStyle="1">
    <w:name w:val="Atlas Code"/>
    <w:pPr>
      <w:keepNext w:val="false"/>
      <w:keepLines w:val="false"/>
      <w:pageBreakBefore w:val="false"/>
      <w:pBdr/>
      <w:spacing w:after="0" w:before="0" w:line="240" w:lineRule="auto"/>
      <w:ind/>
    </w:pPr>
    <w:rPr>
      <w:rFonts w:ascii="Noto Sans" w:hAnsi="Noto Sans" w:eastAsia="Noto Sans" w:cs="Noto Sans"/>
      <w:b w:val="0"/>
      <w:i w:val="0"/>
      <w:color w:val="111111"/>
      <w:sz w:val="16"/>
    </w:rPr>
  </w:style>
  <w:style w:type="paragraph" w:styleId="1_1" w:customStyle="1">
    <w:name w:val="Guide Note"/>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color="000000"/>
      <w:bidi w:val="false"/>
      <w:spacing w:after="100" w:afterAutospacing="0" w:before="0" w:beforeAutospacing="0" w:line="250" w:lineRule="auto"/>
      <w:ind w:right="0" w:firstLine="0" w:left="0"/>
      <w:contextualSpacing w:val="false"/>
      <w:jc w:val="left"/>
    </w:pPr>
    <w:rPr>
      <w:rFonts w:ascii="Arial" w:hAnsi="Arial" w:eastAsiaTheme="minorEastAsia" w:cstheme="minorBidi"/>
      <w:b w:val="0"/>
      <w:bCs w:val="0"/>
      <w:i w:val="0"/>
      <w:iCs w:val="0"/>
      <w:caps w:val="0"/>
      <w:smallCaps w:val="0"/>
      <w:strike w:val="0"/>
      <w:vanish w:val="0"/>
      <w:color w:val="56656e"/>
      <w:spacing w:val="0"/>
      <w:position w:val="0"/>
      <w:sz w:val="18"/>
      <w:szCs w:val="22"/>
      <w:highlight w:val="none"/>
      <w:u w:val="none"/>
      <w:vertAlign w:val="baseline"/>
      <w:rtl w:val="0"/>
      <w:cs w:val="0"/>
      <w:lang w:val="en-US" w:eastAsia="en-US"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customXml" Target="../customXml/item1.xml"/><Relationship Id="rId14" Type="http://schemas.openxmlformats.org/officeDocument/2006/relationships/hyperlink" Target="https://creativecommons.org/licenses/by/4.0/" TargetMode="External"/><Relationship Id="rId15" Type="http://schemas.openxmlformats.org/officeDocument/2006/relationships/hyperlink" Target="https://www.mariustanase.org/support/" TargetMode="External"/><Relationship Id="rId16" Type="http://schemas.openxmlformats.org/officeDocument/2006/relationships/hyperlink" Target="https://scholarworks.iu.edu/iupjournals/index.php/jwp/article/view/9253" TargetMode="External"/><Relationship Id="rId17" Type="http://schemas.openxmlformats.org/officeDocument/2006/relationships/hyperlink" Target="https://doi.org/10.1007/s11192-026-05591-4" TargetMode="External"/><Relationship Id="rId18" Type="http://schemas.openxmlformats.org/officeDocument/2006/relationships/hyperlink" Target="https://arxiv.org/abs/2606.18222v1" TargetMode="External"/><Relationship Id="rId19" Type="http://schemas.openxmlformats.org/officeDocument/2006/relationships/hyperlink" Target="https://arxiv.org/abs/2606.29070v1" TargetMode="External"/><Relationship Id="rId20" Type="http://schemas.openxmlformats.org/officeDocument/2006/relationships/hyperlink" Target="https://arxiv.org/abs/2603.28755v1" TargetMode="External"/><Relationship Id="rId21" Type="http://schemas.openxmlformats.org/officeDocument/2006/relationships/hyperlink" Target="https://www.mariustanase.org/resources/"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ONLYOFFICE/9.3.1.8</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Atlas of Being and Becoming — Research, Evidence &amp; Validation Specification</dc:title>
  <dc:subject>Governing specification for source-sensitive comparative metaphysical-existential research</dc:subject>
  <cp:keywords>Atlas of Being and Becoming; research; evidence; validation; comparative philosophy; publication</cp:keywords>
  <cp:revision>2</cp:revision>
  <dcterms:modified xsi:type="dcterms:W3CDTF">2026-10-16T16:18:29Z</dcterms:modified>
  <cp:category>Governing specification</cp:category>
</cp:coreProperties>
</file>